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F35E" w14:textId="77777777" w:rsidR="00AC74F7" w:rsidRDefault="00DF0E34" w:rsidP="00DD5F08">
      <w:pPr>
        <w:pStyle w:val="HChG"/>
        <w:ind w:firstLine="0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DF0E34">
        <w:rPr>
          <w:rFonts w:asciiTheme="majorBidi" w:hAnsiTheme="majorBidi" w:cstheme="majorBidi"/>
        </w:rPr>
        <w:t xml:space="preserve">Proposal for </w:t>
      </w:r>
      <w:r w:rsidR="00AC74F7">
        <w:rPr>
          <w:rFonts w:asciiTheme="majorBidi" w:hAnsiTheme="majorBidi" w:cstheme="majorBidi"/>
        </w:rPr>
        <w:t>changes to document GRSG/2020/20</w:t>
      </w:r>
      <w:r w:rsidRPr="00DF0E34">
        <w:rPr>
          <w:rFonts w:asciiTheme="majorBidi" w:hAnsiTheme="majorBidi" w:cstheme="majorBidi"/>
        </w:rPr>
        <w:t xml:space="preserve"> </w:t>
      </w:r>
    </w:p>
    <w:p w14:paraId="5F7ED9A8" w14:textId="31814294" w:rsidR="00DF0E34" w:rsidRPr="00DF0E34" w:rsidRDefault="00DF0E34" w:rsidP="00DD5F08">
      <w:pPr>
        <w:pStyle w:val="HChG"/>
        <w:ind w:firstLine="0"/>
        <w:jc w:val="center"/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>UN Regulation No. 107 (General construction M</w:t>
      </w:r>
      <w:r w:rsidRPr="00151208">
        <w:rPr>
          <w:rFonts w:asciiTheme="majorBidi" w:hAnsiTheme="majorBidi" w:cstheme="majorBidi"/>
          <w:vertAlign w:val="subscript"/>
        </w:rPr>
        <w:t>2</w:t>
      </w:r>
      <w:r w:rsidRPr="00DF0E34">
        <w:rPr>
          <w:rFonts w:asciiTheme="majorBidi" w:hAnsiTheme="majorBidi" w:cstheme="majorBidi"/>
        </w:rPr>
        <w:t xml:space="preserve"> &amp; M</w:t>
      </w:r>
      <w:r w:rsidRPr="00151208">
        <w:rPr>
          <w:rFonts w:asciiTheme="majorBidi" w:hAnsiTheme="majorBidi" w:cstheme="majorBidi"/>
          <w:vertAlign w:val="subscript"/>
        </w:rPr>
        <w:t>3</w:t>
      </w:r>
      <w:r w:rsidRPr="00DF0E34">
        <w:rPr>
          <w:rFonts w:asciiTheme="majorBidi" w:hAnsiTheme="majorBidi" w:cstheme="majorBidi"/>
        </w:rPr>
        <w:t>)</w:t>
      </w:r>
    </w:p>
    <w:p w14:paraId="6D1966CB" w14:textId="77777777" w:rsidR="00DD5F08" w:rsidRDefault="00DD5F08" w:rsidP="00DF0E34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</w:rPr>
      </w:pPr>
    </w:p>
    <w:p w14:paraId="2070FB91" w14:textId="1D7FB8B0" w:rsidR="00DF0E34" w:rsidRPr="00DF0E34" w:rsidRDefault="00DF0E34" w:rsidP="00DF0E34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  <w:vertAlign w:val="superscript"/>
        </w:rPr>
      </w:pPr>
      <w:r w:rsidRPr="00DF0E34">
        <w:rPr>
          <w:rFonts w:asciiTheme="majorBidi" w:hAnsiTheme="majorBidi" w:cstheme="majorBidi"/>
        </w:rPr>
        <w:t xml:space="preserve">Submitted by the experts of </w:t>
      </w:r>
      <w:r w:rsidR="00AC74F7">
        <w:rPr>
          <w:rFonts w:asciiTheme="majorBidi" w:hAnsiTheme="majorBidi" w:cstheme="majorBidi"/>
        </w:rPr>
        <w:t>OICA</w:t>
      </w:r>
    </w:p>
    <w:p w14:paraId="6EADD5E2" w14:textId="77777777" w:rsidR="00DD5F08" w:rsidRDefault="00DD5F08" w:rsidP="00DF0E34">
      <w:pPr>
        <w:tabs>
          <w:tab w:val="left" w:pos="8505"/>
        </w:tabs>
        <w:ind w:left="1134" w:right="1134" w:firstLine="567"/>
        <w:jc w:val="both"/>
        <w:rPr>
          <w:rFonts w:asciiTheme="majorBidi" w:hAnsiTheme="majorBidi" w:cstheme="majorBidi"/>
        </w:rPr>
      </w:pPr>
    </w:p>
    <w:p w14:paraId="296FB4FB" w14:textId="310F162C" w:rsidR="00DF0E34" w:rsidRPr="00DF0E34" w:rsidRDefault="00DF0E34" w:rsidP="00DF0E34">
      <w:pPr>
        <w:tabs>
          <w:tab w:val="left" w:pos="8505"/>
        </w:tabs>
        <w:ind w:left="1134" w:right="1134" w:firstLine="567"/>
        <w:jc w:val="both"/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The text reproduced below was prepared by the </w:t>
      </w:r>
      <w:r w:rsidR="00AC74F7">
        <w:rPr>
          <w:rFonts w:asciiTheme="majorBidi" w:hAnsiTheme="majorBidi" w:cstheme="majorBidi"/>
        </w:rPr>
        <w:t>experts from OICA</w:t>
      </w:r>
      <w:r w:rsidRPr="00DF0E34">
        <w:rPr>
          <w:rFonts w:asciiTheme="majorBidi" w:hAnsiTheme="majorBidi" w:cstheme="majorBidi"/>
        </w:rPr>
        <w:t xml:space="preserve">. </w:t>
      </w:r>
      <w:r w:rsidR="00DD5F08">
        <w:rPr>
          <w:rFonts w:asciiTheme="majorBidi" w:hAnsiTheme="majorBidi" w:cstheme="majorBidi"/>
        </w:rPr>
        <w:t>This proposal amends the working document referenced</w:t>
      </w:r>
      <w:r w:rsidRPr="00DF0E34">
        <w:rPr>
          <w:rFonts w:asciiTheme="majorBidi" w:hAnsiTheme="majorBidi" w:cstheme="majorBidi"/>
        </w:rPr>
        <w:t xml:space="preserve"> </w:t>
      </w:r>
      <w:r w:rsidR="00DD5F08" w:rsidRPr="00DD5F08">
        <w:rPr>
          <w:rFonts w:asciiTheme="majorBidi" w:hAnsiTheme="majorBidi" w:cstheme="majorBidi"/>
        </w:rPr>
        <w:t>ECE</w:t>
      </w:r>
      <w:r w:rsidR="00AC74F7">
        <w:rPr>
          <w:rFonts w:asciiTheme="majorBidi" w:hAnsiTheme="majorBidi" w:cstheme="majorBidi"/>
        </w:rPr>
        <w:t>/</w:t>
      </w:r>
      <w:r w:rsidR="00DD5F08" w:rsidRPr="00DD5F08">
        <w:rPr>
          <w:rFonts w:asciiTheme="majorBidi" w:hAnsiTheme="majorBidi" w:cstheme="majorBidi"/>
        </w:rPr>
        <w:t>TRANS</w:t>
      </w:r>
      <w:r w:rsidR="00AC74F7">
        <w:rPr>
          <w:rFonts w:asciiTheme="majorBidi" w:hAnsiTheme="majorBidi" w:cstheme="majorBidi"/>
        </w:rPr>
        <w:t>/</w:t>
      </w:r>
      <w:r w:rsidR="00DD5F08" w:rsidRPr="00DD5F08">
        <w:rPr>
          <w:rFonts w:asciiTheme="majorBidi" w:hAnsiTheme="majorBidi" w:cstheme="majorBidi"/>
        </w:rPr>
        <w:t>WP.29</w:t>
      </w:r>
      <w:r w:rsidR="00AC74F7">
        <w:rPr>
          <w:rFonts w:asciiTheme="majorBidi" w:hAnsiTheme="majorBidi" w:cstheme="majorBidi"/>
        </w:rPr>
        <w:t>/</w:t>
      </w:r>
      <w:r w:rsidR="00DD5F08" w:rsidRPr="00DD5F08">
        <w:rPr>
          <w:rFonts w:asciiTheme="majorBidi" w:hAnsiTheme="majorBidi" w:cstheme="majorBidi"/>
        </w:rPr>
        <w:t>GRSG</w:t>
      </w:r>
      <w:r w:rsidR="00AC74F7">
        <w:rPr>
          <w:rFonts w:asciiTheme="majorBidi" w:hAnsiTheme="majorBidi" w:cstheme="majorBidi"/>
        </w:rPr>
        <w:t>/</w:t>
      </w:r>
      <w:r w:rsidR="00DD5F08" w:rsidRPr="00DD5F08">
        <w:rPr>
          <w:rFonts w:asciiTheme="majorBidi" w:hAnsiTheme="majorBidi" w:cstheme="majorBidi"/>
        </w:rPr>
        <w:t>2020</w:t>
      </w:r>
      <w:r w:rsidR="00AC74F7">
        <w:rPr>
          <w:rFonts w:asciiTheme="majorBidi" w:hAnsiTheme="majorBidi" w:cstheme="majorBidi"/>
        </w:rPr>
        <w:t>/20</w:t>
      </w:r>
      <w:r w:rsidR="00DD5F08">
        <w:rPr>
          <w:rFonts w:asciiTheme="majorBidi" w:hAnsiTheme="majorBidi" w:cstheme="majorBidi"/>
        </w:rPr>
        <w:t>.</w:t>
      </w:r>
      <w:r w:rsidRPr="00DF0E34">
        <w:rPr>
          <w:rFonts w:asciiTheme="majorBidi" w:hAnsiTheme="majorBidi" w:cstheme="majorBidi"/>
        </w:rPr>
        <w:t xml:space="preserve"> The modifications to the current</w:t>
      </w:r>
      <w:r w:rsidR="00DD5F08">
        <w:rPr>
          <w:rFonts w:asciiTheme="majorBidi" w:hAnsiTheme="majorBidi" w:cstheme="majorBidi"/>
        </w:rPr>
        <w:t xml:space="preserve"> </w:t>
      </w:r>
      <w:r w:rsidR="00AC74F7">
        <w:rPr>
          <w:rFonts w:asciiTheme="majorBidi" w:hAnsiTheme="majorBidi" w:cstheme="majorBidi"/>
        </w:rPr>
        <w:t xml:space="preserve">proposal </w:t>
      </w:r>
      <w:r w:rsidR="00AC74F7" w:rsidRPr="00DF0E34">
        <w:rPr>
          <w:rFonts w:asciiTheme="majorBidi" w:hAnsiTheme="majorBidi" w:cstheme="majorBidi"/>
        </w:rPr>
        <w:t>ECE</w:t>
      </w:r>
      <w:r w:rsidR="00AC74F7">
        <w:rPr>
          <w:rFonts w:asciiTheme="majorBidi" w:hAnsiTheme="majorBidi" w:cstheme="majorBidi"/>
        </w:rPr>
        <w:t>/</w:t>
      </w:r>
      <w:r w:rsidR="00AC74F7" w:rsidRPr="00DD5F08">
        <w:rPr>
          <w:rFonts w:asciiTheme="majorBidi" w:hAnsiTheme="majorBidi" w:cstheme="majorBidi"/>
        </w:rPr>
        <w:t>TRANS</w:t>
      </w:r>
      <w:r w:rsidR="00AC74F7">
        <w:rPr>
          <w:rFonts w:asciiTheme="majorBidi" w:hAnsiTheme="majorBidi" w:cstheme="majorBidi"/>
        </w:rPr>
        <w:t>/</w:t>
      </w:r>
      <w:r w:rsidR="00AC74F7" w:rsidRPr="00DD5F08">
        <w:rPr>
          <w:rFonts w:asciiTheme="majorBidi" w:hAnsiTheme="majorBidi" w:cstheme="majorBidi"/>
        </w:rPr>
        <w:t>WP.29</w:t>
      </w:r>
      <w:r w:rsidR="00AC74F7">
        <w:rPr>
          <w:rFonts w:asciiTheme="majorBidi" w:hAnsiTheme="majorBidi" w:cstheme="majorBidi"/>
        </w:rPr>
        <w:t>/</w:t>
      </w:r>
      <w:r w:rsidR="00AC74F7" w:rsidRPr="00DD5F08">
        <w:rPr>
          <w:rFonts w:asciiTheme="majorBidi" w:hAnsiTheme="majorBidi" w:cstheme="majorBidi"/>
        </w:rPr>
        <w:t>GRSG</w:t>
      </w:r>
      <w:r w:rsidR="00AC74F7">
        <w:rPr>
          <w:rFonts w:asciiTheme="majorBidi" w:hAnsiTheme="majorBidi" w:cstheme="majorBidi"/>
        </w:rPr>
        <w:t>/</w:t>
      </w:r>
      <w:r w:rsidR="00AC74F7" w:rsidRPr="00DD5F08">
        <w:rPr>
          <w:rFonts w:asciiTheme="majorBidi" w:hAnsiTheme="majorBidi" w:cstheme="majorBidi"/>
        </w:rPr>
        <w:t>2020</w:t>
      </w:r>
      <w:r w:rsidR="00AC74F7">
        <w:rPr>
          <w:rFonts w:asciiTheme="majorBidi" w:hAnsiTheme="majorBidi" w:cstheme="majorBidi"/>
        </w:rPr>
        <w:t>/20</w:t>
      </w:r>
      <w:r w:rsidRPr="00DF0E34">
        <w:rPr>
          <w:rFonts w:asciiTheme="majorBidi" w:hAnsiTheme="majorBidi" w:cstheme="majorBidi"/>
        </w:rPr>
        <w:t xml:space="preserve">are marked in </w:t>
      </w:r>
      <w:r w:rsidR="00DD5F08">
        <w:rPr>
          <w:rFonts w:asciiTheme="majorBidi" w:hAnsiTheme="majorBidi" w:cstheme="majorBidi"/>
        </w:rPr>
        <w:t>red</w:t>
      </w:r>
      <w:r w:rsidRPr="00DF0E34">
        <w:rPr>
          <w:rFonts w:asciiTheme="majorBidi" w:hAnsiTheme="majorBidi" w:cstheme="majorBidi"/>
        </w:rPr>
        <w:t xml:space="preserve"> characters.</w:t>
      </w:r>
    </w:p>
    <w:p w14:paraId="50B62D92" w14:textId="7A6A67F7" w:rsidR="00DF0E34" w:rsidRPr="00DF0E34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tab/>
      </w:r>
      <w:r w:rsidR="00DF0E34" w:rsidRPr="00DF0E34">
        <w:rPr>
          <w:rFonts w:asciiTheme="majorBidi" w:hAnsiTheme="majorBidi" w:cstheme="majorBidi"/>
          <w:szCs w:val="28"/>
        </w:rPr>
        <w:t>I.</w:t>
      </w:r>
      <w:r w:rsidR="00DF0E34" w:rsidRPr="00DF0E34">
        <w:rPr>
          <w:rFonts w:asciiTheme="majorBidi" w:hAnsiTheme="majorBidi" w:cstheme="majorBidi"/>
          <w:szCs w:val="28"/>
        </w:rPr>
        <w:tab/>
      </w:r>
      <w:r w:rsidR="00DF0E34" w:rsidRPr="00B9350C">
        <w:t>Proposal</w:t>
      </w:r>
    </w:p>
    <w:p w14:paraId="1C9D3075" w14:textId="77777777" w:rsidR="00AC74F7" w:rsidRDefault="00AC74F7" w:rsidP="00AC74F7">
      <w:pPr>
        <w:pStyle w:val="SingleTxtG"/>
      </w:pPr>
      <w:r w:rsidRPr="00170E8B">
        <w:rPr>
          <w:i/>
          <w:iCs/>
        </w:rPr>
        <w:t>Annex 8</w:t>
      </w:r>
    </w:p>
    <w:p w14:paraId="5558BCD7" w14:textId="77777777" w:rsidR="00AC74F7" w:rsidRPr="000A320D" w:rsidRDefault="00AC74F7" w:rsidP="00AC74F7">
      <w:pPr>
        <w:pStyle w:val="SingleTxtG"/>
        <w:rPr>
          <w:iCs/>
        </w:rPr>
      </w:pPr>
      <w:r w:rsidRPr="00170E8B">
        <w:rPr>
          <w:i/>
          <w:iCs/>
        </w:rPr>
        <w:t>Paragraph 3.11.3.1.1.</w:t>
      </w:r>
      <w:r>
        <w:rPr>
          <w:i/>
          <w:iCs/>
        </w:rPr>
        <w:t>,</w:t>
      </w:r>
      <w:r w:rsidRPr="000A320D">
        <w:t xml:space="preserve"> </w:t>
      </w:r>
      <w:r w:rsidRPr="000A320D">
        <w:rPr>
          <w:iCs/>
        </w:rPr>
        <w:t>amend to read:</w:t>
      </w:r>
    </w:p>
    <w:p w14:paraId="50721B47" w14:textId="2E8698F7" w:rsidR="00AC74F7" w:rsidRDefault="00AC74F7" w:rsidP="00B156BC">
      <w:pPr>
        <w:pStyle w:val="SingleTxtG"/>
        <w:ind w:left="2268" w:hanging="1134"/>
      </w:pPr>
      <w:r>
        <w:t>"</w:t>
      </w:r>
      <w:bookmarkStart w:id="1" w:name="_Hlk51159359"/>
      <w:r w:rsidRPr="000A320D">
        <w:t xml:space="preserve">3.11.3.1.1. </w:t>
      </w:r>
      <w:r>
        <w:tab/>
        <w:t xml:space="preserve">Lifts shall only be capable of operation when the vehicle is at standstill. </w:t>
      </w:r>
      <w:r w:rsidRPr="00973A7E">
        <w:rPr>
          <w:b/>
          <w:bCs/>
        </w:rPr>
        <w:t xml:space="preserve">The vehicle shall have a starting prevention device that remains active until the lift is in its stowed position. If the lift gives access to the vehicle through a door </w:t>
      </w:r>
      <w:r w:rsidRPr="001D31D3">
        <w:rPr>
          <w:b/>
          <w:bCs/>
          <w:color w:val="FF0000"/>
        </w:rPr>
        <w:t>referred to in paragraph 3.6</w:t>
      </w:r>
      <w:r>
        <w:rPr>
          <w:b/>
          <w:bCs/>
          <w:color w:val="FF0000"/>
        </w:rPr>
        <w:t xml:space="preserve"> of this Annex</w:t>
      </w:r>
      <w:r w:rsidRPr="001D31D3">
        <w:rPr>
          <w:b/>
          <w:bCs/>
          <w:color w:val="FF0000"/>
        </w:rPr>
        <w:t xml:space="preserve"> </w:t>
      </w:r>
      <w:r w:rsidRPr="001D31D3">
        <w:rPr>
          <w:b/>
          <w:bCs/>
          <w:strike/>
          <w:color w:val="FF0000"/>
        </w:rPr>
        <w:t>that is not a</w:t>
      </w:r>
      <w:r w:rsidRPr="001D31D3">
        <w:rPr>
          <w:b/>
          <w:bCs/>
          <w:color w:val="FF0000"/>
        </w:rPr>
        <w:t xml:space="preserve"> </w:t>
      </w:r>
      <w:r w:rsidRPr="001D31D3">
        <w:rPr>
          <w:b/>
          <w:bCs/>
          <w:strike/>
          <w:color w:val="FF0000"/>
        </w:rPr>
        <w:t>service or emergency door</w:t>
      </w:r>
      <w:r w:rsidRPr="00973A7E">
        <w:rPr>
          <w:b/>
          <w:bCs/>
        </w:rPr>
        <w:t>, the starting prevention device shall remain active until the door is fully closed.</w:t>
      </w:r>
      <w:r>
        <w:t xml:space="preserve"> Any movement of the platform shall be prevented unless a device preventing the wheelchair from rolling off has been activated </w:t>
      </w:r>
      <w:bookmarkEnd w:id="1"/>
    </w:p>
    <w:p w14:paraId="27BF24A0" w14:textId="77777777" w:rsidR="00AC74F7" w:rsidRPr="00DF0E34" w:rsidRDefault="00AC74F7" w:rsidP="00B477C3">
      <w:pPr>
        <w:pStyle w:val="SingleTxtG"/>
        <w:ind w:left="2268"/>
        <w:rPr>
          <w:rFonts w:asciiTheme="majorBidi" w:hAnsiTheme="majorBidi" w:cstheme="majorBidi"/>
          <w:b/>
        </w:rPr>
      </w:pPr>
    </w:p>
    <w:p w14:paraId="2967EA26" w14:textId="21CF6DD8" w:rsidR="00DF0E34" w:rsidRPr="00DF0E34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tab/>
      </w:r>
      <w:r w:rsidR="00DF0E34" w:rsidRPr="00DF0E34">
        <w:rPr>
          <w:rFonts w:asciiTheme="majorBidi" w:hAnsiTheme="majorBidi" w:cstheme="majorBidi"/>
          <w:szCs w:val="28"/>
        </w:rPr>
        <w:t>II</w:t>
      </w:r>
      <w:r>
        <w:rPr>
          <w:rFonts w:asciiTheme="majorBidi" w:hAnsiTheme="majorBidi" w:cstheme="majorBidi"/>
          <w:szCs w:val="28"/>
        </w:rPr>
        <w:t>.</w:t>
      </w:r>
      <w:r w:rsidR="00DF0E34" w:rsidRPr="00DF0E34"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</w:r>
      <w:r w:rsidR="00DF0E34" w:rsidRPr="00DF0E34">
        <w:rPr>
          <w:rFonts w:asciiTheme="majorBidi" w:hAnsiTheme="majorBidi" w:cstheme="majorBidi"/>
          <w:szCs w:val="28"/>
        </w:rPr>
        <w:t>Justification</w:t>
      </w:r>
    </w:p>
    <w:p w14:paraId="0AE7F4E2" w14:textId="1A5AC0A2" w:rsidR="00D06F91" w:rsidRDefault="00AC74F7" w:rsidP="00AC74F7">
      <w:pPr>
        <w:pStyle w:val="SingleTxtG"/>
        <w:numPr>
          <w:ilvl w:val="0"/>
          <w:numId w:val="27"/>
        </w:numPr>
      </w:pPr>
      <w:r>
        <w:t>OICA generally supports the improvement in safety provided by the proposal from Spain.</w:t>
      </w:r>
    </w:p>
    <w:p w14:paraId="269CBC34" w14:textId="43E215FF" w:rsidR="00AC74F7" w:rsidRDefault="00AC74F7" w:rsidP="00AC74F7">
      <w:pPr>
        <w:pStyle w:val="SingleTxtG"/>
        <w:numPr>
          <w:ilvl w:val="0"/>
          <w:numId w:val="27"/>
        </w:numPr>
      </w:pPr>
      <w:r>
        <w:t xml:space="preserve">The text proposed for the amendments to paragraph 3.11.3.1.1. however brings some ambiguity as to which door is addressed. </w:t>
      </w:r>
    </w:p>
    <w:p w14:paraId="5372B9B8" w14:textId="634D9A53" w:rsidR="00AC74F7" w:rsidRDefault="00AC74F7" w:rsidP="00AC74F7">
      <w:pPr>
        <w:pStyle w:val="SingleTxtG"/>
        <w:numPr>
          <w:ilvl w:val="0"/>
          <w:numId w:val="27"/>
        </w:numPr>
      </w:pPr>
      <w:r>
        <w:t xml:space="preserve">OICA believes that referring to the paragraph 3.6. of Annex 8 clarifies that the doors addressed by the </w:t>
      </w:r>
      <w:r w:rsidR="00D9479F">
        <w:t xml:space="preserve">Spanish proposal are those having wheelchair accommodations since the lift is primarily dedicated to the passage of persons in wheelchairs. </w:t>
      </w:r>
    </w:p>
    <w:p w14:paraId="3CC6F144" w14:textId="77777777" w:rsidR="00AC74F7" w:rsidRDefault="00AC74F7" w:rsidP="006E324D">
      <w:pPr>
        <w:pStyle w:val="SingleTxtG"/>
      </w:pPr>
    </w:p>
    <w:p w14:paraId="6AE0E1D9" w14:textId="386CE4A6" w:rsidR="00F607C0" w:rsidRPr="00DF0E34" w:rsidRDefault="00F607C0" w:rsidP="006E324D">
      <w:pPr>
        <w:pStyle w:val="SingleTxtG"/>
        <w:ind w:left="0"/>
        <w:rPr>
          <w:rFonts w:asciiTheme="majorBidi" w:hAnsiTheme="majorBidi" w:cstheme="majorBidi"/>
          <w:u w:val="single"/>
        </w:rPr>
      </w:pPr>
    </w:p>
    <w:sectPr w:rsidR="00F607C0" w:rsidRPr="00DF0E34" w:rsidSect="00151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26E2" w14:textId="77777777" w:rsidR="00214421" w:rsidRDefault="00214421" w:rsidP="00203C11">
      <w:pPr>
        <w:spacing w:line="240" w:lineRule="auto"/>
      </w:pPr>
      <w:r>
        <w:separator/>
      </w:r>
    </w:p>
  </w:endnote>
  <w:endnote w:type="continuationSeparator" w:id="0">
    <w:p w14:paraId="120CB63A" w14:textId="77777777" w:rsidR="00214421" w:rsidRDefault="00214421" w:rsidP="0020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1A6A" w14:textId="77777777" w:rsidR="00DA75FE" w:rsidRDefault="00DA7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DBFE" w14:textId="77777777" w:rsidR="00DA75FE" w:rsidRDefault="00DA7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1BCB" w14:textId="77777777" w:rsidR="00D06F91" w:rsidRPr="00D06F91" w:rsidRDefault="00D06F91">
    <w:pPr>
      <w:pStyle w:val="Footer"/>
      <w:rPr>
        <w:b/>
        <w:bCs/>
        <w:sz w:val="18"/>
        <w:szCs w:val="18"/>
        <w:lang w:val="fr-CH"/>
      </w:rPr>
    </w:pPr>
    <w:r w:rsidRPr="00D06F91">
      <w:rPr>
        <w:b/>
        <w:bCs/>
        <w:sz w:val="18"/>
        <w:szCs w:val="18"/>
        <w:lang w:val="fr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E21C" w14:textId="77777777" w:rsidR="00214421" w:rsidRPr="00E378AC" w:rsidRDefault="00214421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16EF87" w14:textId="77777777" w:rsidR="00214421" w:rsidRDefault="0021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CC12" w14:textId="77777777" w:rsidR="00DA75FE" w:rsidRDefault="00DA7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1948" w14:textId="77777777" w:rsidR="00DA75FE" w:rsidRDefault="00DA7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77777777" w:rsidR="00B156BC" w:rsidRPr="00DD5F08" w:rsidRDefault="00B156BC" w:rsidP="00B156BC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>
            <w:rPr>
              <w:rFonts w:eastAsia="Calibri"/>
              <w:kern w:val="2"/>
            </w:rPr>
            <w:t>OICA</w:t>
          </w:r>
        </w:p>
      </w:tc>
      <w:tc>
        <w:tcPr>
          <w:tcW w:w="5245" w:type="dxa"/>
          <w:hideMark/>
        </w:tcPr>
        <w:p w14:paraId="05E61DA5" w14:textId="6EA147A2" w:rsidR="00B156BC" w:rsidRPr="00DD5F08" w:rsidRDefault="00B156BC" w:rsidP="00B156BC">
          <w:pPr>
            <w:suppressAutoHyphens w:val="0"/>
            <w:spacing w:line="240" w:lineRule="auto"/>
            <w:ind w:left="2155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>
            <w:rPr>
              <w:rFonts w:eastAsia="Calibri"/>
              <w:b/>
              <w:bCs/>
              <w:kern w:val="2"/>
            </w:rPr>
            <w:t>19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DA75FE">
            <w:rPr>
              <w:rFonts w:eastAsia="Calibri"/>
              <w:b/>
              <w:bCs/>
              <w:kern w:val="2"/>
            </w:rPr>
            <w:t>19</w:t>
          </w:r>
        </w:p>
        <w:p w14:paraId="680BE3D5" w14:textId="77777777" w:rsidR="00B156BC" w:rsidRPr="00DD5F08" w:rsidRDefault="00B156BC" w:rsidP="00B156BC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215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(11</w:t>
          </w:r>
          <w:r>
            <w:rPr>
              <w:rFonts w:eastAsia="Calibri"/>
              <w:kern w:val="2"/>
            </w:rPr>
            <w:t>9</w:t>
          </w:r>
          <w:r w:rsidRPr="00DD5F08">
            <w:rPr>
              <w:rFonts w:eastAsia="Calibri"/>
              <w:kern w:val="2"/>
            </w:rPr>
            <w:t xml:space="preserve">th GRSG, </w:t>
          </w:r>
          <w:r>
            <w:rPr>
              <w:rFonts w:eastAsia="Calibri"/>
              <w:kern w:val="2"/>
            </w:rPr>
            <w:t>6</w:t>
          </w:r>
          <w:r w:rsidRPr="00DD5F08">
            <w:rPr>
              <w:rFonts w:eastAsia="Calibri"/>
              <w:kern w:val="2"/>
            </w:rPr>
            <w:t>-</w:t>
          </w:r>
          <w:r>
            <w:rPr>
              <w:rFonts w:eastAsia="Calibri"/>
              <w:kern w:val="2"/>
            </w:rPr>
            <w:t>9</w:t>
          </w:r>
          <w:r w:rsidRPr="00DD5F08">
            <w:rPr>
              <w:rFonts w:eastAsia="Calibri"/>
              <w:kern w:val="2"/>
            </w:rPr>
            <w:t xml:space="preserve"> </w:t>
          </w:r>
          <w:r>
            <w:rPr>
              <w:rFonts w:eastAsia="Calibri"/>
              <w:kern w:val="2"/>
            </w:rPr>
            <w:t>October</w:t>
          </w:r>
          <w:r w:rsidRPr="00DD5F08">
            <w:rPr>
              <w:rFonts w:eastAsia="Calibri"/>
              <w:kern w:val="2"/>
            </w:rPr>
            <w:t xml:space="preserve"> 2020</w:t>
          </w:r>
          <w:r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>Agenda item 2</w:t>
          </w:r>
          <w:r>
            <w:rPr>
              <w:rFonts w:eastAsia="Calibri"/>
              <w:kern w:val="2"/>
            </w:rPr>
            <w:t>a</w:t>
          </w:r>
          <w:r w:rsidRPr="00DD5F08">
            <w:rPr>
              <w:rFonts w:eastAsia="Calibri"/>
              <w:kern w:val="2"/>
            </w:rPr>
            <w:t>)</w:t>
          </w:r>
        </w:p>
      </w:tc>
    </w:tr>
  </w:tbl>
  <w:p w14:paraId="5DE79F76" w14:textId="62003EB9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3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5715A"/>
    <w:rsid w:val="000C75E6"/>
    <w:rsid w:val="000D367D"/>
    <w:rsid w:val="001309F4"/>
    <w:rsid w:val="00130EBE"/>
    <w:rsid w:val="00143D77"/>
    <w:rsid w:val="00151208"/>
    <w:rsid w:val="00170E8B"/>
    <w:rsid w:val="001A33AD"/>
    <w:rsid w:val="001B5B00"/>
    <w:rsid w:val="001D6C5C"/>
    <w:rsid w:val="001F1DCE"/>
    <w:rsid w:val="00203BAB"/>
    <w:rsid w:val="00203C11"/>
    <w:rsid w:val="00214421"/>
    <w:rsid w:val="00222D9F"/>
    <w:rsid w:val="00242021"/>
    <w:rsid w:val="00255851"/>
    <w:rsid w:val="0027542D"/>
    <w:rsid w:val="002B4811"/>
    <w:rsid w:val="002E6B62"/>
    <w:rsid w:val="00326F61"/>
    <w:rsid w:val="00340A6E"/>
    <w:rsid w:val="00343F08"/>
    <w:rsid w:val="00351879"/>
    <w:rsid w:val="0039598B"/>
    <w:rsid w:val="003F6115"/>
    <w:rsid w:val="00411DA6"/>
    <w:rsid w:val="00416C08"/>
    <w:rsid w:val="00461D8F"/>
    <w:rsid w:val="00494339"/>
    <w:rsid w:val="0049466C"/>
    <w:rsid w:val="004A29E9"/>
    <w:rsid w:val="004A5BFD"/>
    <w:rsid w:val="004D5A4F"/>
    <w:rsid w:val="004E652D"/>
    <w:rsid w:val="00541748"/>
    <w:rsid w:val="005762BC"/>
    <w:rsid w:val="00592DED"/>
    <w:rsid w:val="005B3E3F"/>
    <w:rsid w:val="005D37CC"/>
    <w:rsid w:val="006321A9"/>
    <w:rsid w:val="00686461"/>
    <w:rsid w:val="006B40F3"/>
    <w:rsid w:val="006E324D"/>
    <w:rsid w:val="006F13D9"/>
    <w:rsid w:val="006F2B2E"/>
    <w:rsid w:val="006F6664"/>
    <w:rsid w:val="00785AC2"/>
    <w:rsid w:val="007D1613"/>
    <w:rsid w:val="007D1EE3"/>
    <w:rsid w:val="008058D9"/>
    <w:rsid w:val="0082103C"/>
    <w:rsid w:val="00851340"/>
    <w:rsid w:val="00852CAE"/>
    <w:rsid w:val="00896C5E"/>
    <w:rsid w:val="008D28DC"/>
    <w:rsid w:val="008D5A13"/>
    <w:rsid w:val="008F3F56"/>
    <w:rsid w:val="00926B71"/>
    <w:rsid w:val="00941811"/>
    <w:rsid w:val="00955848"/>
    <w:rsid w:val="0097132E"/>
    <w:rsid w:val="00973A7E"/>
    <w:rsid w:val="009B279C"/>
    <w:rsid w:val="009C5365"/>
    <w:rsid w:val="009D0DA6"/>
    <w:rsid w:val="009E646F"/>
    <w:rsid w:val="009E6A52"/>
    <w:rsid w:val="00A51A2B"/>
    <w:rsid w:val="00AC4428"/>
    <w:rsid w:val="00AC74F7"/>
    <w:rsid w:val="00AE439A"/>
    <w:rsid w:val="00AE6268"/>
    <w:rsid w:val="00B156BC"/>
    <w:rsid w:val="00B477C3"/>
    <w:rsid w:val="00B9350C"/>
    <w:rsid w:val="00B975D5"/>
    <w:rsid w:val="00BA2AF9"/>
    <w:rsid w:val="00BE7A0C"/>
    <w:rsid w:val="00C0489C"/>
    <w:rsid w:val="00CD29FA"/>
    <w:rsid w:val="00D06F91"/>
    <w:rsid w:val="00D55DBE"/>
    <w:rsid w:val="00D87D12"/>
    <w:rsid w:val="00D87F6B"/>
    <w:rsid w:val="00D9262A"/>
    <w:rsid w:val="00D9479F"/>
    <w:rsid w:val="00DA75FE"/>
    <w:rsid w:val="00DC0D2A"/>
    <w:rsid w:val="00DD5F08"/>
    <w:rsid w:val="00DF0C11"/>
    <w:rsid w:val="00DF0E34"/>
    <w:rsid w:val="00E01D68"/>
    <w:rsid w:val="00E378AC"/>
    <w:rsid w:val="00E43A91"/>
    <w:rsid w:val="00E8137B"/>
    <w:rsid w:val="00E866A5"/>
    <w:rsid w:val="00E967C3"/>
    <w:rsid w:val="00ED2A2A"/>
    <w:rsid w:val="00F00C55"/>
    <w:rsid w:val="00F44D0B"/>
    <w:rsid w:val="00F607C0"/>
    <w:rsid w:val="00F7502A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2" ma:contentTypeDescription="Create a new document." ma:contentTypeScope="" ma:versionID="497a0e276f39f0ab6b71e7f68cb72d4e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67f8af2b5ca84a2c159fc0519dbd6ea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5E7C-DBBB-449D-97EA-919785177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EAC7D-67B3-4187-ADDA-5F98345094B4}">
  <ds:schemaRefs>
    <ds:schemaRef ds:uri="483dba53-7734-44b0-a8e9-8dd24ce872c9"/>
    <ds:schemaRef ds:uri="http://purl.org/dc/terms/"/>
    <ds:schemaRef ds:uri="http://schemas.microsoft.com/office/2006/documentManagement/types"/>
    <ds:schemaRef ds:uri="http://schemas.microsoft.com/office/2006/metadata/properties"/>
    <ds:schemaRef ds:uri="c7d0f312-d748-48d1-b1de-9d5105df220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EC1D2A-CD73-41D1-855A-183E4A50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68CBD-EE7F-48F2-8B16-61C7F6A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ECE/TRANS/WP.29/GRSG/2020/19</vt:lpstr>
      <vt:lpstr>ECE/TRANS/WP.29/GRSG/2019/34</vt:lpstr>
      <vt:lpstr>ECE/TRANS/WP.29/GRSG/2019/34</vt:lpstr>
    </vt:vector>
  </TitlesOfParts>
  <Company>MIT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ECE/TRANS/WP.29/GRSG/2020/19</dc:title>
  <dc:subject>2010004</dc:subject>
  <dc:creator>MIT</dc:creator>
  <cp:keywords/>
  <dc:description/>
  <cp:lastModifiedBy>Benedicte Boudol</cp:lastModifiedBy>
  <cp:revision>2</cp:revision>
  <cp:lastPrinted>2019-07-19T11:29:00Z</cp:lastPrinted>
  <dcterms:created xsi:type="dcterms:W3CDTF">2020-10-05T15:19:00Z</dcterms:created>
  <dcterms:modified xsi:type="dcterms:W3CDTF">2020-10-05T15:19:00Z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0x01010043F009AA20B2ED4399E9C39C77341190</vt:lpwstr>
  </property>
</Properties>
</file>