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B1A88" w14:textId="6DC131F4" w:rsidR="00161894" w:rsidRDefault="00161894" w:rsidP="00B71CBF">
      <w:pPr>
        <w:pStyle w:val="HChG"/>
        <w:ind w:firstLine="0"/>
        <w:jc w:val="center"/>
      </w:pPr>
      <w:r>
        <w:t xml:space="preserve">Proposal for amendments to </w:t>
      </w:r>
      <w:r w:rsidR="003D6A33" w:rsidRPr="003D6A33">
        <w:t>GRVA-05-05</w:t>
      </w:r>
    </w:p>
    <w:p w14:paraId="2A5ABF8F" w14:textId="7071C6F5" w:rsidR="00BD361A" w:rsidRPr="00691E80" w:rsidRDefault="00BD361A" w:rsidP="00BD361A">
      <w:pPr>
        <w:rPr>
          <w:b/>
          <w:bCs/>
          <w:sz w:val="32"/>
          <w:szCs w:val="32"/>
          <w:u w:val="single"/>
        </w:rPr>
      </w:pPr>
      <w:bookmarkStart w:id="0" w:name="_Hlk31817588"/>
      <w:r w:rsidRPr="00691E80">
        <w:rPr>
          <w:b/>
          <w:bCs/>
          <w:sz w:val="32"/>
          <w:szCs w:val="32"/>
          <w:u w:val="single"/>
        </w:rPr>
        <w:t>Paragraph 5.3</w:t>
      </w:r>
    </w:p>
    <w:bookmarkEnd w:id="0"/>
    <w:p w14:paraId="46613174" w14:textId="3740990E" w:rsidR="000C6927" w:rsidRDefault="000C6927" w:rsidP="00161894">
      <w:pPr>
        <w:pStyle w:val="HChG"/>
        <w:keepNext w:val="0"/>
        <w:keepLines w:val="0"/>
      </w:pPr>
      <w:r w:rsidRPr="004C4906">
        <w:tab/>
        <w:t>I.</w:t>
      </w:r>
      <w:r w:rsidRPr="004C4906">
        <w:tab/>
      </w:r>
      <w:r>
        <w:t>Proposal</w:t>
      </w:r>
    </w:p>
    <w:p w14:paraId="19B30DDA" w14:textId="70026A73" w:rsidR="000C6927" w:rsidRDefault="000C6927" w:rsidP="000C6927">
      <w:pPr>
        <w:spacing w:after="120" w:line="240" w:lineRule="auto"/>
        <w:ind w:left="1134" w:right="1134"/>
        <w:jc w:val="both"/>
        <w:rPr>
          <w:rFonts w:asciiTheme="majorBidi" w:hAnsiTheme="majorBidi" w:cstheme="majorBidi"/>
        </w:rPr>
      </w:pPr>
      <w:r w:rsidRPr="00843FE1">
        <w:rPr>
          <w:rFonts w:asciiTheme="majorBidi" w:hAnsiTheme="majorBidi" w:cstheme="majorBidi"/>
          <w:i/>
          <w:lang w:val="sv-SE"/>
        </w:rPr>
        <w:t>Paragraph 5</w:t>
      </w:r>
      <w:r>
        <w:rPr>
          <w:rFonts w:asciiTheme="majorBidi" w:hAnsiTheme="majorBidi" w:cstheme="majorBidi"/>
          <w:i/>
          <w:lang w:val="sv-SE"/>
        </w:rPr>
        <w:t>.</w:t>
      </w:r>
      <w:r w:rsidR="00016E5F">
        <w:rPr>
          <w:rFonts w:asciiTheme="majorBidi" w:hAnsiTheme="majorBidi" w:cstheme="majorBidi"/>
          <w:i/>
          <w:lang w:val="sv-SE"/>
        </w:rPr>
        <w:t>3</w:t>
      </w:r>
      <w:r>
        <w:rPr>
          <w:rFonts w:asciiTheme="majorBidi" w:hAnsiTheme="majorBidi" w:cstheme="majorBidi"/>
          <w:i/>
          <w:lang w:val="sv-SE"/>
        </w:rPr>
        <w:t>.</w:t>
      </w:r>
      <w:r w:rsidRPr="00843FE1">
        <w:rPr>
          <w:rFonts w:asciiTheme="majorBidi" w:hAnsiTheme="majorBidi" w:cstheme="majorBidi"/>
          <w:i/>
        </w:rPr>
        <w:t xml:space="preserve">, </w:t>
      </w:r>
      <w:r w:rsidRPr="00843FE1">
        <w:rPr>
          <w:rFonts w:asciiTheme="majorBidi" w:hAnsiTheme="majorBidi" w:cstheme="majorBidi"/>
        </w:rPr>
        <w:t>amend to read:</w:t>
      </w:r>
    </w:p>
    <w:p w14:paraId="50F7B6E3" w14:textId="303FF583" w:rsidR="007F79F8" w:rsidRDefault="000C6927" w:rsidP="007F79F8">
      <w:pPr>
        <w:spacing w:after="120" w:line="240" w:lineRule="auto"/>
        <w:ind w:left="2268" w:right="1134" w:hanging="1134"/>
        <w:jc w:val="both"/>
        <w:rPr>
          <w:rFonts w:asciiTheme="majorBidi" w:hAnsiTheme="majorBidi" w:cstheme="majorBidi"/>
        </w:rPr>
      </w:pPr>
      <w:r w:rsidRPr="00843FE1">
        <w:rPr>
          <w:rFonts w:asciiTheme="majorBidi" w:hAnsiTheme="majorBidi" w:cstheme="majorBidi"/>
        </w:rPr>
        <w:t>"</w:t>
      </w:r>
      <w:r>
        <w:rPr>
          <w:rFonts w:asciiTheme="majorBidi" w:hAnsiTheme="majorBidi" w:cstheme="majorBidi"/>
        </w:rPr>
        <w:t>5.</w:t>
      </w:r>
      <w:r w:rsidR="003D6A33">
        <w:rPr>
          <w:rFonts w:asciiTheme="majorBidi" w:hAnsiTheme="majorBidi" w:cstheme="majorBidi"/>
        </w:rPr>
        <w:t>3</w:t>
      </w:r>
      <w:r>
        <w:rPr>
          <w:rFonts w:asciiTheme="majorBidi" w:hAnsiTheme="majorBidi" w:cstheme="majorBidi"/>
        </w:rPr>
        <w:t>.</w:t>
      </w:r>
      <w:r>
        <w:rPr>
          <w:rFonts w:asciiTheme="majorBidi" w:hAnsiTheme="majorBidi" w:cstheme="majorBidi"/>
        </w:rPr>
        <w:tab/>
      </w:r>
      <w:r w:rsidR="003D6A33" w:rsidRPr="003D6A33">
        <w:rPr>
          <w:rFonts w:asciiTheme="majorBidi" w:hAnsiTheme="majorBidi" w:cstheme="majorBidi"/>
        </w:rPr>
        <w:t>Approval Authorities shall not grant any type approval without verifying that the manufacturer has put in place satisfactory arrangements and procedures to manage properly the cyber security aspects as covered by this Regulation.</w:t>
      </w:r>
    </w:p>
    <w:p w14:paraId="20BA740A" w14:textId="30B18BD4" w:rsidR="007F79F8" w:rsidRPr="00EF5619" w:rsidRDefault="007F79F8" w:rsidP="007F79F8">
      <w:pPr>
        <w:spacing w:after="120" w:line="240" w:lineRule="auto"/>
        <w:ind w:left="2268" w:right="1134" w:hanging="1134"/>
        <w:jc w:val="both"/>
        <w:rPr>
          <w:rFonts w:eastAsia="Malgun Gothic" w:cs="Arial"/>
          <w:b/>
          <w:bCs/>
        </w:rPr>
      </w:pPr>
      <w:r w:rsidRPr="00EF5619">
        <w:rPr>
          <w:rFonts w:asciiTheme="majorBidi" w:hAnsiTheme="majorBidi" w:cstheme="majorBidi"/>
          <w:b/>
        </w:rPr>
        <w:t xml:space="preserve">5.3.1 </w:t>
      </w:r>
      <w:r w:rsidRPr="00EF5619">
        <w:rPr>
          <w:rFonts w:asciiTheme="majorBidi" w:hAnsiTheme="majorBidi" w:cstheme="majorBidi"/>
          <w:b/>
        </w:rPr>
        <w:tab/>
      </w:r>
      <w:r w:rsidRPr="00EF5619">
        <w:rPr>
          <w:rFonts w:eastAsia="Malgun Gothic" w:cs="Arial"/>
          <w:b/>
          <w:bCs/>
        </w:rPr>
        <w:t>To conduct assessments the technical service</w:t>
      </w:r>
      <w:r w:rsidR="00C13CD9">
        <w:rPr>
          <w:rFonts w:eastAsia="Malgun Gothic" w:cs="Arial"/>
          <w:b/>
          <w:bCs/>
        </w:rPr>
        <w:t>s</w:t>
      </w:r>
      <w:r w:rsidRPr="00EF5619">
        <w:rPr>
          <w:rFonts w:eastAsia="Malgun Gothic" w:cs="Arial"/>
          <w:b/>
          <w:bCs/>
        </w:rPr>
        <w:t xml:space="preserve"> </w:t>
      </w:r>
      <w:r w:rsidR="00C13CD9">
        <w:rPr>
          <w:rFonts w:eastAsia="Malgun Gothic" w:cs="Arial"/>
          <w:b/>
          <w:bCs/>
        </w:rPr>
        <w:t>shall</w:t>
      </w:r>
      <w:r w:rsidRPr="00EF5619">
        <w:rPr>
          <w:rFonts w:eastAsia="Malgun Gothic" w:cs="Arial"/>
          <w:b/>
          <w:bCs/>
        </w:rPr>
        <w:t xml:space="preserve"> be designated by the Approval Authority which will issue the Certificate of Compliance for the Cyber Security Management System and the approval of the vehicle type </w:t>
      </w:r>
      <w:proofErr w:type="gramStart"/>
      <w:r w:rsidRPr="00EF5619">
        <w:rPr>
          <w:rFonts w:eastAsia="Malgun Gothic" w:cs="Arial"/>
          <w:b/>
          <w:bCs/>
        </w:rPr>
        <w:t>with regard to</w:t>
      </w:r>
      <w:proofErr w:type="gramEnd"/>
      <w:r w:rsidRPr="00EF5619">
        <w:rPr>
          <w:rFonts w:eastAsia="Malgun Gothic" w:cs="Arial"/>
          <w:b/>
          <w:bCs/>
        </w:rPr>
        <w:t xml:space="preserve"> Cyber Security</w:t>
      </w:r>
      <w:r w:rsidR="00803567" w:rsidRPr="00EF5619">
        <w:rPr>
          <w:rFonts w:eastAsia="Malgun Gothic" w:cs="Arial"/>
          <w:b/>
          <w:bCs/>
        </w:rPr>
        <w:t>.</w:t>
      </w:r>
    </w:p>
    <w:p w14:paraId="463486C3" w14:textId="69651816" w:rsidR="00803567" w:rsidRPr="00EF5619" w:rsidRDefault="00803567" w:rsidP="007F79F8">
      <w:pPr>
        <w:spacing w:after="120" w:line="240" w:lineRule="auto"/>
        <w:ind w:left="2268" w:right="1134" w:hanging="1134"/>
        <w:jc w:val="both"/>
        <w:rPr>
          <w:b/>
        </w:rPr>
      </w:pPr>
      <w:r w:rsidRPr="00EF5619">
        <w:rPr>
          <w:rFonts w:asciiTheme="majorBidi" w:hAnsiTheme="majorBidi" w:cstheme="majorBidi"/>
          <w:b/>
        </w:rPr>
        <w:t>5.3.2.</w:t>
      </w:r>
      <w:r w:rsidRPr="00EF5619">
        <w:rPr>
          <w:rFonts w:asciiTheme="majorBidi" w:hAnsiTheme="majorBidi" w:cstheme="majorBidi"/>
          <w:b/>
        </w:rPr>
        <w:tab/>
      </w:r>
      <w:r w:rsidRPr="00EF5619">
        <w:rPr>
          <w:b/>
        </w:rPr>
        <w:t xml:space="preserve">Technical </w:t>
      </w:r>
      <w:r w:rsidR="00EF5619">
        <w:rPr>
          <w:b/>
        </w:rPr>
        <w:t>S</w:t>
      </w:r>
      <w:r w:rsidRPr="00EF5619">
        <w:rPr>
          <w:b/>
        </w:rPr>
        <w:t xml:space="preserve">ervices shall demonstrate appropriate cyber security skills and specific </w:t>
      </w:r>
      <w:r w:rsidR="00382427" w:rsidRPr="00EF5619">
        <w:rPr>
          <w:rFonts w:eastAsia="Malgun Gothic" w:cs="Arial"/>
          <w:b/>
          <w:bCs/>
        </w:rPr>
        <w:t>automotive risk assessments</w:t>
      </w:r>
      <w:r w:rsidRPr="00EF5619">
        <w:rPr>
          <w:b/>
        </w:rPr>
        <w:t xml:space="preserve"> knowledge and proven </w:t>
      </w:r>
      <w:r w:rsidR="00382427" w:rsidRPr="00EF5619">
        <w:rPr>
          <w:b/>
        </w:rPr>
        <w:t xml:space="preserve">associated </w:t>
      </w:r>
      <w:r w:rsidRPr="00EF5619">
        <w:rPr>
          <w:b/>
        </w:rPr>
        <w:t>experience. In addition, technical services shall comply with the relevant applicable standards</w:t>
      </w:r>
      <w:r w:rsidR="00382427" w:rsidRPr="00EF5619">
        <w:rPr>
          <w:b/>
        </w:rPr>
        <w:t xml:space="preserve"> for cyber security.</w:t>
      </w:r>
    </w:p>
    <w:p w14:paraId="1AA91B5A" w14:textId="21551DE8" w:rsidR="00382427" w:rsidRDefault="00382427" w:rsidP="007F79F8">
      <w:pPr>
        <w:spacing w:after="120" w:line="240" w:lineRule="auto"/>
        <w:ind w:left="2268" w:right="1134" w:hanging="1134"/>
        <w:jc w:val="both"/>
        <w:rPr>
          <w:rFonts w:eastAsia="Malgun Gothic" w:cs="Arial"/>
          <w:b/>
          <w:bCs/>
        </w:rPr>
      </w:pPr>
      <w:r w:rsidRPr="00EF5619">
        <w:rPr>
          <w:rFonts w:eastAsia="Malgun Gothic" w:cs="Arial"/>
          <w:b/>
          <w:bCs/>
        </w:rPr>
        <w:t>5.3.4.</w:t>
      </w:r>
      <w:r w:rsidRPr="00EF5619">
        <w:rPr>
          <w:rFonts w:eastAsia="Malgun Gothic" w:cs="Arial"/>
          <w:b/>
          <w:bCs/>
        </w:rPr>
        <w:tab/>
        <w:t xml:space="preserve">The Technical </w:t>
      </w:r>
      <w:r w:rsidR="00EF5619">
        <w:rPr>
          <w:rFonts w:eastAsia="Malgun Gothic" w:cs="Arial"/>
          <w:b/>
          <w:bCs/>
        </w:rPr>
        <w:t>S</w:t>
      </w:r>
      <w:r w:rsidRPr="00EF5619">
        <w:rPr>
          <w:rFonts w:eastAsia="Malgun Gothic" w:cs="Arial"/>
          <w:b/>
          <w:bCs/>
        </w:rPr>
        <w:t>ervice shall have competent personnel and implemented procedures for the uniform evaluation according to the current regulation. These procedures shall be made available for the manufacturer and the Type Approval Authority.</w:t>
      </w:r>
    </w:p>
    <w:p w14:paraId="46EC9524" w14:textId="630FA19C" w:rsidR="00EF5619" w:rsidRPr="00EF5619" w:rsidRDefault="00EF5619" w:rsidP="00EF5619">
      <w:pPr>
        <w:spacing w:after="120" w:line="240" w:lineRule="auto"/>
        <w:ind w:left="2268" w:right="1134" w:hanging="1134"/>
        <w:jc w:val="both"/>
        <w:rPr>
          <w:rFonts w:eastAsia="Malgun Gothic" w:cs="Arial"/>
          <w:b/>
          <w:bCs/>
        </w:rPr>
      </w:pPr>
      <w:r w:rsidRPr="00EF5619">
        <w:rPr>
          <w:rFonts w:eastAsia="Malgun Gothic" w:cs="Arial"/>
          <w:b/>
          <w:bCs/>
        </w:rPr>
        <w:t>5.3.</w:t>
      </w:r>
      <w:r>
        <w:rPr>
          <w:rFonts w:eastAsia="Malgun Gothic" w:cs="Arial"/>
          <w:b/>
          <w:bCs/>
        </w:rPr>
        <w:t>4</w:t>
      </w:r>
      <w:r w:rsidRPr="00EF5619">
        <w:rPr>
          <w:rFonts w:eastAsia="Malgun Gothic" w:cs="Arial"/>
          <w:b/>
          <w:bCs/>
        </w:rPr>
        <w:t>.</w:t>
      </w:r>
      <w:r w:rsidRPr="00EF5619">
        <w:rPr>
          <w:rFonts w:eastAsia="Malgun Gothic" w:cs="Arial"/>
          <w:b/>
          <w:bCs/>
        </w:rPr>
        <w:tab/>
        <w:t xml:space="preserve">The </w:t>
      </w:r>
      <w:r>
        <w:rPr>
          <w:rFonts w:eastAsia="Malgun Gothic" w:cs="Arial"/>
          <w:b/>
          <w:bCs/>
        </w:rPr>
        <w:t>Technical Service</w:t>
      </w:r>
      <w:r w:rsidRPr="00EF5619">
        <w:rPr>
          <w:rFonts w:eastAsia="Malgun Gothic" w:cs="Arial"/>
          <w:b/>
          <w:bCs/>
        </w:rPr>
        <w:t xml:space="preserve"> shall operate independently of external influences.</w:t>
      </w:r>
    </w:p>
    <w:p w14:paraId="3CE8B821" w14:textId="77777777" w:rsidR="00EF5619" w:rsidRPr="00EF5619" w:rsidRDefault="00EF5619" w:rsidP="007F79F8">
      <w:pPr>
        <w:spacing w:after="120" w:line="240" w:lineRule="auto"/>
        <w:ind w:left="2268" w:right="1134" w:hanging="1134"/>
        <w:jc w:val="both"/>
        <w:rPr>
          <w:rFonts w:asciiTheme="majorBidi" w:hAnsiTheme="majorBidi" w:cstheme="majorBidi"/>
          <w:b/>
        </w:rPr>
      </w:pPr>
    </w:p>
    <w:p w14:paraId="48EB612E" w14:textId="156B5167" w:rsidR="00016E5F" w:rsidRPr="003D6A33" w:rsidRDefault="003D6A33" w:rsidP="001C0BC3">
      <w:pPr>
        <w:spacing w:after="120" w:line="240" w:lineRule="auto"/>
        <w:ind w:left="2268" w:right="1134" w:hanging="1134"/>
        <w:jc w:val="both"/>
        <w:rPr>
          <w:rFonts w:asciiTheme="majorBidi" w:hAnsiTheme="majorBidi" w:cstheme="majorBidi"/>
          <w:strike/>
          <w:lang w:eastAsia="ja-JP"/>
        </w:rPr>
      </w:pPr>
      <w:r w:rsidRPr="003D6A33">
        <w:rPr>
          <w:rFonts w:asciiTheme="majorBidi" w:hAnsiTheme="majorBidi" w:cstheme="majorBidi"/>
          <w:strike/>
          <w:lang w:eastAsia="ja-JP"/>
        </w:rPr>
        <w:t>[</w:t>
      </w:r>
      <w:r w:rsidR="00016E5F" w:rsidRPr="003D6A33">
        <w:rPr>
          <w:rFonts w:asciiTheme="majorBidi" w:hAnsiTheme="majorBidi" w:cstheme="majorBidi" w:hint="eastAsia"/>
          <w:strike/>
          <w:lang w:eastAsia="ja-JP"/>
        </w:rPr>
        <w:t>5</w:t>
      </w:r>
      <w:r w:rsidR="00016E5F" w:rsidRPr="003D6A33">
        <w:rPr>
          <w:rFonts w:asciiTheme="majorBidi" w:hAnsiTheme="majorBidi" w:cstheme="majorBidi"/>
          <w:strike/>
          <w:lang w:eastAsia="ja-JP"/>
        </w:rPr>
        <w:t>.3.1.</w:t>
      </w:r>
      <w:r w:rsidR="00016E5F" w:rsidRPr="003D6A33">
        <w:rPr>
          <w:rFonts w:asciiTheme="majorBidi" w:hAnsiTheme="majorBidi" w:cstheme="majorBidi"/>
          <w:lang w:eastAsia="ja-JP"/>
        </w:rPr>
        <w:tab/>
      </w:r>
      <w:r w:rsidRPr="003D6A33">
        <w:rPr>
          <w:rFonts w:asciiTheme="majorBidi" w:hAnsiTheme="majorBidi" w:cstheme="majorBidi"/>
          <w:strike/>
          <w:lang w:eastAsia="ja-JP"/>
        </w:rPr>
        <w:t xml:space="preserve">Each Approval Authority shall actively inform and seek guidance from other Approval Authorities before making the decision grant a type approval under this Regulation. To this effect, the Approval Authority concerned shall notify the Approval Authorities applying this Regulation of the draft approval decision, together with the description of the method and criteria of assessment employed by the Approval Authority. The documents referred to in paragraph 3.3 and the results of the tests performed pursuant to paragraph 5.1.2. shall be open for inspection by the Approval Authorities applying this Regulation, except where the manufacturer notifies, with the notifying Approval Authority, opposition to the inspection of designated part of the documentation, no later than </w:t>
      </w:r>
      <w:proofErr w:type="gramStart"/>
      <w:r w:rsidRPr="003D6A33">
        <w:rPr>
          <w:rFonts w:asciiTheme="majorBidi" w:hAnsiTheme="majorBidi" w:cstheme="majorBidi"/>
          <w:strike/>
          <w:lang w:eastAsia="ja-JP"/>
        </w:rPr>
        <w:t>at the moment</w:t>
      </w:r>
      <w:proofErr w:type="gramEnd"/>
      <w:r w:rsidRPr="003D6A33">
        <w:rPr>
          <w:rFonts w:asciiTheme="majorBidi" w:hAnsiTheme="majorBidi" w:cstheme="majorBidi"/>
          <w:strike/>
          <w:lang w:eastAsia="ja-JP"/>
        </w:rPr>
        <w:t xml:space="preserve"> of notification.</w:t>
      </w:r>
    </w:p>
    <w:p w14:paraId="12A39577" w14:textId="31B7A213" w:rsidR="00016E5F" w:rsidRPr="003D6A33" w:rsidRDefault="00016E5F" w:rsidP="001C0BC3">
      <w:pPr>
        <w:spacing w:after="120" w:line="240" w:lineRule="auto"/>
        <w:ind w:left="2268" w:right="1134" w:hanging="1134"/>
        <w:jc w:val="both"/>
        <w:rPr>
          <w:rFonts w:asciiTheme="majorBidi" w:hAnsiTheme="majorBidi" w:cstheme="majorBidi"/>
          <w:strike/>
          <w:lang w:eastAsia="ja-JP"/>
        </w:rPr>
      </w:pPr>
      <w:r w:rsidRPr="003D6A33">
        <w:rPr>
          <w:rFonts w:asciiTheme="majorBidi" w:hAnsiTheme="majorBidi" w:cstheme="majorBidi" w:hint="eastAsia"/>
          <w:strike/>
          <w:lang w:eastAsia="ja-JP"/>
        </w:rPr>
        <w:t>5</w:t>
      </w:r>
      <w:r w:rsidRPr="003D6A33">
        <w:rPr>
          <w:rFonts w:asciiTheme="majorBidi" w:hAnsiTheme="majorBidi" w:cstheme="majorBidi"/>
          <w:strike/>
          <w:lang w:eastAsia="ja-JP"/>
        </w:rPr>
        <w:t>.3.2.</w:t>
      </w:r>
      <w:r w:rsidR="003D6A33" w:rsidRPr="003D6A33">
        <w:rPr>
          <w:rFonts w:asciiTheme="majorBidi" w:hAnsiTheme="majorBidi" w:cstheme="majorBidi"/>
          <w:lang w:eastAsia="ja-JP"/>
        </w:rPr>
        <w:tab/>
        <w:t xml:space="preserve"> </w:t>
      </w:r>
      <w:r w:rsidR="003D6A33" w:rsidRPr="003D6A33">
        <w:rPr>
          <w:rFonts w:asciiTheme="majorBidi" w:hAnsiTheme="majorBidi" w:cstheme="majorBidi"/>
          <w:strike/>
          <w:lang w:eastAsia="ja-JP"/>
        </w:rPr>
        <w:t xml:space="preserve">Each Approval Authority applying this Regulation may notify the other Parties, within 30 calendar days, its reasoned reservations </w:t>
      </w:r>
      <w:proofErr w:type="gramStart"/>
      <w:r w:rsidR="003D6A33" w:rsidRPr="003D6A33">
        <w:rPr>
          <w:rFonts w:asciiTheme="majorBidi" w:hAnsiTheme="majorBidi" w:cstheme="majorBidi"/>
          <w:strike/>
          <w:lang w:eastAsia="ja-JP"/>
        </w:rPr>
        <w:t>with regard to</w:t>
      </w:r>
      <w:proofErr w:type="gramEnd"/>
      <w:r w:rsidR="003D6A33" w:rsidRPr="003D6A33">
        <w:rPr>
          <w:rFonts w:asciiTheme="majorBidi" w:hAnsiTheme="majorBidi" w:cstheme="majorBidi"/>
          <w:strike/>
          <w:lang w:eastAsia="ja-JP"/>
        </w:rPr>
        <w:t xml:space="preserve"> the whole or the part of the decision notified. Subsequently, the Approval Authority shall notify to the Approval Authorities applying this Regulation the draft decision revised </w:t>
      </w:r>
      <w:proofErr w:type="gramStart"/>
      <w:r w:rsidR="003D6A33" w:rsidRPr="003D6A33">
        <w:rPr>
          <w:rFonts w:asciiTheme="majorBidi" w:hAnsiTheme="majorBidi" w:cstheme="majorBidi"/>
          <w:strike/>
          <w:lang w:eastAsia="ja-JP"/>
        </w:rPr>
        <w:t>taking into account</w:t>
      </w:r>
      <w:proofErr w:type="gramEnd"/>
      <w:r w:rsidR="003D6A33" w:rsidRPr="003D6A33">
        <w:rPr>
          <w:rFonts w:asciiTheme="majorBidi" w:hAnsiTheme="majorBidi" w:cstheme="majorBidi"/>
          <w:strike/>
          <w:lang w:eastAsia="ja-JP"/>
        </w:rPr>
        <w:t xml:space="preserve"> the reservations received.</w:t>
      </w:r>
    </w:p>
    <w:p w14:paraId="69728264" w14:textId="63709DC6" w:rsidR="00016E5F" w:rsidRPr="003D6A33" w:rsidRDefault="00016E5F" w:rsidP="001C0BC3">
      <w:pPr>
        <w:spacing w:after="120" w:line="240" w:lineRule="auto"/>
        <w:ind w:left="2268" w:right="1134" w:hanging="1134"/>
        <w:jc w:val="both"/>
        <w:rPr>
          <w:rFonts w:asciiTheme="majorBidi" w:hAnsiTheme="majorBidi" w:cstheme="majorBidi"/>
          <w:strike/>
          <w:lang w:eastAsia="ja-JP"/>
        </w:rPr>
      </w:pPr>
      <w:r w:rsidRPr="003D6A33">
        <w:rPr>
          <w:rFonts w:asciiTheme="majorBidi" w:hAnsiTheme="majorBidi" w:cstheme="majorBidi" w:hint="eastAsia"/>
          <w:strike/>
          <w:lang w:eastAsia="ja-JP"/>
        </w:rPr>
        <w:t>5</w:t>
      </w:r>
      <w:r w:rsidRPr="003D6A33">
        <w:rPr>
          <w:rFonts w:asciiTheme="majorBidi" w:hAnsiTheme="majorBidi" w:cstheme="majorBidi"/>
          <w:strike/>
          <w:lang w:eastAsia="ja-JP"/>
        </w:rPr>
        <w:t>.3.3.</w:t>
      </w:r>
      <w:r w:rsidRPr="003D6A33">
        <w:rPr>
          <w:rFonts w:asciiTheme="majorBidi" w:hAnsiTheme="majorBidi" w:cstheme="majorBidi"/>
          <w:lang w:eastAsia="ja-JP"/>
        </w:rPr>
        <w:tab/>
      </w:r>
      <w:r w:rsidR="003D6A33" w:rsidRPr="003D6A33">
        <w:rPr>
          <w:rFonts w:asciiTheme="majorBidi" w:hAnsiTheme="majorBidi" w:cstheme="majorBidi"/>
          <w:strike/>
          <w:lang w:eastAsia="ja-JP"/>
        </w:rPr>
        <w:t>If at least two Parties notify, within 30 calendar days, reasoned reservations to this draft decision, the Approval Authority shall not adopt a type approval decision. In this case, the draft type approval decision, together with the description of the method and criteria of assessment employed by the Approval Authority, and the reservations notified pursuant to this section shall be referred to the Chair of the World Forum for Harmonization of Vehicle Regulations (WP.29) and to the Chair of the subsidiary Working Party as diverging interpretations within the meaning of Schedule 6 to the [1958 Agreement]. The procedure provided for in paragraph 3 of Schedule 6 shall apply. The documents referred to in paragraph 3.</w:t>
      </w:r>
      <w:proofErr w:type="gramStart"/>
      <w:r w:rsidR="003D6A33" w:rsidRPr="003D6A33">
        <w:rPr>
          <w:rFonts w:asciiTheme="majorBidi" w:hAnsiTheme="majorBidi" w:cstheme="majorBidi"/>
          <w:strike/>
          <w:lang w:eastAsia="ja-JP"/>
        </w:rPr>
        <w:t>3.of</w:t>
      </w:r>
      <w:proofErr w:type="gramEnd"/>
      <w:r w:rsidR="003D6A33" w:rsidRPr="003D6A33">
        <w:rPr>
          <w:rFonts w:asciiTheme="majorBidi" w:hAnsiTheme="majorBidi" w:cstheme="majorBidi"/>
          <w:strike/>
          <w:lang w:eastAsia="ja-JP"/>
        </w:rPr>
        <w:t xml:space="preserve"> this Regulation and the results of the tests performed pursuant to paragraph 5.1.2. shall be open for inspection by the Chair of WP.29 and the Chair of the subsidiary Working Party on the same conditions as those set out in paragraph 5.3.1. above.</w:t>
      </w:r>
    </w:p>
    <w:p w14:paraId="41174384" w14:textId="1AFB3E24" w:rsidR="00016E5F" w:rsidRDefault="00016E5F" w:rsidP="004E0E2F">
      <w:pPr>
        <w:spacing w:after="120" w:line="240" w:lineRule="auto"/>
        <w:ind w:left="2268" w:right="1134" w:hanging="1134"/>
        <w:jc w:val="both"/>
        <w:rPr>
          <w:rFonts w:asciiTheme="majorBidi" w:hAnsiTheme="majorBidi" w:cstheme="majorBidi"/>
          <w:lang w:eastAsia="ja-JP"/>
        </w:rPr>
      </w:pPr>
      <w:r w:rsidRPr="003D6A33">
        <w:rPr>
          <w:rFonts w:asciiTheme="majorBidi" w:hAnsiTheme="majorBidi" w:cstheme="majorBidi" w:hint="eastAsia"/>
          <w:strike/>
          <w:lang w:eastAsia="ja-JP"/>
        </w:rPr>
        <w:lastRenderedPageBreak/>
        <w:t>5</w:t>
      </w:r>
      <w:r w:rsidRPr="003D6A33">
        <w:rPr>
          <w:rFonts w:asciiTheme="majorBidi" w:hAnsiTheme="majorBidi" w:cstheme="majorBidi"/>
          <w:strike/>
          <w:lang w:eastAsia="ja-JP"/>
        </w:rPr>
        <w:t>.3.4.</w:t>
      </w:r>
      <w:r w:rsidRPr="003D6A33">
        <w:rPr>
          <w:rFonts w:asciiTheme="majorBidi" w:hAnsiTheme="majorBidi" w:cstheme="majorBidi"/>
          <w:lang w:eastAsia="ja-JP"/>
        </w:rPr>
        <w:tab/>
      </w:r>
      <w:r w:rsidR="003D6A33" w:rsidRPr="003D6A33">
        <w:rPr>
          <w:rFonts w:asciiTheme="majorBidi" w:hAnsiTheme="majorBidi" w:cstheme="majorBidi"/>
          <w:strike/>
          <w:lang w:eastAsia="ja-JP"/>
        </w:rPr>
        <w:t>The interpretation agreed in the Working Party shall be implemented and the approval authority shall issue UN type approval accordingly.]</w:t>
      </w:r>
      <w:r w:rsidR="003D6A33" w:rsidRPr="00843FE1">
        <w:rPr>
          <w:rFonts w:asciiTheme="majorBidi" w:hAnsiTheme="majorBidi" w:cstheme="majorBidi"/>
        </w:rPr>
        <w:t>"</w:t>
      </w:r>
    </w:p>
    <w:p w14:paraId="4B2DCBD7" w14:textId="476F28D7" w:rsidR="000C6927" w:rsidRDefault="000C6927" w:rsidP="00186A4E">
      <w:pPr>
        <w:pStyle w:val="HChG"/>
        <w:tabs>
          <w:tab w:val="left" w:pos="1134"/>
          <w:tab w:val="left" w:pos="1701"/>
          <w:tab w:val="left" w:pos="2268"/>
          <w:tab w:val="left" w:pos="5044"/>
        </w:tabs>
      </w:pPr>
      <w:r w:rsidRPr="004C4906">
        <w:tab/>
        <w:t>II.</w:t>
      </w:r>
      <w:r w:rsidRPr="004C4906">
        <w:tab/>
      </w:r>
      <w:r>
        <w:t>Justification</w:t>
      </w:r>
    </w:p>
    <w:p w14:paraId="7B483351" w14:textId="77777777" w:rsidR="00EF5619" w:rsidRDefault="00EF5619" w:rsidP="00EF5619">
      <w:pPr>
        <w:tabs>
          <w:tab w:val="left" w:pos="1701"/>
        </w:tabs>
        <w:suppressAutoHyphens w:val="0"/>
        <w:spacing w:after="120" w:line="240" w:lineRule="auto"/>
        <w:ind w:left="1134" w:right="1134"/>
        <w:jc w:val="both"/>
      </w:pPr>
      <w:r>
        <w:rPr>
          <w:lang w:val="en-US" w:eastAsia="ja-JP"/>
        </w:rPr>
        <w:t xml:space="preserve">Recognizing the objective of full, robust and harmonized application of the requirements of the cybersecurity regulation, the French authorities nevertheless consider this proposal inappropriate. </w:t>
      </w:r>
    </w:p>
    <w:p w14:paraId="26345F77" w14:textId="264E1670" w:rsidR="006D4E11" w:rsidRDefault="00273B67" w:rsidP="00273B67">
      <w:pPr>
        <w:tabs>
          <w:tab w:val="left" w:pos="1701"/>
        </w:tabs>
        <w:suppressAutoHyphens w:val="0"/>
        <w:autoSpaceDE w:val="0"/>
        <w:autoSpaceDN w:val="0"/>
        <w:adjustRightInd w:val="0"/>
        <w:spacing w:after="120" w:line="240" w:lineRule="auto"/>
        <w:ind w:left="1134" w:right="1134"/>
        <w:jc w:val="both"/>
        <w:rPr>
          <w:rFonts w:asciiTheme="majorBidi" w:hAnsiTheme="majorBidi" w:cstheme="majorBidi"/>
          <w:lang w:eastAsia="ja-JP"/>
        </w:rPr>
      </w:pPr>
      <w:r>
        <w:rPr>
          <w:rFonts w:asciiTheme="majorBidi" w:hAnsiTheme="majorBidi" w:cstheme="majorBidi"/>
          <w:lang w:eastAsia="ja-JP"/>
        </w:rPr>
        <w:t>Even if this approach targets to secure cyber security approval process, c</w:t>
      </w:r>
      <w:r w:rsidR="00490B23">
        <w:rPr>
          <w:rFonts w:asciiTheme="majorBidi" w:hAnsiTheme="majorBidi" w:cstheme="majorBidi"/>
          <w:lang w:eastAsia="ja-JP"/>
        </w:rPr>
        <w:t>urrent p</w:t>
      </w:r>
      <w:r w:rsidR="00D254DF">
        <w:rPr>
          <w:rFonts w:asciiTheme="majorBidi" w:hAnsiTheme="majorBidi" w:cstheme="majorBidi" w:hint="eastAsia"/>
          <w:lang w:eastAsia="ja-JP"/>
        </w:rPr>
        <w:t>aragraph</w:t>
      </w:r>
      <w:r w:rsidR="004E0E2F">
        <w:rPr>
          <w:rFonts w:asciiTheme="majorBidi" w:hAnsiTheme="majorBidi" w:cstheme="majorBidi"/>
          <w:lang w:eastAsia="ja-JP"/>
        </w:rPr>
        <w:t>s</w:t>
      </w:r>
      <w:r w:rsidR="00D254DF">
        <w:rPr>
          <w:rFonts w:asciiTheme="majorBidi" w:hAnsiTheme="majorBidi" w:cstheme="majorBidi" w:hint="eastAsia"/>
          <w:lang w:eastAsia="ja-JP"/>
        </w:rPr>
        <w:t xml:space="preserve"> 5.3.1. to 5.3.4. </w:t>
      </w:r>
      <w:r w:rsidR="00490B23">
        <w:rPr>
          <w:rFonts w:asciiTheme="majorBidi" w:hAnsiTheme="majorBidi" w:cstheme="majorBidi"/>
          <w:lang w:eastAsia="ja-JP"/>
        </w:rPr>
        <w:t>seems to not be adapted to the current approval process, especially in terms of time schedule</w:t>
      </w:r>
      <w:r>
        <w:rPr>
          <w:rFonts w:asciiTheme="majorBidi" w:hAnsiTheme="majorBidi" w:cstheme="majorBidi"/>
          <w:lang w:eastAsia="ja-JP"/>
        </w:rPr>
        <w:t>. This “cross check” between TAA would require a longer period, which is not compatible with the approval constraints. In addition</w:t>
      </w:r>
      <w:r w:rsidR="00C13CD9">
        <w:rPr>
          <w:rFonts w:asciiTheme="majorBidi" w:hAnsiTheme="majorBidi" w:cstheme="majorBidi"/>
          <w:lang w:eastAsia="ja-JP"/>
        </w:rPr>
        <w:t>,</w:t>
      </w:r>
      <w:r>
        <w:rPr>
          <w:rFonts w:asciiTheme="majorBidi" w:hAnsiTheme="majorBidi" w:cstheme="majorBidi"/>
          <w:lang w:eastAsia="ja-JP"/>
        </w:rPr>
        <w:t xml:space="preserve"> this approach could bring some misunderstanding regarding the mutual recognition between TAA under the 1958 agreements terms. </w:t>
      </w:r>
    </w:p>
    <w:p w14:paraId="3B4430E8" w14:textId="6025DB0D" w:rsidR="00273B67" w:rsidRDefault="00273B67">
      <w:pPr>
        <w:tabs>
          <w:tab w:val="left" w:pos="1701"/>
        </w:tabs>
        <w:suppressAutoHyphens w:val="0"/>
        <w:autoSpaceDE w:val="0"/>
        <w:autoSpaceDN w:val="0"/>
        <w:adjustRightInd w:val="0"/>
        <w:spacing w:after="120" w:line="240" w:lineRule="auto"/>
        <w:ind w:left="1134" w:right="1134"/>
        <w:jc w:val="both"/>
        <w:rPr>
          <w:rFonts w:asciiTheme="majorBidi" w:hAnsiTheme="majorBidi" w:cstheme="majorBidi"/>
          <w:lang w:eastAsia="ja-JP"/>
        </w:rPr>
      </w:pPr>
      <w:r>
        <w:rPr>
          <w:rFonts w:asciiTheme="majorBidi" w:hAnsiTheme="majorBidi" w:cstheme="majorBidi"/>
          <w:lang w:eastAsia="ja-JP"/>
        </w:rPr>
        <w:t xml:space="preserve">France is more in favour to continue the activity of the TF CS/OTA on this topic, more oriented under the required skills and experience for a technical service to be designated by a TAA. As a basis for discussion, the wording of </w:t>
      </w:r>
      <w:r w:rsidR="003C1DF3">
        <w:rPr>
          <w:rFonts w:asciiTheme="majorBidi" w:hAnsiTheme="majorBidi" w:cstheme="majorBidi"/>
          <w:lang w:eastAsia="ja-JP"/>
        </w:rPr>
        <w:t>paragraphs</w:t>
      </w:r>
      <w:r>
        <w:rPr>
          <w:rFonts w:asciiTheme="majorBidi" w:hAnsiTheme="majorBidi" w:cstheme="majorBidi"/>
          <w:lang w:eastAsia="ja-JP"/>
        </w:rPr>
        <w:t xml:space="preserve"> 5.3.1 to 5.3.4. of the current proposal could be used.</w:t>
      </w:r>
    </w:p>
    <w:p w14:paraId="34C73936" w14:textId="59EAA1A9" w:rsidR="00147844" w:rsidRDefault="00147844" w:rsidP="00C44F48">
      <w:pPr>
        <w:tabs>
          <w:tab w:val="left" w:pos="1701"/>
        </w:tabs>
        <w:suppressAutoHyphens w:val="0"/>
        <w:autoSpaceDE w:val="0"/>
        <w:autoSpaceDN w:val="0"/>
        <w:adjustRightInd w:val="0"/>
        <w:spacing w:after="120" w:line="240" w:lineRule="auto"/>
        <w:ind w:left="1134" w:right="1134"/>
        <w:jc w:val="both"/>
        <w:rPr>
          <w:rFonts w:asciiTheme="majorBidi" w:hAnsiTheme="majorBidi" w:cstheme="majorBidi"/>
          <w:lang w:eastAsia="ja-JP"/>
        </w:rPr>
      </w:pPr>
    </w:p>
    <w:p w14:paraId="1948B075" w14:textId="14A626BD" w:rsidR="00147844" w:rsidRDefault="00147844" w:rsidP="00C44F48">
      <w:pPr>
        <w:tabs>
          <w:tab w:val="left" w:pos="1701"/>
        </w:tabs>
        <w:suppressAutoHyphens w:val="0"/>
        <w:autoSpaceDE w:val="0"/>
        <w:autoSpaceDN w:val="0"/>
        <w:adjustRightInd w:val="0"/>
        <w:spacing w:after="120" w:line="240" w:lineRule="auto"/>
        <w:ind w:left="1134" w:right="1134"/>
        <w:jc w:val="both"/>
        <w:rPr>
          <w:rFonts w:asciiTheme="majorBidi" w:hAnsiTheme="majorBidi" w:cstheme="majorBidi"/>
          <w:lang w:eastAsia="ja-JP"/>
        </w:rPr>
      </w:pPr>
    </w:p>
    <w:p w14:paraId="0C954FCA" w14:textId="64E6F1A8" w:rsidR="00147844" w:rsidRPr="00691E80" w:rsidRDefault="00147844" w:rsidP="00147844">
      <w:pPr>
        <w:rPr>
          <w:b/>
          <w:bCs/>
          <w:sz w:val="32"/>
          <w:szCs w:val="32"/>
          <w:u w:val="single"/>
        </w:rPr>
      </w:pPr>
      <w:r w:rsidRPr="00691E80">
        <w:rPr>
          <w:b/>
          <w:bCs/>
          <w:sz w:val="32"/>
          <w:szCs w:val="32"/>
          <w:u w:val="single"/>
        </w:rPr>
        <w:t xml:space="preserve">Paragraph </w:t>
      </w:r>
      <w:r w:rsidR="00033900" w:rsidRPr="00691E80">
        <w:rPr>
          <w:b/>
          <w:bCs/>
          <w:sz w:val="32"/>
          <w:szCs w:val="32"/>
          <w:u w:val="single"/>
        </w:rPr>
        <w:t>7</w:t>
      </w:r>
      <w:r w:rsidRPr="00691E80">
        <w:rPr>
          <w:b/>
          <w:bCs/>
          <w:sz w:val="32"/>
          <w:szCs w:val="32"/>
          <w:u w:val="single"/>
        </w:rPr>
        <w:t>.</w:t>
      </w:r>
      <w:r w:rsidR="00033900" w:rsidRPr="00691E80">
        <w:rPr>
          <w:b/>
          <w:bCs/>
          <w:sz w:val="32"/>
          <w:szCs w:val="32"/>
          <w:u w:val="single"/>
        </w:rPr>
        <w:t>4</w:t>
      </w:r>
    </w:p>
    <w:p w14:paraId="0AD1996B" w14:textId="25F75A1E" w:rsidR="00F748F3" w:rsidRDefault="00F748F3" w:rsidP="00147844">
      <w:pPr>
        <w:rPr>
          <w:b/>
          <w:bCs/>
          <w:sz w:val="32"/>
          <w:szCs w:val="32"/>
        </w:rPr>
      </w:pPr>
    </w:p>
    <w:p w14:paraId="1D48E5E0" w14:textId="415ABA1B" w:rsidR="00F748F3" w:rsidRPr="00427325" w:rsidRDefault="00427325" w:rsidP="00427325">
      <w:pPr>
        <w:pStyle w:val="ListParagraph"/>
        <w:numPr>
          <w:ilvl w:val="0"/>
          <w:numId w:val="22"/>
        </w:numPr>
        <w:rPr>
          <w:b/>
          <w:bCs/>
          <w:sz w:val="32"/>
          <w:szCs w:val="32"/>
        </w:rPr>
      </w:pPr>
      <w:proofErr w:type="spellStart"/>
      <w:r w:rsidRPr="00427325">
        <w:rPr>
          <w:b/>
          <w:bCs/>
          <w:sz w:val="32"/>
          <w:szCs w:val="32"/>
        </w:rPr>
        <w:t>Proposal</w:t>
      </w:r>
      <w:proofErr w:type="spellEnd"/>
    </w:p>
    <w:p w14:paraId="3A71F898" w14:textId="3F529CB9" w:rsidR="00427325" w:rsidRDefault="00427325" w:rsidP="00427325">
      <w:pPr>
        <w:pStyle w:val="ListParagraph"/>
        <w:ind w:left="1080"/>
        <w:rPr>
          <w:b/>
          <w:bCs/>
          <w:sz w:val="32"/>
          <w:szCs w:val="32"/>
        </w:rPr>
      </w:pPr>
    </w:p>
    <w:p w14:paraId="19B4895E" w14:textId="328DAF64" w:rsidR="00691E80" w:rsidRDefault="00691E80" w:rsidP="00691E80">
      <w:pPr>
        <w:spacing w:after="120" w:line="240" w:lineRule="auto"/>
        <w:ind w:left="1134" w:right="1134"/>
        <w:jc w:val="both"/>
        <w:rPr>
          <w:rFonts w:asciiTheme="majorBidi" w:hAnsiTheme="majorBidi" w:cstheme="majorBidi"/>
        </w:rPr>
      </w:pPr>
      <w:r w:rsidRPr="00843FE1">
        <w:rPr>
          <w:rFonts w:asciiTheme="majorBidi" w:hAnsiTheme="majorBidi" w:cstheme="majorBidi"/>
          <w:i/>
          <w:lang w:val="sv-SE"/>
        </w:rPr>
        <w:t xml:space="preserve">Paragraph </w:t>
      </w:r>
      <w:r>
        <w:rPr>
          <w:rFonts w:asciiTheme="majorBidi" w:hAnsiTheme="majorBidi" w:cstheme="majorBidi"/>
          <w:i/>
          <w:lang w:val="sv-SE"/>
        </w:rPr>
        <w:t>7.4.1.</w:t>
      </w:r>
      <w:r w:rsidRPr="00843FE1">
        <w:rPr>
          <w:rFonts w:asciiTheme="majorBidi" w:hAnsiTheme="majorBidi" w:cstheme="majorBidi"/>
          <w:i/>
        </w:rPr>
        <w:t xml:space="preserve">, </w:t>
      </w:r>
      <w:r w:rsidRPr="00843FE1">
        <w:rPr>
          <w:rFonts w:asciiTheme="majorBidi" w:hAnsiTheme="majorBidi" w:cstheme="majorBidi"/>
        </w:rPr>
        <w:t>amend to read:</w:t>
      </w:r>
    </w:p>
    <w:p w14:paraId="28FBB58F" w14:textId="68EF33CF" w:rsidR="00597F97" w:rsidRPr="0064637B" w:rsidRDefault="00691E80" w:rsidP="0064637B">
      <w:pPr>
        <w:spacing w:after="120" w:line="240" w:lineRule="auto"/>
        <w:ind w:left="2268" w:right="1134" w:hanging="1134"/>
        <w:jc w:val="both"/>
        <w:rPr>
          <w:rFonts w:asciiTheme="majorBidi" w:hAnsiTheme="majorBidi" w:cstheme="majorBidi"/>
        </w:rPr>
      </w:pPr>
      <w:r>
        <w:rPr>
          <w:rFonts w:asciiTheme="majorBidi" w:hAnsiTheme="majorBidi" w:cstheme="majorBidi"/>
        </w:rPr>
        <w:t>“</w:t>
      </w:r>
      <w:r w:rsidR="00597F97" w:rsidRPr="0064637B">
        <w:rPr>
          <w:rFonts w:asciiTheme="majorBidi" w:hAnsiTheme="majorBidi" w:cstheme="majorBidi"/>
        </w:rPr>
        <w:t xml:space="preserve">7.4.1. </w:t>
      </w:r>
      <w:r w:rsidR="0064637B">
        <w:rPr>
          <w:rFonts w:asciiTheme="majorBidi" w:hAnsiTheme="majorBidi" w:cstheme="majorBidi"/>
        </w:rPr>
        <w:tab/>
      </w:r>
      <w:r w:rsidR="00597F97" w:rsidRPr="0064637B">
        <w:rPr>
          <w:rFonts w:asciiTheme="majorBidi" w:hAnsiTheme="majorBidi" w:cstheme="majorBidi"/>
        </w:rPr>
        <w:t xml:space="preserve">The vehicle manufacturer shall report </w:t>
      </w:r>
      <w:r w:rsidR="00AE379C" w:rsidRPr="00691E80">
        <w:rPr>
          <w:rFonts w:asciiTheme="majorBidi" w:hAnsiTheme="majorBidi" w:cstheme="majorBidi"/>
          <w:b/>
        </w:rPr>
        <w:t>when relevant or</w:t>
      </w:r>
      <w:r w:rsidR="00AE379C" w:rsidRPr="0064637B">
        <w:rPr>
          <w:rFonts w:asciiTheme="majorBidi" w:hAnsiTheme="majorBidi" w:cstheme="majorBidi"/>
        </w:rPr>
        <w:t xml:space="preserve"> </w:t>
      </w:r>
      <w:r w:rsidR="00597F97" w:rsidRPr="0064637B">
        <w:rPr>
          <w:rFonts w:asciiTheme="majorBidi" w:hAnsiTheme="majorBidi" w:cstheme="majorBidi"/>
        </w:rPr>
        <w:t xml:space="preserve">at least once </w:t>
      </w:r>
      <w:r w:rsidR="00AE379C" w:rsidRPr="00691E80">
        <w:rPr>
          <w:rFonts w:asciiTheme="majorBidi" w:hAnsiTheme="majorBidi" w:cstheme="majorBidi"/>
          <w:b/>
        </w:rPr>
        <w:t>a year</w:t>
      </w:r>
      <w:r w:rsidR="00597F97" w:rsidRPr="0064637B">
        <w:rPr>
          <w:rFonts w:asciiTheme="majorBidi" w:hAnsiTheme="majorBidi" w:cstheme="majorBidi"/>
        </w:rPr>
        <w:t xml:space="preserve"> </w:t>
      </w:r>
      <w:r w:rsidR="0064637B" w:rsidRPr="00691E80">
        <w:rPr>
          <w:rFonts w:asciiTheme="majorBidi" w:hAnsiTheme="majorBidi" w:cstheme="majorBidi"/>
          <w:strike/>
        </w:rPr>
        <w:t>in a quarter</w:t>
      </w:r>
      <w:r w:rsidR="0064637B" w:rsidRPr="0064637B">
        <w:rPr>
          <w:rFonts w:asciiTheme="majorBidi" w:hAnsiTheme="majorBidi" w:cstheme="majorBidi"/>
        </w:rPr>
        <w:t xml:space="preserve"> </w:t>
      </w:r>
      <w:r w:rsidR="00597F97" w:rsidRPr="0064637B">
        <w:rPr>
          <w:rFonts w:asciiTheme="majorBidi" w:hAnsiTheme="majorBidi" w:cstheme="majorBidi"/>
        </w:rPr>
        <w:t xml:space="preserve">to the Approval Authority or the Technical Service the outcome of their monitoring activities, as defined in 7.2.2.2. sub-clause g), this shall include relevant information on </w:t>
      </w:r>
      <w:r w:rsidR="0064637B" w:rsidRPr="00691E80">
        <w:rPr>
          <w:rFonts w:asciiTheme="majorBidi" w:hAnsiTheme="majorBidi" w:cstheme="majorBidi"/>
          <w:strike/>
        </w:rPr>
        <w:t>new cyber threats, vulnerabilities and</w:t>
      </w:r>
      <w:r w:rsidR="0064637B" w:rsidRPr="0064637B">
        <w:rPr>
          <w:rFonts w:asciiTheme="majorBidi" w:hAnsiTheme="majorBidi" w:cstheme="majorBidi"/>
        </w:rPr>
        <w:t xml:space="preserve"> </w:t>
      </w:r>
      <w:r w:rsidR="00AE379C" w:rsidRPr="00691E80">
        <w:rPr>
          <w:rFonts w:asciiTheme="majorBidi" w:hAnsiTheme="majorBidi" w:cstheme="majorBidi"/>
          <w:b/>
        </w:rPr>
        <w:t>detected</w:t>
      </w:r>
      <w:r w:rsidR="00AE379C" w:rsidRPr="0064637B">
        <w:rPr>
          <w:rFonts w:asciiTheme="majorBidi" w:hAnsiTheme="majorBidi" w:cstheme="majorBidi"/>
        </w:rPr>
        <w:t xml:space="preserve"> </w:t>
      </w:r>
      <w:r w:rsidR="00597F97" w:rsidRPr="0064637B">
        <w:rPr>
          <w:rFonts w:asciiTheme="majorBidi" w:hAnsiTheme="majorBidi" w:cstheme="majorBidi"/>
        </w:rPr>
        <w:t>cyber-attacks</w:t>
      </w:r>
      <w:r w:rsidR="00D020E8" w:rsidRPr="0064637B">
        <w:rPr>
          <w:rFonts w:asciiTheme="majorBidi" w:hAnsiTheme="majorBidi" w:cstheme="majorBidi"/>
        </w:rPr>
        <w:t xml:space="preserve"> </w:t>
      </w:r>
      <w:r w:rsidR="00D020E8" w:rsidRPr="00691E80">
        <w:rPr>
          <w:rFonts w:asciiTheme="majorBidi" w:hAnsiTheme="majorBidi" w:cstheme="majorBidi"/>
          <w:b/>
        </w:rPr>
        <w:t>focused on vehicle safety functions</w:t>
      </w:r>
      <w:r w:rsidR="00597F97" w:rsidRPr="00691E80">
        <w:rPr>
          <w:rFonts w:asciiTheme="majorBidi" w:hAnsiTheme="majorBidi" w:cstheme="majorBidi"/>
          <w:b/>
        </w:rPr>
        <w:t>.</w:t>
      </w:r>
      <w:r w:rsidR="00597F97" w:rsidRPr="0064637B">
        <w:rPr>
          <w:rFonts w:asciiTheme="majorBidi" w:hAnsiTheme="majorBidi" w:cstheme="majorBidi"/>
        </w:rPr>
        <w:t xml:space="preserve"> The vehicle manufacturer shall also report and confirm to the Approval Authority or the Technical Service that the cyber security mitigations implemented for their vehicle types are still effective and any additional actions taken.</w:t>
      </w:r>
      <w:r>
        <w:rPr>
          <w:rFonts w:asciiTheme="majorBidi" w:hAnsiTheme="majorBidi" w:cstheme="majorBidi"/>
        </w:rPr>
        <w:t>”</w:t>
      </w:r>
    </w:p>
    <w:p w14:paraId="48C58640" w14:textId="77777777" w:rsidR="00597F97" w:rsidRPr="00EF5619" w:rsidRDefault="00597F97" w:rsidP="00597F97">
      <w:pPr>
        <w:ind w:left="360"/>
        <w:textAlignment w:val="baseline"/>
        <w:rPr>
          <w:lang w:val="en-US"/>
        </w:rPr>
      </w:pPr>
    </w:p>
    <w:p w14:paraId="1D4A3475" w14:textId="77777777" w:rsidR="00F748F3" w:rsidRPr="00427325" w:rsidRDefault="00F748F3" w:rsidP="00147844">
      <w:pPr>
        <w:rPr>
          <w:b/>
          <w:bCs/>
          <w:sz w:val="32"/>
          <w:szCs w:val="32"/>
          <w:lang w:val="en-US"/>
        </w:rPr>
      </w:pPr>
    </w:p>
    <w:p w14:paraId="4528D6E9" w14:textId="359909ED" w:rsidR="00147844" w:rsidRDefault="00427325" w:rsidP="00427325">
      <w:pPr>
        <w:pStyle w:val="ListParagraph"/>
        <w:numPr>
          <w:ilvl w:val="0"/>
          <w:numId w:val="22"/>
        </w:numPr>
        <w:tabs>
          <w:tab w:val="left" w:pos="1701"/>
        </w:tabs>
        <w:autoSpaceDE w:val="0"/>
        <w:autoSpaceDN w:val="0"/>
        <w:adjustRightInd w:val="0"/>
        <w:spacing w:after="120"/>
        <w:ind w:right="1134"/>
        <w:jc w:val="both"/>
        <w:rPr>
          <w:b/>
          <w:bCs/>
          <w:sz w:val="32"/>
          <w:szCs w:val="32"/>
          <w:lang w:eastAsia="ja-JP"/>
        </w:rPr>
      </w:pPr>
      <w:r w:rsidRPr="00427325">
        <w:rPr>
          <w:b/>
          <w:bCs/>
          <w:sz w:val="32"/>
          <w:szCs w:val="32"/>
        </w:rPr>
        <w:t>Justification</w:t>
      </w:r>
    </w:p>
    <w:p w14:paraId="5D2B4ED5" w14:textId="3BA37420" w:rsidR="00343026" w:rsidRDefault="00343026" w:rsidP="00691E80">
      <w:pPr>
        <w:tabs>
          <w:tab w:val="left" w:pos="1701"/>
        </w:tabs>
        <w:suppressAutoHyphens w:val="0"/>
        <w:spacing w:after="120" w:line="240" w:lineRule="auto"/>
        <w:ind w:left="1134" w:right="1134"/>
        <w:jc w:val="both"/>
        <w:rPr>
          <w:lang w:val="en-US" w:eastAsia="ja-JP"/>
        </w:rPr>
      </w:pPr>
      <w:r>
        <w:rPr>
          <w:lang w:val="en-US" w:eastAsia="ja-JP"/>
        </w:rPr>
        <w:t xml:space="preserve">France support this approach but with a lower periodicity and only dedicated to cyber attacks or new threats. </w:t>
      </w:r>
      <w:r w:rsidR="00D020E8">
        <w:rPr>
          <w:lang w:val="en-US" w:eastAsia="ja-JP"/>
        </w:rPr>
        <w:t xml:space="preserve">Such reporting seems to not be relevant for vulnerabilities, already covered by the approval evaluation. In addition, in order to rationalize the volume of data to be reported, we suggest </w:t>
      </w:r>
      <w:r w:rsidR="00D020E8" w:rsidRPr="00691E80">
        <w:rPr>
          <w:lang w:val="en-US" w:eastAsia="ja-JP"/>
        </w:rPr>
        <w:t>as a basis for discussion, the wording of § 7.4.1. of the current proposal which aims to only focus on safety relative threats or attacks.</w:t>
      </w:r>
    </w:p>
    <w:p w14:paraId="21E5ACC9" w14:textId="1AA0D02C" w:rsidR="00691E80" w:rsidRDefault="00691E80" w:rsidP="00691E80">
      <w:pPr>
        <w:tabs>
          <w:tab w:val="left" w:pos="1701"/>
        </w:tabs>
        <w:suppressAutoHyphens w:val="0"/>
        <w:spacing w:after="120" w:line="240" w:lineRule="auto"/>
        <w:ind w:left="1134" w:right="1134"/>
        <w:jc w:val="both"/>
        <w:rPr>
          <w:lang w:val="en-US" w:eastAsia="ja-JP"/>
        </w:rPr>
      </w:pPr>
    </w:p>
    <w:p w14:paraId="265EEFEB" w14:textId="77777777" w:rsidR="00691E80" w:rsidRPr="00691E80" w:rsidRDefault="00691E80" w:rsidP="00691E80">
      <w:pPr>
        <w:tabs>
          <w:tab w:val="left" w:pos="1701"/>
        </w:tabs>
        <w:suppressAutoHyphens w:val="0"/>
        <w:spacing w:after="120" w:line="240" w:lineRule="auto"/>
        <w:ind w:left="1134" w:right="1134"/>
        <w:jc w:val="both"/>
        <w:rPr>
          <w:lang w:val="en-US" w:eastAsia="ja-JP"/>
        </w:rPr>
      </w:pPr>
    </w:p>
    <w:p w14:paraId="650B78A5" w14:textId="0191D569" w:rsidR="0093107A" w:rsidRPr="00691E80" w:rsidRDefault="0093107A" w:rsidP="00AE379C">
      <w:pPr>
        <w:rPr>
          <w:b/>
          <w:bCs/>
          <w:sz w:val="32"/>
          <w:szCs w:val="32"/>
          <w:u w:val="single"/>
        </w:rPr>
      </w:pPr>
      <w:r w:rsidRPr="00691E80">
        <w:rPr>
          <w:b/>
          <w:bCs/>
          <w:sz w:val="32"/>
          <w:szCs w:val="32"/>
          <w:u w:val="single"/>
        </w:rPr>
        <w:t>ANNEX 5</w:t>
      </w:r>
    </w:p>
    <w:p w14:paraId="52B4CBD3" w14:textId="77777777" w:rsidR="00AE379C" w:rsidRPr="00EF5619" w:rsidRDefault="00AE379C" w:rsidP="00EF5619">
      <w:pPr>
        <w:rPr>
          <w:b/>
          <w:bCs/>
          <w:sz w:val="32"/>
          <w:szCs w:val="32"/>
        </w:rPr>
      </w:pPr>
    </w:p>
    <w:p w14:paraId="008F5679" w14:textId="48501C85" w:rsidR="006B7051" w:rsidRDefault="0093107A" w:rsidP="00AE379C">
      <w:pPr>
        <w:pStyle w:val="ListParagraph"/>
        <w:numPr>
          <w:ilvl w:val="0"/>
          <w:numId w:val="23"/>
        </w:numPr>
        <w:tabs>
          <w:tab w:val="left" w:pos="1701"/>
        </w:tabs>
        <w:autoSpaceDE w:val="0"/>
        <w:autoSpaceDN w:val="0"/>
        <w:adjustRightInd w:val="0"/>
        <w:spacing w:after="120"/>
        <w:ind w:right="1134"/>
        <w:jc w:val="both"/>
        <w:rPr>
          <w:b/>
          <w:bCs/>
          <w:sz w:val="32"/>
          <w:szCs w:val="32"/>
          <w:lang w:val="en-US" w:eastAsia="ja-JP"/>
        </w:rPr>
      </w:pPr>
      <w:r w:rsidRPr="00EF5619">
        <w:rPr>
          <w:b/>
          <w:bCs/>
          <w:sz w:val="32"/>
          <w:szCs w:val="32"/>
          <w:lang w:val="en-US" w:eastAsia="ja-JP"/>
        </w:rPr>
        <w:t>Proposal</w:t>
      </w:r>
    </w:p>
    <w:p w14:paraId="72378726" w14:textId="77777777" w:rsidR="00AE379C" w:rsidRPr="00EF5619" w:rsidRDefault="00AE379C" w:rsidP="00EF5619">
      <w:pPr>
        <w:rPr>
          <w:b/>
          <w:bCs/>
          <w:sz w:val="32"/>
          <w:szCs w:val="32"/>
        </w:rPr>
      </w:pPr>
    </w:p>
    <w:p w14:paraId="1B12AF39" w14:textId="153A28A8" w:rsidR="00AE379C" w:rsidRPr="00691E80" w:rsidRDefault="00AE379C" w:rsidP="00691E80">
      <w:pPr>
        <w:spacing w:after="120" w:line="240" w:lineRule="auto"/>
        <w:ind w:left="1134" w:right="1134"/>
        <w:jc w:val="both"/>
        <w:rPr>
          <w:rFonts w:asciiTheme="majorBidi" w:hAnsiTheme="majorBidi" w:cstheme="majorBidi"/>
          <w:b/>
        </w:rPr>
      </w:pPr>
      <w:r w:rsidRPr="00691E80">
        <w:rPr>
          <w:rFonts w:asciiTheme="majorBidi" w:hAnsiTheme="majorBidi" w:cstheme="majorBidi"/>
          <w:b/>
        </w:rPr>
        <w:t>France proposes to keep tables A, B and C in the resolutions as a guide used by the Technical Services to conduct the audits.</w:t>
      </w:r>
    </w:p>
    <w:p w14:paraId="36D8DCF3" w14:textId="77777777" w:rsidR="00AE379C" w:rsidRPr="00427325" w:rsidRDefault="00AE379C" w:rsidP="00AE379C">
      <w:pPr>
        <w:rPr>
          <w:b/>
          <w:bCs/>
          <w:sz w:val="32"/>
          <w:szCs w:val="32"/>
          <w:lang w:val="en-US"/>
        </w:rPr>
      </w:pPr>
    </w:p>
    <w:p w14:paraId="38A11571" w14:textId="77777777" w:rsidR="00AE379C" w:rsidRDefault="00AE379C" w:rsidP="00AE379C">
      <w:pPr>
        <w:pStyle w:val="ListParagraph"/>
        <w:numPr>
          <w:ilvl w:val="0"/>
          <w:numId w:val="23"/>
        </w:numPr>
        <w:tabs>
          <w:tab w:val="left" w:pos="1701"/>
        </w:tabs>
        <w:autoSpaceDE w:val="0"/>
        <w:autoSpaceDN w:val="0"/>
        <w:adjustRightInd w:val="0"/>
        <w:spacing w:after="120"/>
        <w:ind w:right="1134"/>
        <w:jc w:val="both"/>
        <w:rPr>
          <w:b/>
          <w:bCs/>
          <w:sz w:val="32"/>
          <w:szCs w:val="32"/>
          <w:lang w:eastAsia="ja-JP"/>
        </w:rPr>
      </w:pPr>
      <w:r w:rsidRPr="00427325">
        <w:rPr>
          <w:b/>
          <w:bCs/>
          <w:sz w:val="32"/>
          <w:szCs w:val="32"/>
        </w:rPr>
        <w:t>Justification</w:t>
      </w:r>
    </w:p>
    <w:p w14:paraId="171CC342" w14:textId="6E825EBD" w:rsidR="00915DE9" w:rsidRDefault="00915DE9" w:rsidP="00691E80">
      <w:pPr>
        <w:tabs>
          <w:tab w:val="left" w:pos="1701"/>
        </w:tabs>
        <w:suppressAutoHyphens w:val="0"/>
        <w:spacing w:after="120" w:line="240" w:lineRule="auto"/>
        <w:ind w:left="1134" w:right="1134"/>
        <w:jc w:val="both"/>
        <w:rPr>
          <w:lang w:val="en-US" w:eastAsia="ja-JP"/>
        </w:rPr>
      </w:pPr>
      <w:r w:rsidRPr="00691E80">
        <w:rPr>
          <w:lang w:val="en-US" w:eastAsia="ja-JP"/>
        </w:rPr>
        <w:t>P</w:t>
      </w:r>
      <w:r w:rsidR="00AE379C" w:rsidRPr="00691E80">
        <w:rPr>
          <w:lang w:val="en-US" w:eastAsia="ja-JP"/>
        </w:rPr>
        <w:t xml:space="preserve">arts A, B and C are lists of examples </w:t>
      </w:r>
      <w:proofErr w:type="gramStart"/>
      <w:r w:rsidR="00AE379C" w:rsidRPr="00691E80">
        <w:rPr>
          <w:lang w:val="en-US" w:eastAsia="ja-JP"/>
        </w:rPr>
        <w:t>by definition non-</w:t>
      </w:r>
      <w:proofErr w:type="gramEnd"/>
      <w:r w:rsidR="00AE379C" w:rsidRPr="00691E80">
        <w:rPr>
          <w:lang w:val="en-US" w:eastAsia="ja-JP"/>
        </w:rPr>
        <w:t>exhaustive</w:t>
      </w:r>
      <w:r w:rsidRPr="00691E80">
        <w:rPr>
          <w:lang w:val="en-US" w:eastAsia="ja-JP"/>
        </w:rPr>
        <w:t xml:space="preserve"> and shall not be understood as restrictive.</w:t>
      </w:r>
    </w:p>
    <w:p w14:paraId="12F18BEA" w14:textId="275172F1" w:rsidR="007D2E9D" w:rsidRDefault="007D2E9D" w:rsidP="00691E80">
      <w:pPr>
        <w:tabs>
          <w:tab w:val="left" w:pos="1701"/>
        </w:tabs>
        <w:suppressAutoHyphens w:val="0"/>
        <w:spacing w:after="120" w:line="240" w:lineRule="auto"/>
        <w:ind w:left="1134" w:right="1134"/>
        <w:jc w:val="both"/>
        <w:rPr>
          <w:lang w:val="en-US" w:eastAsia="ja-JP"/>
        </w:rPr>
      </w:pPr>
      <w:r>
        <w:rPr>
          <w:lang w:val="en-US" w:eastAsia="ja-JP"/>
        </w:rPr>
        <w:t xml:space="preserve">The part A </w:t>
      </w:r>
      <w:r w:rsidR="00D51E5D">
        <w:rPr>
          <w:lang w:val="en-US" w:eastAsia="ja-JP"/>
        </w:rPr>
        <w:t>must</w:t>
      </w:r>
      <w:r>
        <w:rPr>
          <w:lang w:val="en-US" w:eastAsia="ja-JP"/>
        </w:rPr>
        <w:t xml:space="preserve"> be considered as a repository of </w:t>
      </w:r>
      <w:r w:rsidR="006B7051">
        <w:rPr>
          <w:lang w:val="en-US" w:eastAsia="ja-JP"/>
        </w:rPr>
        <w:t>threats and</w:t>
      </w:r>
      <w:r>
        <w:rPr>
          <w:lang w:val="en-US" w:eastAsia="ja-JP"/>
        </w:rPr>
        <w:t xml:space="preserve"> could be a common reference</w:t>
      </w:r>
      <w:r w:rsidR="00915DE9">
        <w:rPr>
          <w:lang w:val="en-US" w:eastAsia="ja-JP"/>
        </w:rPr>
        <w:t xml:space="preserve"> but needs to stay opened</w:t>
      </w:r>
      <w:r w:rsidR="00691E80">
        <w:rPr>
          <w:lang w:val="en-US" w:eastAsia="ja-JP"/>
        </w:rPr>
        <w:t xml:space="preserve">. </w:t>
      </w:r>
      <w:r w:rsidR="00915DE9">
        <w:rPr>
          <w:lang w:val="en-US" w:eastAsia="ja-JP"/>
        </w:rPr>
        <w:t>It</w:t>
      </w:r>
      <w:r>
        <w:rPr>
          <w:lang w:val="en-US" w:eastAsia="ja-JP"/>
        </w:rPr>
        <w:t xml:space="preserve"> should be relevant only if it is updated, </w:t>
      </w:r>
      <w:r w:rsidR="00915DE9">
        <w:rPr>
          <w:lang w:val="en-US" w:eastAsia="ja-JP"/>
        </w:rPr>
        <w:t>which is not applicable under the approval process.</w:t>
      </w:r>
    </w:p>
    <w:p w14:paraId="7EA25239" w14:textId="7AB34CA2" w:rsidR="007D2E9D" w:rsidRDefault="00915DE9" w:rsidP="00691E80">
      <w:pPr>
        <w:tabs>
          <w:tab w:val="left" w:pos="1701"/>
        </w:tabs>
        <w:suppressAutoHyphens w:val="0"/>
        <w:spacing w:after="120" w:line="240" w:lineRule="auto"/>
        <w:ind w:left="1134" w:right="1134"/>
        <w:jc w:val="both"/>
        <w:rPr>
          <w:lang w:val="en-US" w:eastAsia="ja-JP"/>
        </w:rPr>
      </w:pPr>
      <w:r>
        <w:rPr>
          <w:lang w:val="en-US" w:eastAsia="ja-JP"/>
        </w:rPr>
        <w:t>T</w:t>
      </w:r>
      <w:r w:rsidR="007D2E9D">
        <w:rPr>
          <w:lang w:val="en-US" w:eastAsia="ja-JP"/>
        </w:rPr>
        <w:t>he part B (mitigations)</w:t>
      </w:r>
      <w:r>
        <w:rPr>
          <w:lang w:val="en-US" w:eastAsia="ja-JP"/>
        </w:rPr>
        <w:t xml:space="preserve"> seems to be system dependent,</w:t>
      </w:r>
      <w:r w:rsidR="007D2E9D">
        <w:rPr>
          <w:lang w:val="en-US" w:eastAsia="ja-JP"/>
        </w:rPr>
        <w:t xml:space="preserve"> </w:t>
      </w:r>
      <w:r>
        <w:rPr>
          <w:lang w:val="en-US" w:eastAsia="ja-JP"/>
        </w:rPr>
        <w:t>specific to</w:t>
      </w:r>
      <w:r w:rsidR="007D2E9D">
        <w:rPr>
          <w:lang w:val="en-US" w:eastAsia="ja-JP"/>
        </w:rPr>
        <w:t xml:space="preserve"> each car </w:t>
      </w:r>
      <w:r w:rsidR="006B7051">
        <w:rPr>
          <w:lang w:val="en-US" w:eastAsia="ja-JP"/>
        </w:rPr>
        <w:t>manufacturer and</w:t>
      </w:r>
      <w:r w:rsidR="007D2E9D">
        <w:rPr>
          <w:lang w:val="en-US" w:eastAsia="ja-JP"/>
        </w:rPr>
        <w:t xml:space="preserve"> </w:t>
      </w:r>
      <w:r>
        <w:rPr>
          <w:lang w:val="en-US" w:eastAsia="ja-JP"/>
        </w:rPr>
        <w:t>shall</w:t>
      </w:r>
      <w:r w:rsidR="007D2E9D">
        <w:rPr>
          <w:lang w:val="en-US" w:eastAsia="ja-JP"/>
        </w:rPr>
        <w:t xml:space="preserve"> be considered as guidelines.</w:t>
      </w:r>
    </w:p>
    <w:p w14:paraId="4FE4D5DF" w14:textId="2C80BD47" w:rsidR="007D2E9D" w:rsidRDefault="007D2E9D" w:rsidP="00691E80">
      <w:pPr>
        <w:tabs>
          <w:tab w:val="left" w:pos="1701"/>
        </w:tabs>
        <w:suppressAutoHyphens w:val="0"/>
        <w:spacing w:after="120" w:line="240" w:lineRule="auto"/>
        <w:ind w:left="1134" w:right="1134"/>
        <w:jc w:val="both"/>
        <w:rPr>
          <w:lang w:val="en-US" w:eastAsia="ja-JP"/>
        </w:rPr>
      </w:pPr>
      <w:r>
        <w:rPr>
          <w:lang w:val="en-US" w:eastAsia="ja-JP"/>
        </w:rPr>
        <w:t xml:space="preserve">The part C (mitigations of threats outside the vehicle) is </w:t>
      </w:r>
      <w:r w:rsidR="00915DE9">
        <w:rPr>
          <w:lang w:val="en-US" w:eastAsia="ja-JP"/>
        </w:rPr>
        <w:t>not directly in</w:t>
      </w:r>
      <w:r>
        <w:rPr>
          <w:lang w:val="en-US" w:eastAsia="ja-JP"/>
        </w:rPr>
        <w:t xml:space="preserve"> the scope of </w:t>
      </w:r>
      <w:r w:rsidR="006B7051">
        <w:rPr>
          <w:lang w:val="en-US" w:eastAsia="ja-JP"/>
        </w:rPr>
        <w:t xml:space="preserve">the Type Approval and we propose to remove it. Cybersecurity of back-end servers (which are not always under the car </w:t>
      </w:r>
      <w:r w:rsidR="00D51E5D">
        <w:rPr>
          <w:lang w:val="en-US" w:eastAsia="ja-JP"/>
        </w:rPr>
        <w:t>manufacturer’s</w:t>
      </w:r>
      <w:r w:rsidR="006B7051">
        <w:rPr>
          <w:lang w:val="en-US" w:eastAsia="ja-JP"/>
        </w:rPr>
        <w:t xml:space="preserve"> control) should be considered in a global framework and is not specific to vehicle type design.</w:t>
      </w:r>
    </w:p>
    <w:p w14:paraId="78713B67" w14:textId="4B8FCED3" w:rsidR="007D2E9D" w:rsidRDefault="00915DE9" w:rsidP="00691E80">
      <w:pPr>
        <w:tabs>
          <w:tab w:val="left" w:pos="1701"/>
        </w:tabs>
        <w:suppressAutoHyphens w:val="0"/>
        <w:spacing w:after="120" w:line="240" w:lineRule="auto"/>
        <w:ind w:left="1134" w:right="1134"/>
        <w:jc w:val="both"/>
        <w:rPr>
          <w:lang w:val="en-US" w:eastAsia="ja-JP"/>
        </w:rPr>
      </w:pPr>
      <w:r w:rsidRPr="00691E80">
        <w:rPr>
          <w:lang w:val="en-US" w:eastAsia="ja-JP"/>
        </w:rPr>
        <w:t>Furthermore, in a context where technological developments are very fast, where attack operating modes are constantly evolving, where the state of threat is not frozen, we think that it is not appropriate to keep Annex 5 in the regulation.</w:t>
      </w:r>
    </w:p>
    <w:p w14:paraId="66FE44C0" w14:textId="739079B3" w:rsidR="003C1DF3" w:rsidRPr="003C1DF3" w:rsidRDefault="003C1DF3" w:rsidP="003C1DF3">
      <w:pPr>
        <w:spacing w:before="240"/>
        <w:jc w:val="center"/>
        <w:rPr>
          <w:u w:val="single"/>
          <w:lang w:val="en-US" w:eastAsia="ja-JP"/>
        </w:rPr>
      </w:pPr>
      <w:r>
        <w:rPr>
          <w:u w:val="single"/>
          <w:lang w:val="en-US" w:eastAsia="ja-JP"/>
        </w:rPr>
        <w:tab/>
      </w:r>
      <w:r>
        <w:rPr>
          <w:u w:val="single"/>
          <w:lang w:val="en-US" w:eastAsia="ja-JP"/>
        </w:rPr>
        <w:tab/>
      </w:r>
      <w:r>
        <w:rPr>
          <w:u w:val="single"/>
          <w:lang w:val="en-US" w:eastAsia="ja-JP"/>
        </w:rPr>
        <w:tab/>
      </w:r>
      <w:bookmarkStart w:id="1" w:name="_GoBack"/>
      <w:bookmarkEnd w:id="1"/>
    </w:p>
    <w:p w14:paraId="59050721" w14:textId="77777777" w:rsidR="007D2E9D" w:rsidRPr="00D51E5D" w:rsidRDefault="007D2E9D" w:rsidP="007D2E9D">
      <w:pPr>
        <w:tabs>
          <w:tab w:val="left" w:pos="1701"/>
        </w:tabs>
        <w:autoSpaceDE w:val="0"/>
        <w:autoSpaceDN w:val="0"/>
        <w:adjustRightInd w:val="0"/>
        <w:spacing w:after="120"/>
        <w:ind w:left="426" w:right="1134"/>
        <w:jc w:val="both"/>
        <w:rPr>
          <w:lang w:val="en-US" w:eastAsia="ja-JP"/>
        </w:rPr>
      </w:pPr>
    </w:p>
    <w:sectPr w:rsidR="007D2E9D" w:rsidRPr="00D51E5D" w:rsidSect="00D72BC2">
      <w:headerReference w:type="even" r:id="rId11"/>
      <w:footerReference w:type="even" r:id="rId12"/>
      <w:footerReference w:type="default" r:id="rId13"/>
      <w:headerReference w:type="first" r:id="rId14"/>
      <w:endnotePr>
        <w:numFmt w:val="decimal"/>
      </w:endnotePr>
      <w:pgSz w:w="11907" w:h="16840" w:code="9"/>
      <w:pgMar w:top="1342" w:right="1134" w:bottom="797"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00965" w14:textId="77777777" w:rsidR="00F546B4" w:rsidRDefault="00F546B4"/>
  </w:endnote>
  <w:endnote w:type="continuationSeparator" w:id="0">
    <w:p w14:paraId="2679B511" w14:textId="77777777" w:rsidR="00F546B4" w:rsidRDefault="00F546B4"/>
  </w:endnote>
  <w:endnote w:type="continuationNotice" w:id="1">
    <w:p w14:paraId="52502944" w14:textId="77777777" w:rsidR="00F546B4" w:rsidRDefault="00F54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5098" w14:textId="733607C5" w:rsidR="008770B4" w:rsidRDefault="00205C5D">
    <w:pPr>
      <w:pStyle w:val="Footer"/>
    </w:pPr>
    <w:r>
      <w:rPr>
        <w:b/>
        <w:noProof/>
        <w:sz w:val="18"/>
        <w:lang w:val="fr-FR" w:bidi="bn-BD"/>
      </w:rPr>
      <mc:AlternateContent>
        <mc:Choice Requires="wps">
          <w:drawing>
            <wp:anchor distT="0" distB="0" distL="114300" distR="114300" simplePos="0" relativeHeight="251661312" behindDoc="0" locked="0" layoutInCell="0" allowOverlap="1" wp14:anchorId="1020F8BD" wp14:editId="3B13B8CB">
              <wp:simplePos x="0" y="0"/>
              <wp:positionH relativeFrom="page">
                <wp:posOffset>0</wp:posOffset>
              </wp:positionH>
              <wp:positionV relativeFrom="page">
                <wp:posOffset>10250488</wp:posOffset>
              </wp:positionV>
              <wp:extent cx="7560945" cy="252095"/>
              <wp:effectExtent l="0" t="0" r="0" b="14605"/>
              <wp:wrapNone/>
              <wp:docPr id="3" name="MSIPCM80d14460889d41b48385fe41"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0E124" w14:textId="306CCF10" w:rsidR="00205C5D" w:rsidRPr="00205C5D" w:rsidRDefault="00205C5D" w:rsidP="00205C5D">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020F8BD" id="_x0000_t202" coordsize="21600,21600" o:spt="202" path="m,l,21600r21600,l21600,xe">
              <v:stroke joinstyle="miter"/>
              <v:path gradientshapeok="t" o:connecttype="rect"/>
            </v:shapetype>
            <v:shape id="MSIPCM80d14460889d41b48385fe41" o:spid="_x0000_s1026" type="#_x0000_t202" alt="{&quot;HashCode&quot;:-424964394,&quot;Height&quot;:842.0,&quot;Width&quot;:595.0,&quot;Placement&quot;:&quot;Footer&quot;,&quot;Index&quot;:&quot;OddAndEven&quot;,&quot;Section&quot;:1,&quot;Top&quot;:0.0,&quot;Left&quot;:0.0}" style="position:absolute;margin-left:0;margin-top:807.15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" o:allowincell="f" filled="f" stroked="f" strokeweight=".5pt">
              <v:textbox inset=",0,20pt,0">
                <w:txbxContent>
                  <w:p w14:paraId="0CA0E124" w14:textId="306CCF10" w:rsidR="00205C5D" w:rsidRPr="00205C5D" w:rsidRDefault="00205C5D" w:rsidP="00205C5D">
                    <w:pPr>
                      <w:jc w:val="right"/>
                      <w:rPr>
                        <w:rFonts w:ascii="Arial" w:hAnsi="Arial" w:cs="Arial"/>
                        <w:color w:val="000000"/>
                      </w:rPr>
                    </w:pPr>
                  </w:p>
                </w:txbxContent>
              </v:textbox>
              <w10:wrap anchorx="page" anchory="page"/>
            </v:shape>
          </w:pict>
        </mc:Fallback>
      </mc:AlternateContent>
    </w:r>
    <w:r w:rsidR="008770B4" w:rsidRPr="00844BB6">
      <w:rPr>
        <w:b/>
        <w:sz w:val="18"/>
      </w:rPr>
      <w:fldChar w:fldCharType="begin"/>
    </w:r>
    <w:r w:rsidR="008770B4" w:rsidRPr="00844BB6">
      <w:rPr>
        <w:b/>
        <w:sz w:val="18"/>
      </w:rPr>
      <w:instrText xml:space="preserve"> PAGE  \* MERGEFORMAT </w:instrText>
    </w:r>
    <w:r w:rsidR="008770B4" w:rsidRPr="00844BB6">
      <w:rPr>
        <w:b/>
        <w:sz w:val="18"/>
      </w:rPr>
      <w:fldChar w:fldCharType="separate"/>
    </w:r>
    <w:r w:rsidR="008A2CFD">
      <w:rPr>
        <w:b/>
        <w:noProof/>
        <w:sz w:val="18"/>
      </w:rPr>
      <w:t>2</w:t>
    </w:r>
    <w:r w:rsidR="008770B4"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F787" w14:textId="6C0EFFF2" w:rsidR="008770B4" w:rsidRDefault="00205C5D" w:rsidP="008770B4">
    <w:pPr>
      <w:pStyle w:val="Footer"/>
      <w:jc w:val="right"/>
    </w:pPr>
    <w:r>
      <w:rPr>
        <w:b/>
        <w:noProof/>
        <w:sz w:val="18"/>
        <w:lang w:val="fr-FR" w:bidi="bn-BD"/>
      </w:rPr>
      <mc:AlternateContent>
        <mc:Choice Requires="wps">
          <w:drawing>
            <wp:anchor distT="0" distB="0" distL="114300" distR="114300" simplePos="0" relativeHeight="251659264" behindDoc="0" locked="0" layoutInCell="0" allowOverlap="1" wp14:anchorId="167DE000" wp14:editId="022E1248">
              <wp:simplePos x="0" y="0"/>
              <wp:positionH relativeFrom="page">
                <wp:posOffset>0</wp:posOffset>
              </wp:positionH>
              <wp:positionV relativeFrom="page">
                <wp:posOffset>10250488</wp:posOffset>
              </wp:positionV>
              <wp:extent cx="7560945" cy="252095"/>
              <wp:effectExtent l="0" t="0" r="0" b="14605"/>
              <wp:wrapNone/>
              <wp:docPr id="1" name="MSIPCM4e81460ea08d7b7e573833d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30E3E0" w14:textId="47D779EA" w:rsidR="00205C5D" w:rsidRPr="00205C5D" w:rsidRDefault="00205C5D" w:rsidP="00205C5D">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67DE000" id="_x0000_t202" coordsize="21600,21600" o:spt="202" path="m,l,21600r21600,l21600,xe">
              <v:stroke joinstyle="miter"/>
              <v:path gradientshapeok="t" o:connecttype="rect"/>
            </v:shapetype>
            <v:shape id="MSIPCM4e81460ea08d7b7e573833d9" o:spid="_x0000_s1027" type="#_x0000_t202" alt="{&quot;HashCode&quot;:-424964394,&quot;Height&quot;:842.0,&quot;Width&quot;:595.0,&quot;Placement&quot;:&quot;Footer&quot;,&quot;Index&quot;:&quot;Primary&quot;,&quot;Section&quot;:1,&quot;Top&quot;:0.0,&quot;Left&quot;:0.0}" style="position:absolute;left:0;text-align:left;margin-left:0;margin-top:807.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" o:allowincell="f" filled="f" stroked="f" strokeweight=".5pt">
              <v:textbox inset=",0,20pt,0">
                <w:txbxContent>
                  <w:p w14:paraId="7230E3E0" w14:textId="47D779EA" w:rsidR="00205C5D" w:rsidRPr="00205C5D" w:rsidRDefault="00205C5D" w:rsidP="00205C5D">
                    <w:pPr>
                      <w:jc w:val="right"/>
                      <w:rPr>
                        <w:rFonts w:ascii="Arial" w:hAnsi="Arial" w:cs="Arial"/>
                        <w:color w:val="000000"/>
                      </w:rPr>
                    </w:pPr>
                  </w:p>
                </w:txbxContent>
              </v:textbox>
              <w10:wrap anchorx="page" anchory="page"/>
            </v:shape>
          </w:pict>
        </mc:Fallback>
      </mc:AlternateContent>
    </w:r>
    <w:r w:rsidR="008770B4" w:rsidRPr="00844BB6">
      <w:rPr>
        <w:b/>
        <w:sz w:val="18"/>
      </w:rPr>
      <w:fldChar w:fldCharType="begin"/>
    </w:r>
    <w:r w:rsidR="008770B4" w:rsidRPr="00844BB6">
      <w:rPr>
        <w:b/>
        <w:sz w:val="18"/>
      </w:rPr>
      <w:instrText xml:space="preserve"> PAGE  \* MERGEFORMAT </w:instrText>
    </w:r>
    <w:r w:rsidR="008770B4" w:rsidRPr="00844BB6">
      <w:rPr>
        <w:b/>
        <w:sz w:val="18"/>
      </w:rPr>
      <w:fldChar w:fldCharType="separate"/>
    </w:r>
    <w:r w:rsidR="008770B4">
      <w:rPr>
        <w:b/>
        <w:sz w:val="18"/>
      </w:rPr>
      <w:t>3</w:t>
    </w:r>
    <w:r w:rsidR="008770B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E3AEA" w14:textId="77777777" w:rsidR="00F546B4" w:rsidRPr="000B175B" w:rsidRDefault="00F546B4" w:rsidP="000B175B">
      <w:pPr>
        <w:tabs>
          <w:tab w:val="right" w:pos="2155"/>
        </w:tabs>
        <w:spacing w:after="80"/>
        <w:ind w:left="680"/>
        <w:rPr>
          <w:u w:val="single"/>
        </w:rPr>
      </w:pPr>
      <w:r>
        <w:rPr>
          <w:u w:val="single"/>
        </w:rPr>
        <w:tab/>
      </w:r>
    </w:p>
  </w:footnote>
  <w:footnote w:type="continuationSeparator" w:id="0">
    <w:p w14:paraId="255CCBA2" w14:textId="77777777" w:rsidR="00F546B4" w:rsidRPr="00FC68B7" w:rsidRDefault="00F546B4" w:rsidP="00FC68B7">
      <w:pPr>
        <w:tabs>
          <w:tab w:val="left" w:pos="2155"/>
        </w:tabs>
        <w:spacing w:after="80"/>
        <w:ind w:left="680"/>
        <w:rPr>
          <w:u w:val="single"/>
        </w:rPr>
      </w:pPr>
      <w:r>
        <w:rPr>
          <w:u w:val="single"/>
        </w:rPr>
        <w:tab/>
      </w:r>
    </w:p>
  </w:footnote>
  <w:footnote w:type="continuationNotice" w:id="1">
    <w:p w14:paraId="4239135C" w14:textId="77777777" w:rsidR="00F546B4" w:rsidRDefault="00F54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5941" w14:textId="72822C48" w:rsidR="008770B4" w:rsidRDefault="008770B4" w:rsidP="008770B4">
    <w:pPr>
      <w:pStyle w:val="Heade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61894" w14:paraId="086255C4" w14:textId="77777777" w:rsidTr="00DE7D78">
      <w:trPr>
        <w:trHeight w:val="282"/>
      </w:trPr>
      <w:tc>
        <w:tcPr>
          <w:tcW w:w="4814" w:type="dxa"/>
        </w:tcPr>
        <w:p w14:paraId="68106931" w14:textId="0FEE9A3F" w:rsidR="00161894" w:rsidRPr="00662833" w:rsidRDefault="00161894" w:rsidP="00161894">
          <w:pPr>
            <w:pStyle w:val="Header"/>
            <w:pBdr>
              <w:bottom w:val="none" w:sz="0" w:space="0" w:color="auto"/>
            </w:pBdr>
            <w:rPr>
              <w:b w:val="0"/>
              <w:bCs/>
            </w:rPr>
          </w:pPr>
          <w:r w:rsidRPr="00662833">
            <w:rPr>
              <w:b w:val="0"/>
              <w:bCs/>
            </w:rPr>
            <w:t xml:space="preserve">Submitted by </w:t>
          </w:r>
          <w:r>
            <w:rPr>
              <w:b w:val="0"/>
              <w:bCs/>
            </w:rPr>
            <w:t>the expert</w:t>
          </w:r>
          <w:r w:rsidR="00D51E5D">
            <w:rPr>
              <w:b w:val="0"/>
              <w:bCs/>
            </w:rPr>
            <w:t>s</w:t>
          </w:r>
          <w:r>
            <w:rPr>
              <w:b w:val="0"/>
              <w:bCs/>
            </w:rPr>
            <w:t xml:space="preserve"> from </w:t>
          </w:r>
          <w:r w:rsidR="006C2B7C">
            <w:rPr>
              <w:b w:val="0"/>
              <w:bCs/>
            </w:rPr>
            <w:t>France</w:t>
          </w:r>
        </w:p>
        <w:p w14:paraId="58A065C6" w14:textId="77777777" w:rsidR="00161894" w:rsidRDefault="00161894" w:rsidP="00161894">
          <w:pPr>
            <w:pStyle w:val="Header"/>
            <w:pBdr>
              <w:bottom w:val="none" w:sz="0" w:space="0" w:color="auto"/>
            </w:pBdr>
          </w:pPr>
        </w:p>
      </w:tc>
      <w:tc>
        <w:tcPr>
          <w:tcW w:w="4815" w:type="dxa"/>
        </w:tcPr>
        <w:p w14:paraId="1A1EBC0E" w14:textId="75015624" w:rsidR="00016E5F" w:rsidRDefault="00161894" w:rsidP="00016E5F">
          <w:pPr>
            <w:pStyle w:val="Header"/>
            <w:pBdr>
              <w:bottom w:val="none" w:sz="0" w:space="0" w:color="auto"/>
            </w:pBdr>
            <w:ind w:leftChars="100" w:left="200" w:firstLineChars="1151" w:firstLine="2072"/>
          </w:pPr>
          <w:r w:rsidRPr="00662833">
            <w:rPr>
              <w:b w:val="0"/>
              <w:bCs/>
              <w:u w:val="single"/>
            </w:rPr>
            <w:t xml:space="preserve">Informal document </w:t>
          </w:r>
          <w:r>
            <w:t>GRVA-05-</w:t>
          </w:r>
          <w:r w:rsidR="00C13CD9">
            <w:t>29</w:t>
          </w:r>
        </w:p>
        <w:p w14:paraId="1F51AE0E" w14:textId="77777777" w:rsidR="00016E5F" w:rsidRDefault="00161894" w:rsidP="00016E5F">
          <w:pPr>
            <w:pStyle w:val="Header"/>
            <w:pBdr>
              <w:bottom w:val="none" w:sz="0" w:space="0" w:color="auto"/>
            </w:pBdr>
            <w:ind w:leftChars="100" w:left="200" w:firstLineChars="1151" w:firstLine="2072"/>
            <w:rPr>
              <w:b w:val="0"/>
              <w:bCs/>
            </w:rPr>
          </w:pPr>
          <w:r>
            <w:rPr>
              <w:b w:val="0"/>
              <w:bCs/>
            </w:rPr>
            <w:t>5</w:t>
          </w:r>
          <w:r w:rsidRPr="00662833">
            <w:rPr>
              <w:b w:val="0"/>
              <w:bCs/>
              <w:vertAlign w:val="superscript"/>
            </w:rPr>
            <w:t>th</w:t>
          </w:r>
          <w:r w:rsidRPr="00662833">
            <w:rPr>
              <w:b w:val="0"/>
              <w:bCs/>
            </w:rPr>
            <w:t xml:space="preserve"> GRVA, </w:t>
          </w:r>
          <w:r>
            <w:rPr>
              <w:b w:val="0"/>
              <w:bCs/>
            </w:rPr>
            <w:t>10</w:t>
          </w:r>
          <w:r w:rsidRPr="00662833">
            <w:rPr>
              <w:b w:val="0"/>
              <w:bCs/>
            </w:rPr>
            <w:t>-</w:t>
          </w:r>
          <w:r>
            <w:rPr>
              <w:b w:val="0"/>
              <w:bCs/>
            </w:rPr>
            <w:t>14</w:t>
          </w:r>
          <w:r w:rsidRPr="00662833">
            <w:rPr>
              <w:b w:val="0"/>
              <w:bCs/>
            </w:rPr>
            <w:t xml:space="preserve"> </w:t>
          </w:r>
          <w:r>
            <w:rPr>
              <w:b w:val="0"/>
              <w:bCs/>
            </w:rPr>
            <w:t>February</w:t>
          </w:r>
          <w:r w:rsidRPr="00662833">
            <w:rPr>
              <w:b w:val="0"/>
              <w:bCs/>
            </w:rPr>
            <w:t xml:space="preserve"> 20</w:t>
          </w:r>
          <w:r>
            <w:rPr>
              <w:b w:val="0"/>
              <w:bCs/>
            </w:rPr>
            <w:t>20</w:t>
          </w:r>
        </w:p>
        <w:p w14:paraId="279B358E" w14:textId="158D521E" w:rsidR="00161894" w:rsidRDefault="00161894" w:rsidP="00016E5F">
          <w:pPr>
            <w:pStyle w:val="Header"/>
            <w:pBdr>
              <w:bottom w:val="none" w:sz="0" w:space="0" w:color="auto"/>
            </w:pBdr>
            <w:ind w:leftChars="100" w:left="200" w:firstLineChars="1151" w:firstLine="2072"/>
          </w:pPr>
          <w:r w:rsidRPr="00662833">
            <w:rPr>
              <w:b w:val="0"/>
              <w:bCs/>
            </w:rPr>
            <w:t>Agenda item</w:t>
          </w:r>
          <w:r w:rsidR="00D51E5D">
            <w:rPr>
              <w:b w:val="0"/>
              <w:bCs/>
            </w:rPr>
            <w:t xml:space="preserve">s </w:t>
          </w:r>
          <w:r w:rsidR="00D020E8">
            <w:rPr>
              <w:b w:val="0"/>
              <w:bCs/>
            </w:rPr>
            <w:t xml:space="preserve">5 </w:t>
          </w:r>
          <w:r w:rsidR="00C13CD9">
            <w:rPr>
              <w:b w:val="0"/>
              <w:bCs/>
            </w:rPr>
            <w:t>(</w:t>
          </w:r>
          <w:r w:rsidR="00D020E8">
            <w:rPr>
              <w:b w:val="0"/>
              <w:bCs/>
            </w:rPr>
            <w:t>a)</w:t>
          </w:r>
        </w:p>
      </w:tc>
    </w:tr>
  </w:tbl>
  <w:p w14:paraId="71F036D2" w14:textId="77777777" w:rsidR="00161894" w:rsidRDefault="00161894" w:rsidP="001618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0D32DB1"/>
    <w:multiLevelType w:val="hybridMultilevel"/>
    <w:tmpl w:val="0C9C2D6E"/>
    <w:lvl w:ilvl="0" w:tplc="062AE650">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49C71D5B"/>
    <w:multiLevelType w:val="hybridMultilevel"/>
    <w:tmpl w:val="AAD4F952"/>
    <w:lvl w:ilvl="0" w:tplc="4492088C">
      <w:start w:val="1"/>
      <w:numFmt w:val="bullet"/>
      <w:lvlText w:val=""/>
      <w:lvlJc w:val="left"/>
      <w:pPr>
        <w:tabs>
          <w:tab w:val="num" w:pos="720"/>
        </w:tabs>
        <w:ind w:left="720" w:hanging="360"/>
      </w:pPr>
      <w:rPr>
        <w:rFonts w:ascii="Wingdings" w:hAnsi="Wingdings" w:hint="default"/>
      </w:rPr>
    </w:lvl>
    <w:lvl w:ilvl="1" w:tplc="605E60AC" w:tentative="1">
      <w:start w:val="1"/>
      <w:numFmt w:val="bullet"/>
      <w:lvlText w:val=""/>
      <w:lvlJc w:val="left"/>
      <w:pPr>
        <w:tabs>
          <w:tab w:val="num" w:pos="1440"/>
        </w:tabs>
        <w:ind w:left="1440" w:hanging="360"/>
      </w:pPr>
      <w:rPr>
        <w:rFonts w:ascii="Wingdings" w:hAnsi="Wingdings" w:hint="default"/>
      </w:rPr>
    </w:lvl>
    <w:lvl w:ilvl="2" w:tplc="FFFAA73A" w:tentative="1">
      <w:start w:val="1"/>
      <w:numFmt w:val="bullet"/>
      <w:lvlText w:val=""/>
      <w:lvlJc w:val="left"/>
      <w:pPr>
        <w:tabs>
          <w:tab w:val="num" w:pos="2160"/>
        </w:tabs>
        <w:ind w:left="2160" w:hanging="360"/>
      </w:pPr>
      <w:rPr>
        <w:rFonts w:ascii="Wingdings" w:hAnsi="Wingdings" w:hint="default"/>
      </w:rPr>
    </w:lvl>
    <w:lvl w:ilvl="3" w:tplc="F33628F8" w:tentative="1">
      <w:start w:val="1"/>
      <w:numFmt w:val="bullet"/>
      <w:lvlText w:val=""/>
      <w:lvlJc w:val="left"/>
      <w:pPr>
        <w:tabs>
          <w:tab w:val="num" w:pos="2880"/>
        </w:tabs>
        <w:ind w:left="2880" w:hanging="360"/>
      </w:pPr>
      <w:rPr>
        <w:rFonts w:ascii="Wingdings" w:hAnsi="Wingdings" w:hint="default"/>
      </w:rPr>
    </w:lvl>
    <w:lvl w:ilvl="4" w:tplc="1D220272" w:tentative="1">
      <w:start w:val="1"/>
      <w:numFmt w:val="bullet"/>
      <w:lvlText w:val=""/>
      <w:lvlJc w:val="left"/>
      <w:pPr>
        <w:tabs>
          <w:tab w:val="num" w:pos="3600"/>
        </w:tabs>
        <w:ind w:left="3600" w:hanging="360"/>
      </w:pPr>
      <w:rPr>
        <w:rFonts w:ascii="Wingdings" w:hAnsi="Wingdings" w:hint="default"/>
      </w:rPr>
    </w:lvl>
    <w:lvl w:ilvl="5" w:tplc="42FE9CA2" w:tentative="1">
      <w:start w:val="1"/>
      <w:numFmt w:val="bullet"/>
      <w:lvlText w:val=""/>
      <w:lvlJc w:val="left"/>
      <w:pPr>
        <w:tabs>
          <w:tab w:val="num" w:pos="4320"/>
        </w:tabs>
        <w:ind w:left="4320" w:hanging="360"/>
      </w:pPr>
      <w:rPr>
        <w:rFonts w:ascii="Wingdings" w:hAnsi="Wingdings" w:hint="default"/>
      </w:rPr>
    </w:lvl>
    <w:lvl w:ilvl="6" w:tplc="705261A6" w:tentative="1">
      <w:start w:val="1"/>
      <w:numFmt w:val="bullet"/>
      <w:lvlText w:val=""/>
      <w:lvlJc w:val="left"/>
      <w:pPr>
        <w:tabs>
          <w:tab w:val="num" w:pos="5040"/>
        </w:tabs>
        <w:ind w:left="5040" w:hanging="360"/>
      </w:pPr>
      <w:rPr>
        <w:rFonts w:ascii="Wingdings" w:hAnsi="Wingdings" w:hint="default"/>
      </w:rPr>
    </w:lvl>
    <w:lvl w:ilvl="7" w:tplc="93C21CFA" w:tentative="1">
      <w:start w:val="1"/>
      <w:numFmt w:val="bullet"/>
      <w:lvlText w:val=""/>
      <w:lvlJc w:val="left"/>
      <w:pPr>
        <w:tabs>
          <w:tab w:val="num" w:pos="5760"/>
        </w:tabs>
        <w:ind w:left="5760" w:hanging="360"/>
      </w:pPr>
      <w:rPr>
        <w:rFonts w:ascii="Wingdings" w:hAnsi="Wingdings" w:hint="default"/>
      </w:rPr>
    </w:lvl>
    <w:lvl w:ilvl="8" w:tplc="F5F2FF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105BA"/>
    <w:multiLevelType w:val="hybridMultilevel"/>
    <w:tmpl w:val="7DAE2112"/>
    <w:lvl w:ilvl="0" w:tplc="16122F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E056FD"/>
    <w:multiLevelType w:val="hybridMultilevel"/>
    <w:tmpl w:val="1E3A1966"/>
    <w:lvl w:ilvl="0" w:tplc="2BF493D0">
      <w:numFmt w:val="bullet"/>
      <w:lvlText w:val="-"/>
      <w:lvlJc w:val="left"/>
      <w:pPr>
        <w:ind w:left="1494" w:hanging="360"/>
      </w:pPr>
      <w:rPr>
        <w:rFonts w:ascii="Calibri" w:eastAsia="Times New Roman" w:hAnsi="Calibri" w:cs="Calibri"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15:restartNumberingAfterBreak="0">
    <w:nsid w:val="5C742A19"/>
    <w:multiLevelType w:val="hybridMultilevel"/>
    <w:tmpl w:val="67E06E36"/>
    <w:lvl w:ilvl="0" w:tplc="040C0001">
      <w:start w:val="1"/>
      <w:numFmt w:val="bullet"/>
      <w:lvlText w:val=""/>
      <w:lvlJc w:val="left"/>
      <w:pPr>
        <w:tabs>
          <w:tab w:val="num" w:pos="720"/>
        </w:tabs>
        <w:ind w:left="720" w:hanging="360"/>
      </w:pPr>
      <w:rPr>
        <w:rFonts w:ascii="Symbol" w:hAnsi="Symbol" w:hint="default"/>
      </w:rPr>
    </w:lvl>
    <w:lvl w:ilvl="1" w:tplc="605E60AC" w:tentative="1">
      <w:start w:val="1"/>
      <w:numFmt w:val="bullet"/>
      <w:lvlText w:val=""/>
      <w:lvlJc w:val="left"/>
      <w:pPr>
        <w:tabs>
          <w:tab w:val="num" w:pos="1440"/>
        </w:tabs>
        <w:ind w:left="1440" w:hanging="360"/>
      </w:pPr>
      <w:rPr>
        <w:rFonts w:ascii="Wingdings" w:hAnsi="Wingdings" w:hint="default"/>
      </w:rPr>
    </w:lvl>
    <w:lvl w:ilvl="2" w:tplc="FFFAA73A" w:tentative="1">
      <w:start w:val="1"/>
      <w:numFmt w:val="bullet"/>
      <w:lvlText w:val=""/>
      <w:lvlJc w:val="left"/>
      <w:pPr>
        <w:tabs>
          <w:tab w:val="num" w:pos="2160"/>
        </w:tabs>
        <w:ind w:left="2160" w:hanging="360"/>
      </w:pPr>
      <w:rPr>
        <w:rFonts w:ascii="Wingdings" w:hAnsi="Wingdings" w:hint="default"/>
      </w:rPr>
    </w:lvl>
    <w:lvl w:ilvl="3" w:tplc="F33628F8" w:tentative="1">
      <w:start w:val="1"/>
      <w:numFmt w:val="bullet"/>
      <w:lvlText w:val=""/>
      <w:lvlJc w:val="left"/>
      <w:pPr>
        <w:tabs>
          <w:tab w:val="num" w:pos="2880"/>
        </w:tabs>
        <w:ind w:left="2880" w:hanging="360"/>
      </w:pPr>
      <w:rPr>
        <w:rFonts w:ascii="Wingdings" w:hAnsi="Wingdings" w:hint="default"/>
      </w:rPr>
    </w:lvl>
    <w:lvl w:ilvl="4" w:tplc="1D220272" w:tentative="1">
      <w:start w:val="1"/>
      <w:numFmt w:val="bullet"/>
      <w:lvlText w:val=""/>
      <w:lvlJc w:val="left"/>
      <w:pPr>
        <w:tabs>
          <w:tab w:val="num" w:pos="3600"/>
        </w:tabs>
        <w:ind w:left="3600" w:hanging="360"/>
      </w:pPr>
      <w:rPr>
        <w:rFonts w:ascii="Wingdings" w:hAnsi="Wingdings" w:hint="default"/>
      </w:rPr>
    </w:lvl>
    <w:lvl w:ilvl="5" w:tplc="42FE9CA2" w:tentative="1">
      <w:start w:val="1"/>
      <w:numFmt w:val="bullet"/>
      <w:lvlText w:val=""/>
      <w:lvlJc w:val="left"/>
      <w:pPr>
        <w:tabs>
          <w:tab w:val="num" w:pos="4320"/>
        </w:tabs>
        <w:ind w:left="4320" w:hanging="360"/>
      </w:pPr>
      <w:rPr>
        <w:rFonts w:ascii="Wingdings" w:hAnsi="Wingdings" w:hint="default"/>
      </w:rPr>
    </w:lvl>
    <w:lvl w:ilvl="6" w:tplc="705261A6" w:tentative="1">
      <w:start w:val="1"/>
      <w:numFmt w:val="bullet"/>
      <w:lvlText w:val=""/>
      <w:lvlJc w:val="left"/>
      <w:pPr>
        <w:tabs>
          <w:tab w:val="num" w:pos="5040"/>
        </w:tabs>
        <w:ind w:left="5040" w:hanging="360"/>
      </w:pPr>
      <w:rPr>
        <w:rFonts w:ascii="Wingdings" w:hAnsi="Wingdings" w:hint="default"/>
      </w:rPr>
    </w:lvl>
    <w:lvl w:ilvl="7" w:tplc="93C21CFA" w:tentative="1">
      <w:start w:val="1"/>
      <w:numFmt w:val="bullet"/>
      <w:lvlText w:val=""/>
      <w:lvlJc w:val="left"/>
      <w:pPr>
        <w:tabs>
          <w:tab w:val="num" w:pos="5760"/>
        </w:tabs>
        <w:ind w:left="5760" w:hanging="360"/>
      </w:pPr>
      <w:rPr>
        <w:rFonts w:ascii="Wingdings" w:hAnsi="Wingdings" w:hint="default"/>
      </w:rPr>
    </w:lvl>
    <w:lvl w:ilvl="8" w:tplc="F5F2FF2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2"/>
  </w:num>
  <w:num w:numId="18">
    <w:abstractNumId w:val="23"/>
  </w:num>
  <w:num w:numId="19">
    <w:abstractNumId w:val="11"/>
  </w:num>
  <w:num w:numId="20">
    <w:abstractNumId w:val="18"/>
  </w:num>
  <w:num w:numId="21">
    <w:abstractNumId w:val="21"/>
  </w:num>
  <w:num w:numId="22">
    <w:abstractNumId w:val="19"/>
  </w:num>
  <w:num w:numId="23">
    <w:abstractNumId w:val="17"/>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4096" w:nlCheck="1" w:checkStyle="0"/>
  <w:activeWritingStyle w:appName="MSWord" w:lang="ja-JP" w:vendorID="64" w:dllVersion="0" w:nlCheck="1" w:checkStyle="1"/>
  <w:activeWritingStyle w:appName="MSWord" w:lang="ja-JP" w:vendorID="64" w:dllVersion="6" w:nlCheck="1" w:checkStyle="1"/>
  <w:activeWritingStyle w:appName="MSWord" w:lang="fr-FR" w:vendorID="64" w:dllVersion="0" w:nlCheck="1" w:checkStyle="0"/>
  <w:activeWritingStyle w:appName="MSWord" w:lang="fr-FR"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14CAB"/>
    <w:rsid w:val="00016E5F"/>
    <w:rsid w:val="00027624"/>
    <w:rsid w:val="00033900"/>
    <w:rsid w:val="00050F6B"/>
    <w:rsid w:val="00064F2B"/>
    <w:rsid w:val="000678CD"/>
    <w:rsid w:val="00072C8C"/>
    <w:rsid w:val="00081CE0"/>
    <w:rsid w:val="00084D30"/>
    <w:rsid w:val="00090320"/>
    <w:rsid w:val="000931C0"/>
    <w:rsid w:val="00097003"/>
    <w:rsid w:val="000A06F5"/>
    <w:rsid w:val="000A2E09"/>
    <w:rsid w:val="000B1190"/>
    <w:rsid w:val="000B175B"/>
    <w:rsid w:val="000B3A0F"/>
    <w:rsid w:val="000C11A0"/>
    <w:rsid w:val="000C6927"/>
    <w:rsid w:val="000D4C9A"/>
    <w:rsid w:val="000E0415"/>
    <w:rsid w:val="000E2696"/>
    <w:rsid w:val="000F7715"/>
    <w:rsid w:val="00125BAC"/>
    <w:rsid w:val="00146D13"/>
    <w:rsid w:val="00147844"/>
    <w:rsid w:val="00156B99"/>
    <w:rsid w:val="00161894"/>
    <w:rsid w:val="00166124"/>
    <w:rsid w:val="001822EA"/>
    <w:rsid w:val="00184DDA"/>
    <w:rsid w:val="00186A4E"/>
    <w:rsid w:val="001900CD"/>
    <w:rsid w:val="001A0452"/>
    <w:rsid w:val="001B4B04"/>
    <w:rsid w:val="001B5875"/>
    <w:rsid w:val="001C0BC3"/>
    <w:rsid w:val="001C1CF5"/>
    <w:rsid w:val="001C4B9C"/>
    <w:rsid w:val="001C6663"/>
    <w:rsid w:val="001C7895"/>
    <w:rsid w:val="001D086C"/>
    <w:rsid w:val="001D0BD3"/>
    <w:rsid w:val="001D26DF"/>
    <w:rsid w:val="001D3947"/>
    <w:rsid w:val="001D4FE8"/>
    <w:rsid w:val="001F1599"/>
    <w:rsid w:val="001F19C4"/>
    <w:rsid w:val="002043F0"/>
    <w:rsid w:val="00205C5D"/>
    <w:rsid w:val="00211E0B"/>
    <w:rsid w:val="00232575"/>
    <w:rsid w:val="00242914"/>
    <w:rsid w:val="00247258"/>
    <w:rsid w:val="00257CAC"/>
    <w:rsid w:val="0027237A"/>
    <w:rsid w:val="00273B67"/>
    <w:rsid w:val="00275BD6"/>
    <w:rsid w:val="002827A3"/>
    <w:rsid w:val="002974E9"/>
    <w:rsid w:val="002A306B"/>
    <w:rsid w:val="002A7F94"/>
    <w:rsid w:val="002B109A"/>
    <w:rsid w:val="002C6D45"/>
    <w:rsid w:val="002D6E53"/>
    <w:rsid w:val="002F046D"/>
    <w:rsid w:val="002F3023"/>
    <w:rsid w:val="00301764"/>
    <w:rsid w:val="003229D8"/>
    <w:rsid w:val="0032625E"/>
    <w:rsid w:val="00336C97"/>
    <w:rsid w:val="00337F88"/>
    <w:rsid w:val="00342432"/>
    <w:rsid w:val="00343026"/>
    <w:rsid w:val="0035223F"/>
    <w:rsid w:val="00352D4B"/>
    <w:rsid w:val="0035638C"/>
    <w:rsid w:val="003631BC"/>
    <w:rsid w:val="0037073B"/>
    <w:rsid w:val="00382427"/>
    <w:rsid w:val="003A46BB"/>
    <w:rsid w:val="003A4EC7"/>
    <w:rsid w:val="003A7295"/>
    <w:rsid w:val="003B1F60"/>
    <w:rsid w:val="003B229F"/>
    <w:rsid w:val="003C16CA"/>
    <w:rsid w:val="003C1DF3"/>
    <w:rsid w:val="003C2CC4"/>
    <w:rsid w:val="003D4B23"/>
    <w:rsid w:val="003D6A33"/>
    <w:rsid w:val="003E278A"/>
    <w:rsid w:val="003F6ACB"/>
    <w:rsid w:val="00413520"/>
    <w:rsid w:val="00426178"/>
    <w:rsid w:val="00427325"/>
    <w:rsid w:val="004325CB"/>
    <w:rsid w:val="00440A07"/>
    <w:rsid w:val="004529C4"/>
    <w:rsid w:val="00462880"/>
    <w:rsid w:val="0046734B"/>
    <w:rsid w:val="00476F24"/>
    <w:rsid w:val="00490B23"/>
    <w:rsid w:val="004A11D2"/>
    <w:rsid w:val="004A5D33"/>
    <w:rsid w:val="004A67B9"/>
    <w:rsid w:val="004C55B0"/>
    <w:rsid w:val="004E0E2F"/>
    <w:rsid w:val="004F4084"/>
    <w:rsid w:val="004F6BA0"/>
    <w:rsid w:val="00503BEA"/>
    <w:rsid w:val="005122D6"/>
    <w:rsid w:val="00522CBC"/>
    <w:rsid w:val="00533616"/>
    <w:rsid w:val="00535ABA"/>
    <w:rsid w:val="0053768B"/>
    <w:rsid w:val="005420F2"/>
    <w:rsid w:val="0054285C"/>
    <w:rsid w:val="005645F0"/>
    <w:rsid w:val="005762CF"/>
    <w:rsid w:val="00584173"/>
    <w:rsid w:val="00595520"/>
    <w:rsid w:val="00597F97"/>
    <w:rsid w:val="005A44B9"/>
    <w:rsid w:val="005B1BA0"/>
    <w:rsid w:val="005B3DB3"/>
    <w:rsid w:val="005C0268"/>
    <w:rsid w:val="005C7A23"/>
    <w:rsid w:val="005D15CA"/>
    <w:rsid w:val="005F08DF"/>
    <w:rsid w:val="005F3066"/>
    <w:rsid w:val="005F3E61"/>
    <w:rsid w:val="00604DDD"/>
    <w:rsid w:val="00604E7B"/>
    <w:rsid w:val="006115CC"/>
    <w:rsid w:val="00611FC4"/>
    <w:rsid w:val="0061412D"/>
    <w:rsid w:val="006176FB"/>
    <w:rsid w:val="00630FCB"/>
    <w:rsid w:val="00640B26"/>
    <w:rsid w:val="0064637B"/>
    <w:rsid w:val="0065766B"/>
    <w:rsid w:val="006770B2"/>
    <w:rsid w:val="00686A48"/>
    <w:rsid w:val="00686E09"/>
    <w:rsid w:val="0068763C"/>
    <w:rsid w:val="00691E80"/>
    <w:rsid w:val="006940E1"/>
    <w:rsid w:val="006A3C72"/>
    <w:rsid w:val="006A7392"/>
    <w:rsid w:val="006B03A1"/>
    <w:rsid w:val="006B3E9C"/>
    <w:rsid w:val="006B67D9"/>
    <w:rsid w:val="006B7051"/>
    <w:rsid w:val="006C2B7C"/>
    <w:rsid w:val="006C5343"/>
    <w:rsid w:val="006C5535"/>
    <w:rsid w:val="006D0589"/>
    <w:rsid w:val="006D4E11"/>
    <w:rsid w:val="006D7243"/>
    <w:rsid w:val="006E564B"/>
    <w:rsid w:val="006E7154"/>
    <w:rsid w:val="007003CD"/>
    <w:rsid w:val="0070701E"/>
    <w:rsid w:val="00722F9B"/>
    <w:rsid w:val="00724CA3"/>
    <w:rsid w:val="0072632A"/>
    <w:rsid w:val="007358E8"/>
    <w:rsid w:val="00736ECE"/>
    <w:rsid w:val="00742E42"/>
    <w:rsid w:val="0074533B"/>
    <w:rsid w:val="007546F4"/>
    <w:rsid w:val="007643BC"/>
    <w:rsid w:val="00780C68"/>
    <w:rsid w:val="007919F5"/>
    <w:rsid w:val="007959FE"/>
    <w:rsid w:val="007A0CF1"/>
    <w:rsid w:val="007B6BA5"/>
    <w:rsid w:val="007C3390"/>
    <w:rsid w:val="007C42D8"/>
    <w:rsid w:val="007C4F4B"/>
    <w:rsid w:val="007D2E9D"/>
    <w:rsid w:val="007D6F65"/>
    <w:rsid w:val="007D7362"/>
    <w:rsid w:val="007F5CE2"/>
    <w:rsid w:val="007F6611"/>
    <w:rsid w:val="007F79F8"/>
    <w:rsid w:val="00803567"/>
    <w:rsid w:val="00810BAC"/>
    <w:rsid w:val="008175E9"/>
    <w:rsid w:val="008242D7"/>
    <w:rsid w:val="0082577B"/>
    <w:rsid w:val="00825CB5"/>
    <w:rsid w:val="00862540"/>
    <w:rsid w:val="00866893"/>
    <w:rsid w:val="00866F02"/>
    <w:rsid w:val="00867D18"/>
    <w:rsid w:val="00871F9A"/>
    <w:rsid w:val="00871FD5"/>
    <w:rsid w:val="00872644"/>
    <w:rsid w:val="00874280"/>
    <w:rsid w:val="008770B4"/>
    <w:rsid w:val="0088172E"/>
    <w:rsid w:val="00881EFA"/>
    <w:rsid w:val="008879CB"/>
    <w:rsid w:val="0089440A"/>
    <w:rsid w:val="008979B1"/>
    <w:rsid w:val="008A2CFD"/>
    <w:rsid w:val="008A4565"/>
    <w:rsid w:val="008A6B25"/>
    <w:rsid w:val="008A6C4F"/>
    <w:rsid w:val="008B389E"/>
    <w:rsid w:val="008C03E6"/>
    <w:rsid w:val="008D045E"/>
    <w:rsid w:val="008D3F25"/>
    <w:rsid w:val="008D4D82"/>
    <w:rsid w:val="008E0E46"/>
    <w:rsid w:val="008E1B2E"/>
    <w:rsid w:val="008E7116"/>
    <w:rsid w:val="008F143B"/>
    <w:rsid w:val="008F3882"/>
    <w:rsid w:val="008F4B7C"/>
    <w:rsid w:val="00915DE9"/>
    <w:rsid w:val="00926E47"/>
    <w:rsid w:val="00930747"/>
    <w:rsid w:val="0093107A"/>
    <w:rsid w:val="00945DF5"/>
    <w:rsid w:val="00947162"/>
    <w:rsid w:val="009610D0"/>
    <w:rsid w:val="0096375C"/>
    <w:rsid w:val="009662E6"/>
    <w:rsid w:val="0097095E"/>
    <w:rsid w:val="0098592B"/>
    <w:rsid w:val="00985FC4"/>
    <w:rsid w:val="00990766"/>
    <w:rsid w:val="00991261"/>
    <w:rsid w:val="009964C4"/>
    <w:rsid w:val="009A7B81"/>
    <w:rsid w:val="009B7EB7"/>
    <w:rsid w:val="009C52F6"/>
    <w:rsid w:val="009D01C0"/>
    <w:rsid w:val="009D6A08"/>
    <w:rsid w:val="009E0A16"/>
    <w:rsid w:val="009E6CB7"/>
    <w:rsid w:val="009E7970"/>
    <w:rsid w:val="009F2EAC"/>
    <w:rsid w:val="009F57E3"/>
    <w:rsid w:val="00A10F4F"/>
    <w:rsid w:val="00A11067"/>
    <w:rsid w:val="00A1704A"/>
    <w:rsid w:val="00A175FA"/>
    <w:rsid w:val="00A23AA0"/>
    <w:rsid w:val="00A36AC2"/>
    <w:rsid w:val="00A425EB"/>
    <w:rsid w:val="00A72F22"/>
    <w:rsid w:val="00A733BC"/>
    <w:rsid w:val="00A748A6"/>
    <w:rsid w:val="00A76A69"/>
    <w:rsid w:val="00A879A4"/>
    <w:rsid w:val="00AA0FF8"/>
    <w:rsid w:val="00AC0F2C"/>
    <w:rsid w:val="00AC502A"/>
    <w:rsid w:val="00AD6189"/>
    <w:rsid w:val="00AE1E26"/>
    <w:rsid w:val="00AE379C"/>
    <w:rsid w:val="00AF58C1"/>
    <w:rsid w:val="00B04A3F"/>
    <w:rsid w:val="00B06643"/>
    <w:rsid w:val="00B15055"/>
    <w:rsid w:val="00B20551"/>
    <w:rsid w:val="00B30179"/>
    <w:rsid w:val="00B31E0B"/>
    <w:rsid w:val="00B33FC7"/>
    <w:rsid w:val="00B37B15"/>
    <w:rsid w:val="00B4162A"/>
    <w:rsid w:val="00B45C02"/>
    <w:rsid w:val="00B528A3"/>
    <w:rsid w:val="00B53AD4"/>
    <w:rsid w:val="00B67E96"/>
    <w:rsid w:val="00B70B63"/>
    <w:rsid w:val="00B71CBF"/>
    <w:rsid w:val="00B72A1E"/>
    <w:rsid w:val="00B81E12"/>
    <w:rsid w:val="00BA14A8"/>
    <w:rsid w:val="00BA339B"/>
    <w:rsid w:val="00BB23CC"/>
    <w:rsid w:val="00BB708C"/>
    <w:rsid w:val="00BC1E7E"/>
    <w:rsid w:val="00BC74E9"/>
    <w:rsid w:val="00BD361A"/>
    <w:rsid w:val="00BE36A9"/>
    <w:rsid w:val="00BE618E"/>
    <w:rsid w:val="00BE7BEC"/>
    <w:rsid w:val="00BF0A5A"/>
    <w:rsid w:val="00BF0E63"/>
    <w:rsid w:val="00BF12A3"/>
    <w:rsid w:val="00BF16D7"/>
    <w:rsid w:val="00BF2373"/>
    <w:rsid w:val="00BF279B"/>
    <w:rsid w:val="00C044E2"/>
    <w:rsid w:val="00C048CB"/>
    <w:rsid w:val="00C066F3"/>
    <w:rsid w:val="00C13CD9"/>
    <w:rsid w:val="00C44F48"/>
    <w:rsid w:val="00C463DD"/>
    <w:rsid w:val="00C745C3"/>
    <w:rsid w:val="00C978F5"/>
    <w:rsid w:val="00CA24A4"/>
    <w:rsid w:val="00CB348D"/>
    <w:rsid w:val="00CC1764"/>
    <w:rsid w:val="00CC1BE1"/>
    <w:rsid w:val="00CC599A"/>
    <w:rsid w:val="00CD46F5"/>
    <w:rsid w:val="00CE4A8F"/>
    <w:rsid w:val="00CE557D"/>
    <w:rsid w:val="00CE719A"/>
    <w:rsid w:val="00CF071D"/>
    <w:rsid w:val="00D0123D"/>
    <w:rsid w:val="00D020E8"/>
    <w:rsid w:val="00D06D52"/>
    <w:rsid w:val="00D1413F"/>
    <w:rsid w:val="00D15B04"/>
    <w:rsid w:val="00D2031B"/>
    <w:rsid w:val="00D254DF"/>
    <w:rsid w:val="00D25FE2"/>
    <w:rsid w:val="00D37DA9"/>
    <w:rsid w:val="00D406A7"/>
    <w:rsid w:val="00D43252"/>
    <w:rsid w:val="00D44D86"/>
    <w:rsid w:val="00D50B7D"/>
    <w:rsid w:val="00D51E5D"/>
    <w:rsid w:val="00D52012"/>
    <w:rsid w:val="00D704E5"/>
    <w:rsid w:val="00D72727"/>
    <w:rsid w:val="00D72BC2"/>
    <w:rsid w:val="00D978C6"/>
    <w:rsid w:val="00DA0956"/>
    <w:rsid w:val="00DA2690"/>
    <w:rsid w:val="00DA357F"/>
    <w:rsid w:val="00DA3E12"/>
    <w:rsid w:val="00DC18AD"/>
    <w:rsid w:val="00DE27F3"/>
    <w:rsid w:val="00DF0752"/>
    <w:rsid w:val="00DF4CA1"/>
    <w:rsid w:val="00DF7CAE"/>
    <w:rsid w:val="00E16A35"/>
    <w:rsid w:val="00E2023F"/>
    <w:rsid w:val="00E423C0"/>
    <w:rsid w:val="00E46E0B"/>
    <w:rsid w:val="00E6414C"/>
    <w:rsid w:val="00E7223A"/>
    <w:rsid w:val="00E7260F"/>
    <w:rsid w:val="00E8702D"/>
    <w:rsid w:val="00E905F4"/>
    <w:rsid w:val="00E916A9"/>
    <w:rsid w:val="00E916DE"/>
    <w:rsid w:val="00E9187D"/>
    <w:rsid w:val="00E925AD"/>
    <w:rsid w:val="00E96630"/>
    <w:rsid w:val="00EA0826"/>
    <w:rsid w:val="00ED18DC"/>
    <w:rsid w:val="00ED6201"/>
    <w:rsid w:val="00ED7A2A"/>
    <w:rsid w:val="00EF1D7F"/>
    <w:rsid w:val="00EF5619"/>
    <w:rsid w:val="00F0137E"/>
    <w:rsid w:val="00F04E44"/>
    <w:rsid w:val="00F21786"/>
    <w:rsid w:val="00F25D06"/>
    <w:rsid w:val="00F31CFF"/>
    <w:rsid w:val="00F3742B"/>
    <w:rsid w:val="00F41FDB"/>
    <w:rsid w:val="00F50597"/>
    <w:rsid w:val="00F52260"/>
    <w:rsid w:val="00F546B4"/>
    <w:rsid w:val="00F56D63"/>
    <w:rsid w:val="00F609A9"/>
    <w:rsid w:val="00F65F27"/>
    <w:rsid w:val="00F748F3"/>
    <w:rsid w:val="00F80C99"/>
    <w:rsid w:val="00F867EC"/>
    <w:rsid w:val="00F91B2B"/>
    <w:rsid w:val="00FB4D30"/>
    <w:rsid w:val="00FC03CD"/>
    <w:rsid w:val="00FC0646"/>
    <w:rsid w:val="00FC68B7"/>
    <w:rsid w:val="00FE0E4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AF63ED"/>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character" w:customStyle="1" w:styleId="HeaderChar">
    <w:name w:val="Header Char"/>
    <w:aliases w:val="6_G Char"/>
    <w:basedOn w:val="DefaultParagraphFont"/>
    <w:link w:val="Header"/>
    <w:rsid w:val="00161894"/>
    <w:rPr>
      <w:b/>
      <w:sz w:val="18"/>
      <w:lang w:val="en-GB"/>
    </w:rPr>
  </w:style>
  <w:style w:type="paragraph" w:styleId="ListParagraph">
    <w:name w:val="List Paragraph"/>
    <w:basedOn w:val="Normal"/>
    <w:uiPriority w:val="34"/>
    <w:qFormat/>
    <w:rsid w:val="00597F97"/>
    <w:pPr>
      <w:suppressAutoHyphens w:val="0"/>
      <w:spacing w:line="240" w:lineRule="auto"/>
      <w:ind w:left="720"/>
      <w:contextualSpacing/>
    </w:pPr>
    <w:rPr>
      <w:rFonts w:eastAsia="Times New Roman"/>
      <w:sz w:val="24"/>
      <w:szCs w:val="24"/>
      <w:lang w:val="fr-FR"/>
    </w:rPr>
  </w:style>
  <w:style w:type="character" w:styleId="CommentReference">
    <w:name w:val="annotation reference"/>
    <w:basedOn w:val="DefaultParagraphFont"/>
    <w:semiHidden/>
    <w:unhideWhenUsed/>
    <w:rsid w:val="008A2CFD"/>
    <w:rPr>
      <w:sz w:val="16"/>
      <w:szCs w:val="16"/>
    </w:rPr>
  </w:style>
  <w:style w:type="paragraph" w:styleId="CommentText">
    <w:name w:val="annotation text"/>
    <w:basedOn w:val="Normal"/>
    <w:link w:val="CommentTextChar"/>
    <w:semiHidden/>
    <w:unhideWhenUsed/>
    <w:rsid w:val="008A2CFD"/>
    <w:pPr>
      <w:spacing w:line="240" w:lineRule="auto"/>
    </w:pPr>
  </w:style>
  <w:style w:type="character" w:customStyle="1" w:styleId="CommentTextChar">
    <w:name w:val="Comment Text Char"/>
    <w:basedOn w:val="DefaultParagraphFont"/>
    <w:link w:val="CommentText"/>
    <w:semiHidden/>
    <w:rsid w:val="008A2CFD"/>
    <w:rPr>
      <w:lang w:val="en-GB"/>
    </w:rPr>
  </w:style>
  <w:style w:type="paragraph" w:styleId="CommentSubject">
    <w:name w:val="annotation subject"/>
    <w:basedOn w:val="CommentText"/>
    <w:next w:val="CommentText"/>
    <w:link w:val="CommentSubjectChar"/>
    <w:semiHidden/>
    <w:unhideWhenUsed/>
    <w:rsid w:val="008A2CFD"/>
    <w:rPr>
      <w:b/>
      <w:bCs/>
    </w:rPr>
  </w:style>
  <w:style w:type="character" w:customStyle="1" w:styleId="CommentSubjectChar">
    <w:name w:val="Comment Subject Char"/>
    <w:basedOn w:val="CommentTextChar"/>
    <w:link w:val="CommentSubject"/>
    <w:semiHidden/>
    <w:rsid w:val="008A2CF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2454">
      <w:bodyDiv w:val="1"/>
      <w:marLeft w:val="0"/>
      <w:marRight w:val="0"/>
      <w:marTop w:val="0"/>
      <w:marBottom w:val="0"/>
      <w:divBdr>
        <w:top w:val="none" w:sz="0" w:space="0" w:color="auto"/>
        <w:left w:val="none" w:sz="0" w:space="0" w:color="auto"/>
        <w:bottom w:val="none" w:sz="0" w:space="0" w:color="auto"/>
        <w:right w:val="none" w:sz="0" w:space="0" w:color="auto"/>
      </w:divBdr>
    </w:div>
    <w:div w:id="497768111">
      <w:bodyDiv w:val="1"/>
      <w:marLeft w:val="0"/>
      <w:marRight w:val="0"/>
      <w:marTop w:val="0"/>
      <w:marBottom w:val="0"/>
      <w:divBdr>
        <w:top w:val="none" w:sz="0" w:space="0" w:color="auto"/>
        <w:left w:val="none" w:sz="0" w:space="0" w:color="auto"/>
        <w:bottom w:val="none" w:sz="0" w:space="0" w:color="auto"/>
        <w:right w:val="none" w:sz="0" w:space="0" w:color="auto"/>
      </w:divBdr>
    </w:div>
    <w:div w:id="653996669">
      <w:bodyDiv w:val="1"/>
      <w:marLeft w:val="0"/>
      <w:marRight w:val="0"/>
      <w:marTop w:val="0"/>
      <w:marBottom w:val="0"/>
      <w:divBdr>
        <w:top w:val="none" w:sz="0" w:space="0" w:color="auto"/>
        <w:left w:val="none" w:sz="0" w:space="0" w:color="auto"/>
        <w:bottom w:val="none" w:sz="0" w:space="0" w:color="auto"/>
        <w:right w:val="none" w:sz="0" w:space="0" w:color="auto"/>
      </w:divBdr>
      <w:divsChild>
        <w:div w:id="442459108">
          <w:marLeft w:val="547"/>
          <w:marRight w:val="0"/>
          <w:marTop w:val="86"/>
          <w:marBottom w:val="0"/>
          <w:divBdr>
            <w:top w:val="none" w:sz="0" w:space="0" w:color="auto"/>
            <w:left w:val="none" w:sz="0" w:space="0" w:color="auto"/>
            <w:bottom w:val="none" w:sz="0" w:space="0" w:color="auto"/>
            <w:right w:val="none" w:sz="0" w:space="0" w:color="auto"/>
          </w:divBdr>
        </w:div>
        <w:div w:id="1256549721">
          <w:marLeft w:val="547"/>
          <w:marRight w:val="0"/>
          <w:marTop w:val="86"/>
          <w:marBottom w:val="0"/>
          <w:divBdr>
            <w:top w:val="none" w:sz="0" w:space="0" w:color="auto"/>
            <w:left w:val="none" w:sz="0" w:space="0" w:color="auto"/>
            <w:bottom w:val="none" w:sz="0" w:space="0" w:color="auto"/>
            <w:right w:val="none" w:sz="0" w:space="0" w:color="auto"/>
          </w:divBdr>
        </w:div>
        <w:div w:id="368258652">
          <w:marLeft w:val="547"/>
          <w:marRight w:val="0"/>
          <w:marTop w:val="86"/>
          <w:marBottom w:val="0"/>
          <w:divBdr>
            <w:top w:val="none" w:sz="0" w:space="0" w:color="auto"/>
            <w:left w:val="none" w:sz="0" w:space="0" w:color="auto"/>
            <w:bottom w:val="none" w:sz="0" w:space="0" w:color="auto"/>
            <w:right w:val="none" w:sz="0" w:space="0" w:color="auto"/>
          </w:divBdr>
        </w:div>
      </w:divsChild>
    </w:div>
    <w:div w:id="726876059">
      <w:bodyDiv w:val="1"/>
      <w:marLeft w:val="0"/>
      <w:marRight w:val="0"/>
      <w:marTop w:val="0"/>
      <w:marBottom w:val="0"/>
      <w:divBdr>
        <w:top w:val="none" w:sz="0" w:space="0" w:color="auto"/>
        <w:left w:val="none" w:sz="0" w:space="0" w:color="auto"/>
        <w:bottom w:val="none" w:sz="0" w:space="0" w:color="auto"/>
        <w:right w:val="none" w:sz="0" w:space="0" w:color="auto"/>
      </w:divBdr>
      <w:divsChild>
        <w:div w:id="1956709270">
          <w:marLeft w:val="547"/>
          <w:marRight w:val="0"/>
          <w:marTop w:val="86"/>
          <w:marBottom w:val="0"/>
          <w:divBdr>
            <w:top w:val="none" w:sz="0" w:space="0" w:color="auto"/>
            <w:left w:val="none" w:sz="0" w:space="0" w:color="auto"/>
            <w:bottom w:val="none" w:sz="0" w:space="0" w:color="auto"/>
            <w:right w:val="none" w:sz="0" w:space="0" w:color="auto"/>
          </w:divBdr>
        </w:div>
      </w:divsChild>
    </w:div>
    <w:div w:id="785733982">
      <w:bodyDiv w:val="1"/>
      <w:marLeft w:val="0"/>
      <w:marRight w:val="0"/>
      <w:marTop w:val="0"/>
      <w:marBottom w:val="0"/>
      <w:divBdr>
        <w:top w:val="none" w:sz="0" w:space="0" w:color="auto"/>
        <w:left w:val="none" w:sz="0" w:space="0" w:color="auto"/>
        <w:bottom w:val="none" w:sz="0" w:space="0" w:color="auto"/>
        <w:right w:val="none" w:sz="0" w:space="0" w:color="auto"/>
      </w:divBdr>
      <w:divsChild>
        <w:div w:id="1999187839">
          <w:marLeft w:val="0"/>
          <w:marRight w:val="0"/>
          <w:marTop w:val="0"/>
          <w:marBottom w:val="0"/>
          <w:divBdr>
            <w:top w:val="none" w:sz="0" w:space="0" w:color="auto"/>
            <w:left w:val="none" w:sz="0" w:space="0" w:color="auto"/>
            <w:bottom w:val="none" w:sz="0" w:space="0" w:color="auto"/>
            <w:right w:val="none" w:sz="0" w:space="0" w:color="auto"/>
          </w:divBdr>
          <w:divsChild>
            <w:div w:id="2058237652">
              <w:marLeft w:val="0"/>
              <w:marRight w:val="0"/>
              <w:marTop w:val="0"/>
              <w:marBottom w:val="0"/>
              <w:divBdr>
                <w:top w:val="none" w:sz="0" w:space="0" w:color="auto"/>
                <w:left w:val="none" w:sz="0" w:space="0" w:color="auto"/>
                <w:bottom w:val="none" w:sz="0" w:space="0" w:color="auto"/>
                <w:right w:val="none" w:sz="0" w:space="0" w:color="auto"/>
              </w:divBdr>
              <w:divsChild>
                <w:div w:id="696854010">
                  <w:marLeft w:val="0"/>
                  <w:marRight w:val="0"/>
                  <w:marTop w:val="0"/>
                  <w:marBottom w:val="0"/>
                  <w:divBdr>
                    <w:top w:val="none" w:sz="0" w:space="0" w:color="auto"/>
                    <w:left w:val="none" w:sz="0" w:space="0" w:color="auto"/>
                    <w:bottom w:val="none" w:sz="0" w:space="0" w:color="auto"/>
                    <w:right w:val="none" w:sz="0" w:space="0" w:color="auto"/>
                  </w:divBdr>
                  <w:divsChild>
                    <w:div w:id="301664961">
                      <w:marLeft w:val="0"/>
                      <w:marRight w:val="0"/>
                      <w:marTop w:val="0"/>
                      <w:marBottom w:val="0"/>
                      <w:divBdr>
                        <w:top w:val="none" w:sz="0" w:space="0" w:color="auto"/>
                        <w:left w:val="none" w:sz="0" w:space="0" w:color="auto"/>
                        <w:bottom w:val="none" w:sz="0" w:space="0" w:color="auto"/>
                        <w:right w:val="none" w:sz="0" w:space="0" w:color="auto"/>
                      </w:divBdr>
                      <w:divsChild>
                        <w:div w:id="595090048">
                          <w:marLeft w:val="0"/>
                          <w:marRight w:val="0"/>
                          <w:marTop w:val="0"/>
                          <w:marBottom w:val="0"/>
                          <w:divBdr>
                            <w:top w:val="none" w:sz="0" w:space="0" w:color="auto"/>
                            <w:left w:val="none" w:sz="0" w:space="0" w:color="auto"/>
                            <w:bottom w:val="none" w:sz="0" w:space="0" w:color="auto"/>
                            <w:right w:val="none" w:sz="0" w:space="0" w:color="auto"/>
                          </w:divBdr>
                          <w:divsChild>
                            <w:div w:id="1367020326">
                              <w:marLeft w:val="0"/>
                              <w:marRight w:val="0"/>
                              <w:marTop w:val="0"/>
                              <w:marBottom w:val="0"/>
                              <w:divBdr>
                                <w:top w:val="none" w:sz="0" w:space="0" w:color="auto"/>
                                <w:left w:val="none" w:sz="0" w:space="0" w:color="auto"/>
                                <w:bottom w:val="none" w:sz="0" w:space="0" w:color="auto"/>
                                <w:right w:val="none" w:sz="0" w:space="0" w:color="auto"/>
                              </w:divBdr>
                              <w:divsChild>
                                <w:div w:id="2139956475">
                                  <w:marLeft w:val="0"/>
                                  <w:marRight w:val="0"/>
                                  <w:marTop w:val="0"/>
                                  <w:marBottom w:val="0"/>
                                  <w:divBdr>
                                    <w:top w:val="none" w:sz="0" w:space="0" w:color="auto"/>
                                    <w:left w:val="none" w:sz="0" w:space="0" w:color="auto"/>
                                    <w:bottom w:val="none" w:sz="0" w:space="0" w:color="auto"/>
                                    <w:right w:val="none" w:sz="0" w:space="0" w:color="auto"/>
                                  </w:divBdr>
                                  <w:divsChild>
                                    <w:div w:id="833302458">
                                      <w:marLeft w:val="0"/>
                                      <w:marRight w:val="0"/>
                                      <w:marTop w:val="0"/>
                                      <w:marBottom w:val="0"/>
                                      <w:divBdr>
                                        <w:top w:val="none" w:sz="0" w:space="0" w:color="auto"/>
                                        <w:left w:val="none" w:sz="0" w:space="0" w:color="auto"/>
                                        <w:bottom w:val="none" w:sz="0" w:space="0" w:color="auto"/>
                                        <w:right w:val="none" w:sz="0" w:space="0" w:color="auto"/>
                                      </w:divBdr>
                                      <w:divsChild>
                                        <w:div w:id="1030255612">
                                          <w:marLeft w:val="0"/>
                                          <w:marRight w:val="0"/>
                                          <w:marTop w:val="0"/>
                                          <w:marBottom w:val="0"/>
                                          <w:divBdr>
                                            <w:top w:val="none" w:sz="0" w:space="0" w:color="auto"/>
                                            <w:left w:val="none" w:sz="0" w:space="0" w:color="auto"/>
                                            <w:bottom w:val="none" w:sz="0" w:space="0" w:color="auto"/>
                                            <w:right w:val="none" w:sz="0" w:space="0" w:color="auto"/>
                                          </w:divBdr>
                                          <w:divsChild>
                                            <w:div w:id="6952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8757">
      <w:bodyDiv w:val="1"/>
      <w:marLeft w:val="0"/>
      <w:marRight w:val="0"/>
      <w:marTop w:val="0"/>
      <w:marBottom w:val="0"/>
      <w:divBdr>
        <w:top w:val="none" w:sz="0" w:space="0" w:color="auto"/>
        <w:left w:val="none" w:sz="0" w:space="0" w:color="auto"/>
        <w:bottom w:val="none" w:sz="0" w:space="0" w:color="auto"/>
        <w:right w:val="none" w:sz="0" w:space="0" w:color="auto"/>
      </w:divBdr>
      <w:divsChild>
        <w:div w:id="10760162">
          <w:marLeft w:val="547"/>
          <w:marRight w:val="0"/>
          <w:marTop w:val="86"/>
          <w:marBottom w:val="0"/>
          <w:divBdr>
            <w:top w:val="none" w:sz="0" w:space="0" w:color="auto"/>
            <w:left w:val="none" w:sz="0" w:space="0" w:color="auto"/>
            <w:bottom w:val="none" w:sz="0" w:space="0" w:color="auto"/>
            <w:right w:val="none" w:sz="0" w:space="0" w:color="auto"/>
          </w:divBdr>
        </w:div>
        <w:div w:id="1043140537">
          <w:marLeft w:val="547"/>
          <w:marRight w:val="0"/>
          <w:marTop w:val="86"/>
          <w:marBottom w:val="0"/>
          <w:divBdr>
            <w:top w:val="none" w:sz="0" w:space="0" w:color="auto"/>
            <w:left w:val="none" w:sz="0" w:space="0" w:color="auto"/>
            <w:bottom w:val="none" w:sz="0" w:space="0" w:color="auto"/>
            <w:right w:val="none" w:sz="0" w:space="0" w:color="auto"/>
          </w:divBdr>
        </w:div>
        <w:div w:id="2120299788">
          <w:marLeft w:val="547"/>
          <w:marRight w:val="0"/>
          <w:marTop w:val="86"/>
          <w:marBottom w:val="0"/>
          <w:divBdr>
            <w:top w:val="none" w:sz="0" w:space="0" w:color="auto"/>
            <w:left w:val="none" w:sz="0" w:space="0" w:color="auto"/>
            <w:bottom w:val="none" w:sz="0" w:space="0" w:color="auto"/>
            <w:right w:val="none" w:sz="0" w:space="0" w:color="auto"/>
          </w:divBdr>
        </w:div>
      </w:divsChild>
    </w:div>
    <w:div w:id="1328560071">
      <w:bodyDiv w:val="1"/>
      <w:marLeft w:val="0"/>
      <w:marRight w:val="0"/>
      <w:marTop w:val="0"/>
      <w:marBottom w:val="0"/>
      <w:divBdr>
        <w:top w:val="none" w:sz="0" w:space="0" w:color="auto"/>
        <w:left w:val="none" w:sz="0" w:space="0" w:color="auto"/>
        <w:bottom w:val="none" w:sz="0" w:space="0" w:color="auto"/>
        <w:right w:val="none" w:sz="0" w:space="0" w:color="auto"/>
      </w:divBdr>
      <w:divsChild>
        <w:div w:id="1941789401">
          <w:marLeft w:val="547"/>
          <w:marRight w:val="0"/>
          <w:marTop w:val="0"/>
          <w:marBottom w:val="160"/>
          <w:divBdr>
            <w:top w:val="none" w:sz="0" w:space="0" w:color="auto"/>
            <w:left w:val="none" w:sz="0" w:space="0" w:color="auto"/>
            <w:bottom w:val="none" w:sz="0" w:space="0" w:color="auto"/>
            <w:right w:val="none" w:sz="0" w:space="0" w:color="auto"/>
          </w:divBdr>
        </w:div>
      </w:divsChild>
    </w:div>
    <w:div w:id="14071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1EE5C3C1D444CB6E4263021E39E6C" ma:contentTypeVersion="13" ma:contentTypeDescription="Create a new document." ma:contentTypeScope="" ma:versionID="55cb2aca5a8b75bb99b5b76a427f79b8">
  <xsd:schema xmlns:xsd="http://www.w3.org/2001/XMLSchema" xmlns:xs="http://www.w3.org/2001/XMLSchema" xmlns:p="http://schemas.microsoft.com/office/2006/metadata/properties" xmlns:ns3="367b1e98-95f2-4749-b337-4bdd6ff4485e" xmlns:ns4="a4c59324-541d-4b15-b8c8-fdee69aa469d" targetNamespace="http://schemas.microsoft.com/office/2006/metadata/properties" ma:root="true" ma:fieldsID="f4bc9b8337e4db9132277082b4b02587" ns3:_="" ns4:_="">
    <xsd:import namespace="367b1e98-95f2-4749-b337-4bdd6ff4485e"/>
    <xsd:import namespace="a4c59324-541d-4b15-b8c8-fdee69aa46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b1e98-95f2-4749-b337-4bdd6ff448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c59324-541d-4b15-b8c8-fdee69aa46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CCCBF-DC15-4C78-9032-72540D104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b1e98-95f2-4749-b337-4bdd6ff4485e"/>
    <ds:schemaRef ds:uri="a4c59324-541d-4b15-b8c8-fdee69aa4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1D136-5458-4221-8393-5F41730A93EC}">
  <ds:schemaRefs>
    <ds:schemaRef ds:uri="http://schemas.microsoft.com/sharepoint/v3/contenttype/forms"/>
  </ds:schemaRefs>
</ds:datastoreItem>
</file>

<file path=customXml/itemProps3.xml><?xml version="1.0" encoding="utf-8"?>
<ds:datastoreItem xmlns:ds="http://schemas.openxmlformats.org/officeDocument/2006/customXml" ds:itemID="{B8F2C374-7C5C-408D-BD3A-B96CF0C1273B}">
  <ds:schemaRefs>
    <ds:schemaRef ds:uri="367b1e98-95f2-4749-b337-4bdd6ff4485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a4c59324-541d-4b15-b8c8-fdee69aa469d"/>
    <ds:schemaRef ds:uri="http://www.w3.org/XML/1998/namespace"/>
    <ds:schemaRef ds:uri="http://purl.org/dc/elements/1.1/"/>
  </ds:schemaRefs>
</ds:datastoreItem>
</file>

<file path=customXml/itemProps4.xml><?xml version="1.0" encoding="utf-8"?>
<ds:datastoreItem xmlns:ds="http://schemas.openxmlformats.org/officeDocument/2006/customXml" ds:itemID="{B18D7DFC-573F-403F-991C-58E82EC9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1010</Words>
  <Characters>5761</Characters>
  <Application>Microsoft Office Word</Application>
  <DocSecurity>0</DocSecurity>
  <Lines>48</Lines>
  <Paragraphs>13</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ECE/TRANS/WP.29/GRVA/2019/28</vt:lpstr>
      <vt:lpstr>ECE/TRANS/WP.29/GRVA/2019/28</vt:lpstr>
      <vt:lpstr>ECE/TRANS/WP.29/GRVA/2019/28</vt:lpstr>
    </vt:vector>
  </TitlesOfParts>
  <Company>CSD</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keywords/>
  <dc:description/>
  <cp:lastModifiedBy>F. Guichard</cp:lastModifiedBy>
  <cp:revision>5</cp:revision>
  <cp:lastPrinted>2020-02-04T05:20:00Z</cp:lastPrinted>
  <dcterms:created xsi:type="dcterms:W3CDTF">2020-02-07T08:23:00Z</dcterms:created>
  <dcterms:modified xsi:type="dcterms:W3CDTF">2020-02-07T18:13:00Z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0x010100E931EE5C3C1D444CB6E4263021E39E6C</vt:lpwstr>
  </property>
  <property fmtid="{D5CDD505-2E9C-101B-9397-08002B2CF9AE}" pid="3" name="MSIP_Label_7f30fc12-c89a-4829-a476-5bf9e2086332_Enabled">
    <vt:lpwstr>true</vt:lpwstr>
  </property>
  <property fmtid="{D5CDD505-2E9C-101B-9397-08002B2CF9AE}" pid="4" name="MSIP_Label_7f30fc12-c89a-4829-a476-5bf9e2086332_SetDate">
    <vt:lpwstr>2020-02-05T17:10:45Z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e71764dd-696f-4505-8181-00006d0fcd65</vt:lpwstr>
  </property>
  <property fmtid="{D5CDD505-2E9C-101B-9397-08002B2CF9AE}" pid="9" name="MSIP_Label_7f30fc12-c89a-4829-a476-5bf9e2086332_ContentBits">
    <vt:lpwstr>0</vt:lpwstr>
  </property>
</Properties>
</file>