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56248" w14:paraId="1CC01949" w14:textId="77777777" w:rsidTr="00A27C92">
        <w:trPr>
          <w:trHeight w:hRule="exact" w:val="851"/>
        </w:trPr>
        <w:tc>
          <w:tcPr>
            <w:tcW w:w="9639" w:type="dxa"/>
            <w:gridSpan w:val="2"/>
            <w:tcBorders>
              <w:bottom w:val="single" w:sz="4" w:space="0" w:color="auto"/>
            </w:tcBorders>
            <w:shd w:val="clear" w:color="auto" w:fill="auto"/>
            <w:vAlign w:val="bottom"/>
          </w:tcPr>
          <w:p w14:paraId="4A50E723" w14:textId="77777777" w:rsidR="00E30A62" w:rsidRPr="00E30A62" w:rsidRDefault="00E30A62" w:rsidP="00E30A62">
            <w:pPr>
              <w:jc w:val="right"/>
              <w:rPr>
                <w:lang w:val="en-US"/>
              </w:rPr>
            </w:pPr>
            <w:r w:rsidRPr="00E30A62">
              <w:rPr>
                <w:sz w:val="40"/>
                <w:lang w:val="en-US"/>
              </w:rPr>
              <w:t>E</w:t>
            </w:r>
            <w:r w:rsidRPr="00E30A62">
              <w:rPr>
                <w:lang w:val="en-US"/>
              </w:rPr>
              <w:t>/ECE/324/Rev.1/Add.77/Rev.2/Amend.2−</w:t>
            </w:r>
            <w:r w:rsidRPr="00E30A62">
              <w:rPr>
                <w:sz w:val="40"/>
                <w:lang w:val="en-US"/>
              </w:rPr>
              <w:t>E</w:t>
            </w:r>
            <w:r w:rsidRPr="00E30A62">
              <w:rPr>
                <w:lang w:val="en-US"/>
              </w:rPr>
              <w:t>/ECE/TRANS/505/Rev.1/Add.77/Rev.2/Amend.2</w:t>
            </w:r>
          </w:p>
        </w:tc>
      </w:tr>
      <w:tr w:rsidR="00421A10" w:rsidRPr="00DB58B5" w14:paraId="3B31182D" w14:textId="77777777" w:rsidTr="00A27C92">
        <w:trPr>
          <w:trHeight w:hRule="exact" w:val="2835"/>
        </w:trPr>
        <w:tc>
          <w:tcPr>
            <w:tcW w:w="6804" w:type="dxa"/>
            <w:tcBorders>
              <w:top w:val="single" w:sz="4" w:space="0" w:color="auto"/>
              <w:bottom w:val="single" w:sz="12" w:space="0" w:color="auto"/>
            </w:tcBorders>
            <w:shd w:val="clear" w:color="auto" w:fill="auto"/>
          </w:tcPr>
          <w:p w14:paraId="1096CAC2" w14:textId="77777777" w:rsidR="00421A10" w:rsidRPr="00E30A6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3ED21AA" w14:textId="77777777" w:rsidR="00421A10" w:rsidRPr="00DB58B5" w:rsidRDefault="00E30A62" w:rsidP="00A27C92">
            <w:pPr>
              <w:spacing w:before="480" w:line="240" w:lineRule="exact"/>
            </w:pPr>
            <w:r>
              <w:t>2 février 2021</w:t>
            </w:r>
          </w:p>
        </w:tc>
      </w:tr>
    </w:tbl>
    <w:p w14:paraId="657950A2" w14:textId="77777777" w:rsidR="00421A10" w:rsidRPr="006549FF" w:rsidRDefault="0029791D" w:rsidP="0029791D">
      <w:pPr>
        <w:pStyle w:val="HChG"/>
      </w:pPr>
      <w:r>
        <w:tab/>
      </w:r>
      <w:r>
        <w:tab/>
      </w:r>
      <w:r w:rsidR="00421A10" w:rsidRPr="006549FF">
        <w:t>Accord</w:t>
      </w:r>
    </w:p>
    <w:p w14:paraId="7A175255" w14:textId="77777777" w:rsidR="00421A10" w:rsidRPr="00583D68" w:rsidRDefault="0029791D" w:rsidP="0029791D">
      <w:pPr>
        <w:pStyle w:val="H1G"/>
      </w:pPr>
      <w:r>
        <w:tab/>
      </w:r>
      <w:r>
        <w:tab/>
      </w:r>
      <w:r w:rsidR="00421A10" w:rsidRPr="00583D68">
        <w:t xml:space="preserve">Concernant l’adoption </w:t>
      </w:r>
      <w:r w:rsidR="00E30A62" w:rsidRPr="009F02C1">
        <w:rPr>
          <w:lang w:val="fr-FR"/>
        </w:rPr>
        <w:t xml:space="preserve">de Règlements techniques harmonisés </w:t>
      </w:r>
      <w:r w:rsidR="00E30A62">
        <w:rPr>
          <w:lang w:val="fr-FR"/>
        </w:rPr>
        <w:br/>
      </w:r>
      <w:r w:rsidR="00E30A62" w:rsidRPr="009F02C1">
        <w:rPr>
          <w:lang w:val="fr-FR"/>
        </w:rPr>
        <w:t xml:space="preserve">de l’ONU applicables aux véhicules à roues et aux équipements </w:t>
      </w:r>
      <w:r w:rsidR="00E30A62">
        <w:rPr>
          <w:lang w:val="fr-FR"/>
        </w:rPr>
        <w:br/>
      </w:r>
      <w:r w:rsidR="00E30A62" w:rsidRPr="009F02C1">
        <w:rPr>
          <w:lang w:val="fr-FR"/>
        </w:rPr>
        <w:t xml:space="preserve">et pièces susceptibles d’être montés ou utilisés sur les véhicules </w:t>
      </w:r>
      <w:r w:rsidR="00E30A62">
        <w:rPr>
          <w:lang w:val="fr-FR"/>
        </w:rPr>
        <w:br/>
      </w:r>
      <w:r w:rsidR="00E30A62" w:rsidRPr="009F02C1">
        <w:rPr>
          <w:lang w:val="fr-FR"/>
        </w:rPr>
        <w:t>à roues et les conditions de reconnaissance réciproque des homologations délivrées conformément à ces Règlements</w:t>
      </w:r>
      <w:r w:rsidR="00442E31" w:rsidRPr="00E30A62">
        <w:rPr>
          <w:rStyle w:val="Appelnotedebasdep"/>
          <w:b w:val="0"/>
          <w:bCs/>
          <w:sz w:val="20"/>
          <w:vertAlign w:val="baseline"/>
        </w:rPr>
        <w:footnoteReference w:customMarkFollows="1" w:id="2"/>
        <w:t>*</w:t>
      </w:r>
    </w:p>
    <w:p w14:paraId="6BBE6DE7" w14:textId="77777777" w:rsidR="00421A10" w:rsidRPr="00A12483" w:rsidRDefault="00421A10" w:rsidP="0029791D">
      <w:pPr>
        <w:pStyle w:val="SingleTxtG"/>
        <w:jc w:val="left"/>
        <w:rPr>
          <w:b/>
          <w:sz w:val="24"/>
          <w:szCs w:val="24"/>
        </w:rPr>
      </w:pPr>
      <w:r w:rsidRPr="006549FF">
        <w:t xml:space="preserve">(Révision </w:t>
      </w:r>
      <w:r w:rsidR="00E30A62" w:rsidRPr="009F02C1">
        <w:rPr>
          <w:lang w:val="fr-FR"/>
        </w:rPr>
        <w:t xml:space="preserve">3, comprenant les amendements entrés en vigueur le 14 </w:t>
      </w:r>
      <w:r w:rsidR="00E30A62">
        <w:rPr>
          <w:lang w:val="fr-FR"/>
        </w:rPr>
        <w:t xml:space="preserve">septembre </w:t>
      </w:r>
      <w:r w:rsidR="00E30A62" w:rsidRPr="009F02C1">
        <w:rPr>
          <w:lang w:val="fr-FR"/>
        </w:rPr>
        <w:t>2017</w:t>
      </w:r>
      <w:r w:rsidRPr="006549FF">
        <w:t>)</w:t>
      </w:r>
    </w:p>
    <w:p w14:paraId="038B2DD5" w14:textId="77777777" w:rsidR="00421A10" w:rsidRPr="006549FF" w:rsidRDefault="0029791D" w:rsidP="0029791D">
      <w:pPr>
        <w:jc w:val="center"/>
      </w:pPr>
      <w:r>
        <w:t>_______________</w:t>
      </w:r>
    </w:p>
    <w:p w14:paraId="0D6A020C" w14:textId="77777777" w:rsidR="00421A10" w:rsidRPr="006549FF" w:rsidRDefault="0029791D" w:rsidP="0029791D">
      <w:pPr>
        <w:pStyle w:val="HChG"/>
      </w:pPr>
      <w:r>
        <w:tab/>
      </w:r>
      <w:r>
        <w:tab/>
      </w:r>
      <w:r w:rsidR="00421A10" w:rsidRPr="006549FF">
        <w:t xml:space="preserve">Additif </w:t>
      </w:r>
      <w:r w:rsidR="00E30A62">
        <w:t>77 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30A62">
        <w:t>78</w:t>
      </w:r>
    </w:p>
    <w:p w14:paraId="36DD4CA5" w14:textId="77777777" w:rsidR="00421A10" w:rsidRPr="006549FF" w:rsidRDefault="0029791D" w:rsidP="0029791D">
      <w:pPr>
        <w:pStyle w:val="H1G"/>
      </w:pPr>
      <w:r>
        <w:tab/>
      </w:r>
      <w:r>
        <w:tab/>
      </w:r>
      <w:r w:rsidR="00421A10" w:rsidRPr="006549FF">
        <w:t xml:space="preserve">Révision </w:t>
      </w:r>
      <w:r w:rsidR="00E30A62">
        <w:t>2 − Amendement 2</w:t>
      </w:r>
    </w:p>
    <w:p w14:paraId="62D217F4" w14:textId="77777777" w:rsidR="00421A10" w:rsidRPr="004A7E44" w:rsidRDefault="00E30A62" w:rsidP="0029791D">
      <w:pPr>
        <w:pStyle w:val="SingleTxtG"/>
        <w:spacing w:after="0"/>
      </w:pPr>
      <w:r>
        <w:rPr>
          <w:spacing w:val="-2"/>
          <w:lang w:val="fr-FR"/>
        </w:rPr>
        <w:t>S</w:t>
      </w:r>
      <w:r w:rsidRPr="009F02C1">
        <w:rPr>
          <w:spacing w:val="-2"/>
          <w:lang w:val="fr-FR"/>
        </w:rPr>
        <w:t>érie 0</w:t>
      </w:r>
      <w:r>
        <w:rPr>
          <w:spacing w:val="-2"/>
          <w:lang w:val="fr-FR"/>
        </w:rPr>
        <w:t>5</w:t>
      </w:r>
      <w:r w:rsidRPr="009F02C1">
        <w:rPr>
          <w:spacing w:val="-2"/>
          <w:lang w:val="fr-FR"/>
        </w:rPr>
        <w:t xml:space="preserve"> d’amendements </w:t>
      </w:r>
      <w:r>
        <w:rPr>
          <w:spacing w:val="-2"/>
          <w:lang w:val="fr-FR"/>
        </w:rPr>
        <w:t>−</w:t>
      </w:r>
      <w:r w:rsidRPr="00F93FCA">
        <w:rPr>
          <w:spacing w:val="-2"/>
          <w:lang w:val="fr-FR"/>
        </w:rPr>
        <w:t xml:space="preserve"> Date d’entrée en vigueu</w:t>
      </w:r>
      <w:r>
        <w:rPr>
          <w:spacing w:val="-2"/>
          <w:lang w:val="fr-FR"/>
        </w:rPr>
        <w:t>r </w:t>
      </w:r>
      <w:r w:rsidRPr="00F93FCA">
        <w:rPr>
          <w:spacing w:val="-2"/>
          <w:lang w:val="fr-FR"/>
        </w:rPr>
        <w:t xml:space="preserve">: </w:t>
      </w:r>
      <w:r>
        <w:rPr>
          <w:lang w:val="fr-FR"/>
        </w:rPr>
        <w:t>3 janvier 2021</w:t>
      </w:r>
    </w:p>
    <w:p w14:paraId="30EDC674" w14:textId="77777777" w:rsidR="00421A10" w:rsidRPr="0029791D" w:rsidRDefault="00421A10" w:rsidP="0029791D">
      <w:pPr>
        <w:pStyle w:val="SingleTxtG"/>
      </w:pPr>
    </w:p>
    <w:p w14:paraId="2CE32FAD" w14:textId="77777777" w:rsidR="00421A10" w:rsidRDefault="0029791D" w:rsidP="0029791D">
      <w:pPr>
        <w:pStyle w:val="H1G"/>
      </w:pPr>
      <w:r>
        <w:tab/>
      </w:r>
      <w:r>
        <w:tab/>
      </w:r>
      <w:r w:rsidR="00421A10" w:rsidRPr="007619D3">
        <w:t xml:space="preserve">Prescriptions </w:t>
      </w:r>
      <w:r w:rsidR="00E30A62" w:rsidRPr="00D005B1">
        <w:t xml:space="preserve">uniformes relatives à l’homologation </w:t>
      </w:r>
      <w:r w:rsidR="00E30A62" w:rsidRPr="00531E53">
        <w:t>de</w:t>
      </w:r>
      <w:r w:rsidR="00E30A62" w:rsidRPr="009D7027">
        <w:t>s catégories L</w:t>
      </w:r>
      <w:r w:rsidR="00E30A62" w:rsidRPr="00E30A62">
        <w:rPr>
          <w:vertAlign w:val="subscript"/>
        </w:rPr>
        <w:t>1</w:t>
      </w:r>
      <w:r w:rsidR="00E30A62" w:rsidRPr="009D7027">
        <w:t>, L</w:t>
      </w:r>
      <w:r w:rsidR="00E30A62" w:rsidRPr="00E30A62">
        <w:rPr>
          <w:vertAlign w:val="subscript"/>
        </w:rPr>
        <w:t>2</w:t>
      </w:r>
      <w:r w:rsidR="00E30A62" w:rsidRPr="009D7027">
        <w:t>, L</w:t>
      </w:r>
      <w:r w:rsidR="00E30A62" w:rsidRPr="00E30A62">
        <w:rPr>
          <w:vertAlign w:val="subscript"/>
        </w:rPr>
        <w:t>3</w:t>
      </w:r>
      <w:r w:rsidR="00E30A62" w:rsidRPr="009D7027">
        <w:t>, L</w:t>
      </w:r>
      <w:r w:rsidR="00E30A62" w:rsidRPr="00E30A62">
        <w:rPr>
          <w:vertAlign w:val="subscript"/>
        </w:rPr>
        <w:t>4</w:t>
      </w:r>
      <w:r w:rsidR="00E30A62" w:rsidRPr="009D7027">
        <w:t xml:space="preserve"> et L</w:t>
      </w:r>
      <w:r w:rsidR="00E30A62" w:rsidRPr="00E30A62">
        <w:rPr>
          <w:vertAlign w:val="subscript"/>
        </w:rPr>
        <w:t>5</w:t>
      </w:r>
      <w:r w:rsidR="00E30A62" w:rsidRPr="009D7027">
        <w:t xml:space="preserve"> en ce qui concerne le freinage</w:t>
      </w:r>
    </w:p>
    <w:p w14:paraId="22A8CA07" w14:textId="77777777" w:rsidR="00E30A62" w:rsidRPr="00E30A62" w:rsidRDefault="00E30A62" w:rsidP="00E30A62">
      <w:pPr>
        <w:pStyle w:val="SingleTxtG"/>
      </w:pPr>
      <w:r w:rsidRPr="00F93FCA">
        <w:rPr>
          <w:lang w:val="fr-FR" w:eastAsia="en-GB"/>
        </w:rPr>
        <w:t xml:space="preserve">Le présent document est communiqué uniquement à titre d’information. </w:t>
      </w:r>
      <w:r w:rsidRPr="001432BD">
        <w:rPr>
          <w:lang w:val="fr-FR" w:eastAsia="en-GB"/>
        </w:rPr>
        <w:t xml:space="preserve">Le texte authentique, juridiquement contraignant, est celui du </w:t>
      </w:r>
      <w:r w:rsidRPr="00A13805">
        <w:rPr>
          <w:lang w:val="fr-FR" w:eastAsia="en-GB"/>
        </w:rPr>
        <w:t xml:space="preserve">document </w:t>
      </w:r>
      <w:r w:rsidRPr="00D005B1">
        <w:rPr>
          <w:spacing w:val="-6"/>
          <w:lang w:eastAsia="en-GB"/>
        </w:rPr>
        <w:t>ECE/TRANS/WP.29/2020/</w:t>
      </w:r>
      <w:r>
        <w:rPr>
          <w:spacing w:val="-6"/>
          <w:lang w:eastAsia="en-GB"/>
        </w:rPr>
        <w:t>65</w:t>
      </w:r>
      <w:r w:rsidRPr="00D005B1">
        <w:rPr>
          <w:spacing w:val="-6"/>
          <w:lang w:eastAsia="en-GB"/>
        </w:rPr>
        <w:t>.</w:t>
      </w:r>
    </w:p>
    <w:p w14:paraId="405B41A4" w14:textId="77777777" w:rsidR="00E30A62" w:rsidRPr="00E30A62" w:rsidRDefault="00E30A62" w:rsidP="00E30A62">
      <w:r>
        <w:rPr>
          <w:noProof/>
          <w:lang w:eastAsia="fr-CH"/>
        </w:rPr>
        <mc:AlternateContent>
          <mc:Choice Requires="wps">
            <w:drawing>
              <wp:anchor distT="0" distB="0" distL="114300" distR="114300" simplePos="0" relativeHeight="251658240" behindDoc="0" locked="0" layoutInCell="1" allowOverlap="1" wp14:anchorId="4A1AA911" wp14:editId="7BD4C491">
                <wp:simplePos x="0" y="0"/>
                <wp:positionH relativeFrom="margin">
                  <wp:posOffset>751</wp:posOffset>
                </wp:positionH>
                <wp:positionV relativeFrom="margin">
                  <wp:posOffset>6195148</wp:posOffset>
                </wp:positionV>
                <wp:extent cx="6119495" cy="1257652"/>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57652"/>
                        </a:xfrm>
                        <a:prstGeom prst="rect">
                          <a:avLst/>
                        </a:prstGeom>
                        <a:solidFill>
                          <a:srgbClr val="FFFFFF"/>
                        </a:solidFill>
                        <a:ln w="9525">
                          <a:noFill/>
                          <a:miter lim="800000"/>
                          <a:headEnd/>
                          <a:tailEnd/>
                        </a:ln>
                      </wps:spPr>
                      <wps:txbx>
                        <w:txbxContent>
                          <w:p w14:paraId="7F21CF63" w14:textId="77777777" w:rsidR="00442E31" w:rsidRPr="0029791D" w:rsidRDefault="00442E31" w:rsidP="00856248">
                            <w:pPr>
                              <w:spacing w:after="120"/>
                              <w:ind w:left="1134" w:right="1134"/>
                              <w:jc w:val="center"/>
                            </w:pPr>
                            <w:r>
                              <w:t>_______________</w:t>
                            </w:r>
                            <w:bookmarkStart w:id="0" w:name="_GoBack"/>
                            <w:bookmarkEnd w:id="0"/>
                          </w:p>
                          <w:p w14:paraId="4F1E0CFD" w14:textId="77777777" w:rsidR="00442E31" w:rsidRDefault="00442E31" w:rsidP="00C9521D">
                            <w:pPr>
                              <w:jc w:val="center"/>
                              <w:rPr>
                                <w:b/>
                                <w:bCs/>
                                <w:sz w:val="22"/>
                              </w:rPr>
                            </w:pPr>
                            <w:r>
                              <w:rPr>
                                <w:noProof/>
                                <w:lang w:eastAsia="fr-CH"/>
                              </w:rPr>
                              <w:drawing>
                                <wp:inline distT="0" distB="0" distL="0" distR="0" wp14:anchorId="776CF9C1" wp14:editId="2AB657C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EE521D9"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A911" id="_x0000_t202" coordsize="21600,21600" o:spt="202" path="m,l,21600r21600,l21600,xe">
                <v:stroke joinstyle="miter"/>
                <v:path gradientshapeok="t" o:connecttype="rect"/>
              </v:shapetype>
              <v:shape id="Zone de texte 4" o:spid="_x0000_s1026" type="#_x0000_t202" style="position:absolute;margin-left:.05pt;margin-top:487.8pt;width:481.85pt;height:9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" stroked="f">
                <v:textbox inset="0,0,0,0">
                  <w:txbxContent>
                    <w:p w14:paraId="7F21CF63" w14:textId="77777777" w:rsidR="00442E31" w:rsidRPr="0029791D" w:rsidRDefault="00442E31" w:rsidP="00856248">
                      <w:pPr>
                        <w:spacing w:after="120"/>
                        <w:ind w:left="1134" w:right="1134"/>
                        <w:jc w:val="center"/>
                      </w:pPr>
                      <w:r>
                        <w:t>_______________</w:t>
                      </w:r>
                      <w:bookmarkStart w:id="1" w:name="_GoBack"/>
                      <w:bookmarkEnd w:id="1"/>
                    </w:p>
                    <w:p w14:paraId="4F1E0CFD" w14:textId="77777777" w:rsidR="00442E31" w:rsidRDefault="00442E31" w:rsidP="00C9521D">
                      <w:pPr>
                        <w:jc w:val="center"/>
                        <w:rPr>
                          <w:b/>
                          <w:bCs/>
                          <w:sz w:val="22"/>
                        </w:rPr>
                      </w:pPr>
                      <w:r>
                        <w:rPr>
                          <w:noProof/>
                          <w:lang w:eastAsia="fr-CH"/>
                        </w:rPr>
                        <w:drawing>
                          <wp:inline distT="0" distB="0" distL="0" distR="0" wp14:anchorId="776CF9C1" wp14:editId="2AB657C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EE521D9"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7F1F4EB" w14:textId="77777777" w:rsidR="00E30A62" w:rsidRPr="00E30A62" w:rsidRDefault="00E30A62" w:rsidP="00E30A62"/>
    <w:p w14:paraId="684D81A8" w14:textId="77777777" w:rsidR="00E30A62" w:rsidRPr="00E30A62" w:rsidRDefault="00E30A62" w:rsidP="00E30A62"/>
    <w:p w14:paraId="00740345" w14:textId="77777777" w:rsidR="00E30A62" w:rsidRPr="00E30A62" w:rsidRDefault="00E30A62" w:rsidP="00E30A62"/>
    <w:p w14:paraId="7DAE1D7E" w14:textId="77777777" w:rsidR="00E30A62" w:rsidRPr="00E30A62" w:rsidRDefault="00E30A62" w:rsidP="00E30A62"/>
    <w:p w14:paraId="1BAE6A28" w14:textId="77777777" w:rsidR="00E30A62" w:rsidRPr="00E30A62" w:rsidRDefault="00E30A62" w:rsidP="00E30A62"/>
    <w:p w14:paraId="0D2B3775" w14:textId="77777777" w:rsidR="00E30A62" w:rsidRDefault="00E30A62" w:rsidP="00E30A62"/>
    <w:p w14:paraId="4DFB3C73" w14:textId="77777777" w:rsidR="00E30A62" w:rsidRDefault="00E30A62" w:rsidP="00E30A62">
      <w:pPr>
        <w:tabs>
          <w:tab w:val="left" w:pos="2709"/>
        </w:tabs>
      </w:pPr>
    </w:p>
    <w:p w14:paraId="3A4AE36A" w14:textId="77777777" w:rsidR="00E30A62" w:rsidRPr="00837B04" w:rsidRDefault="00E30A62" w:rsidP="00E30A62">
      <w:pPr>
        <w:pStyle w:val="SingleTxtG"/>
        <w:keepNext/>
      </w:pPr>
      <w:r w:rsidRPr="00837B04">
        <w:rPr>
          <w:i/>
        </w:rPr>
        <w:lastRenderedPageBreak/>
        <w:t>Ajouter le nouveau paragraphe 2.31</w:t>
      </w:r>
      <w:r w:rsidRPr="00837B04">
        <w:t>, libellé comme suit :</w:t>
      </w:r>
    </w:p>
    <w:p w14:paraId="660338F7" w14:textId="77777777" w:rsidR="00E30A62" w:rsidRPr="00837B04" w:rsidRDefault="00E30A62" w:rsidP="00E30A62">
      <w:pPr>
        <w:pStyle w:val="SingleTxtG"/>
        <w:ind w:left="2268" w:hanging="1134"/>
        <w:rPr>
          <w:rFonts w:asciiTheme="majorBidi" w:hAnsiTheme="majorBidi" w:cstheme="majorBidi"/>
          <w:bCs/>
        </w:rPr>
      </w:pPr>
      <w:r w:rsidRPr="00837B04">
        <w:rPr>
          <w:rFonts w:asciiTheme="majorBidi" w:hAnsiTheme="majorBidi" w:cstheme="majorBidi"/>
        </w:rPr>
        <w:t>« </w:t>
      </w:r>
      <w:r w:rsidRPr="00837B04">
        <w:rPr>
          <w:rFonts w:asciiTheme="majorBidi" w:hAnsiTheme="majorBidi" w:cstheme="majorBidi"/>
          <w:bCs/>
        </w:rPr>
        <w:t>2.31</w:t>
      </w:r>
      <w:r w:rsidRPr="00837B04">
        <w:rPr>
          <w:rFonts w:asciiTheme="majorBidi" w:hAnsiTheme="majorBidi" w:cstheme="majorBidi"/>
          <w:bCs/>
        </w:rPr>
        <w:tab/>
      </w:r>
      <w:r w:rsidRPr="00837B04">
        <w:rPr>
          <w:rFonts w:asciiTheme="majorBidi" w:hAnsiTheme="majorBidi" w:cstheme="majorBidi"/>
          <w:bCs/>
          <w:spacing w:val="-2"/>
        </w:rPr>
        <w:t>Par “</w:t>
      </w:r>
      <w:r w:rsidRPr="00837B04">
        <w:rPr>
          <w:rFonts w:asciiTheme="majorBidi" w:hAnsiTheme="majorBidi" w:cstheme="majorBidi"/>
          <w:bCs/>
          <w:i/>
          <w:iCs/>
          <w:spacing w:val="-2"/>
        </w:rPr>
        <w:t>désactiver le système antiblocage</w:t>
      </w:r>
      <w:r w:rsidRPr="00837B04">
        <w:rPr>
          <w:rFonts w:asciiTheme="majorBidi" w:hAnsiTheme="majorBidi" w:cstheme="majorBidi"/>
          <w:bCs/>
          <w:spacing w:val="-2"/>
        </w:rPr>
        <w:t>”, on entend mettre le système dans un état dans lequel il ne satisfait plus aux prescriptions techniques du paragraphe 9 de l’annexe</w:t>
      </w:r>
      <w:r>
        <w:rPr>
          <w:rFonts w:asciiTheme="majorBidi" w:hAnsiTheme="majorBidi" w:cstheme="majorBidi"/>
          <w:bCs/>
          <w:spacing w:val="-2"/>
        </w:rPr>
        <w:t> </w:t>
      </w:r>
      <w:r w:rsidRPr="00837B04">
        <w:rPr>
          <w:rFonts w:asciiTheme="majorBidi" w:hAnsiTheme="majorBidi" w:cstheme="majorBidi"/>
          <w:bCs/>
          <w:spacing w:val="-2"/>
        </w:rPr>
        <w:t>3 du présent Règlement.</w:t>
      </w:r>
      <w:r w:rsidRPr="00837B04">
        <w:rPr>
          <w:rFonts w:asciiTheme="majorBidi" w:hAnsiTheme="majorBidi" w:cstheme="majorBidi"/>
          <w:spacing w:val="-2"/>
        </w:rPr>
        <w:t> ».</w:t>
      </w:r>
    </w:p>
    <w:p w14:paraId="24AD454E" w14:textId="77777777" w:rsidR="00E30A62" w:rsidRPr="00837B04" w:rsidRDefault="00E30A62" w:rsidP="00E30A62">
      <w:pPr>
        <w:pStyle w:val="SingleTxtG"/>
        <w:keepNext/>
        <w:rPr>
          <w:rFonts w:asciiTheme="majorBidi" w:hAnsiTheme="majorBidi" w:cstheme="majorBidi"/>
          <w:iCs/>
        </w:rPr>
      </w:pPr>
      <w:r w:rsidRPr="00837B04">
        <w:rPr>
          <w:i/>
          <w:iCs/>
        </w:rPr>
        <w:t>Paragraphe</w:t>
      </w:r>
      <w:r w:rsidRPr="00837B04">
        <w:rPr>
          <w:rFonts w:asciiTheme="majorBidi" w:hAnsiTheme="majorBidi" w:cstheme="majorBidi"/>
          <w:i/>
        </w:rPr>
        <w:t xml:space="preserve"> 5.1.15</w:t>
      </w:r>
      <w:r w:rsidRPr="00837B04">
        <w:rPr>
          <w:rFonts w:asciiTheme="majorBidi" w:hAnsiTheme="majorBidi" w:cstheme="majorBidi"/>
        </w:rPr>
        <w:t>, lire :</w:t>
      </w:r>
    </w:p>
    <w:p w14:paraId="2648988E"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 5.1.15</w:t>
      </w:r>
      <w:r w:rsidRPr="00837B04">
        <w:rPr>
          <w:rFonts w:asciiTheme="majorBidi" w:hAnsiTheme="majorBidi" w:cstheme="majorBidi"/>
        </w:rPr>
        <w:tab/>
        <w:t>Si un véhicule est équipé de dispositifs permettant d’indiquer le freinage d’urgence, le signal de freinage d’urgence ne doit être activé que par l’utilisation de tout système de freinage de service lorsque les conditions stipulées aux paragraphes 5.1.15.1 et 5.1.15.2 sont réunies</w:t>
      </w:r>
      <w:r w:rsidRPr="00837B04">
        <w:rPr>
          <w:rFonts w:asciiTheme="majorBidi" w:hAnsiTheme="majorBidi" w:cstheme="majorBidi"/>
          <w:sz w:val="18"/>
          <w:szCs w:val="18"/>
          <w:vertAlign w:val="superscript"/>
        </w:rPr>
        <w:t>3</w:t>
      </w:r>
      <w:r w:rsidRPr="00837B04">
        <w:rPr>
          <w:rFonts w:asciiTheme="majorBidi" w:hAnsiTheme="majorBidi" w:cstheme="majorBidi"/>
        </w:rPr>
        <w:t> :</w:t>
      </w:r>
    </w:p>
    <w:p w14:paraId="4A11438C" w14:textId="77777777" w:rsidR="00E30A62" w:rsidRPr="00837B04" w:rsidRDefault="00E30A62" w:rsidP="00E30A62">
      <w:pPr>
        <w:tabs>
          <w:tab w:val="right" w:pos="2155"/>
        </w:tabs>
        <w:spacing w:after="80"/>
        <w:ind w:left="680"/>
        <w:rPr>
          <w:bCs/>
          <w:u w:val="single"/>
        </w:rPr>
      </w:pPr>
      <w:r w:rsidRPr="00837B04">
        <w:rPr>
          <w:bCs/>
          <w:u w:val="single"/>
        </w:rPr>
        <w:tab/>
      </w:r>
      <w:r w:rsidRPr="00837B04">
        <w:rPr>
          <w:bCs/>
          <w:u w:val="single"/>
        </w:rPr>
        <w:tab/>
      </w:r>
    </w:p>
    <w:p w14:paraId="13592209" w14:textId="77777777" w:rsidR="00E30A62" w:rsidRPr="00837B04" w:rsidRDefault="00E30A62" w:rsidP="00E30A62">
      <w:pPr>
        <w:pStyle w:val="Notedebasdepage"/>
        <w:spacing w:after="240"/>
        <w:rPr>
          <w:rFonts w:cstheme="minorBidi"/>
          <w:strike/>
        </w:rPr>
      </w:pPr>
      <w:r w:rsidRPr="00837B04">
        <w:tab/>
      </w:r>
      <w:r w:rsidRPr="00837B04">
        <w:rPr>
          <w:rFonts w:asciiTheme="majorBidi" w:hAnsiTheme="majorBidi" w:cstheme="majorBidi"/>
          <w:szCs w:val="18"/>
          <w:vertAlign w:val="superscript"/>
        </w:rPr>
        <w:t>3</w:t>
      </w:r>
      <w:r w:rsidRPr="00837B04">
        <w:tab/>
        <w:t>Au moment de l’homologation de type, le constructeur du véhicule doit confirmer la conformité avec ces dispositions. ».</w:t>
      </w:r>
    </w:p>
    <w:p w14:paraId="5D7B7461" w14:textId="77777777" w:rsidR="00E30A62" w:rsidRPr="00837B04" w:rsidRDefault="00E30A62" w:rsidP="00E30A62">
      <w:pPr>
        <w:pStyle w:val="SingleTxtG"/>
        <w:keepNext/>
        <w:rPr>
          <w:rFonts w:asciiTheme="majorBidi" w:hAnsiTheme="majorBidi" w:cstheme="majorBidi"/>
          <w:iCs/>
        </w:rPr>
      </w:pPr>
      <w:r w:rsidRPr="00837B04">
        <w:rPr>
          <w:i/>
          <w:iCs/>
        </w:rPr>
        <w:t>Paragraphe</w:t>
      </w:r>
      <w:r w:rsidRPr="00837B04">
        <w:rPr>
          <w:rFonts w:asciiTheme="majorBidi" w:hAnsiTheme="majorBidi" w:cstheme="majorBidi"/>
          <w:i/>
        </w:rPr>
        <w:t xml:space="preserve"> 5.1.15.2</w:t>
      </w:r>
      <w:r w:rsidRPr="00837B04">
        <w:rPr>
          <w:rFonts w:asciiTheme="majorBidi" w:hAnsiTheme="majorBidi" w:cstheme="majorBidi"/>
        </w:rPr>
        <w:t>, lire :</w:t>
      </w:r>
    </w:p>
    <w:p w14:paraId="642CA785"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 5.1.15.2</w:t>
      </w:r>
      <w:r w:rsidRPr="00837B04">
        <w:rPr>
          <w:rFonts w:asciiTheme="majorBidi" w:hAnsiTheme="majorBidi" w:cstheme="majorBidi"/>
        </w:rPr>
        <w:tab/>
        <w:t>Le signal peut être activé à une vitesse supérieure à 50 km/h lorsque l’ABS exécute des cycles complets (conformément à la définition figurant au paragraphe 9.1 de l’annexe 3) et lorsque la décélération est d’au moins 2,5 m/s</w:t>
      </w:r>
      <w:r w:rsidRPr="00E30A62">
        <w:rPr>
          <w:rFonts w:asciiTheme="majorBidi" w:hAnsiTheme="majorBidi" w:cstheme="majorBidi"/>
          <w:sz w:val="18"/>
          <w:szCs w:val="18"/>
          <w:vertAlign w:val="superscript"/>
        </w:rPr>
        <w:t>2</w:t>
      </w:r>
      <w:r w:rsidRPr="00837B04">
        <w:rPr>
          <w:rFonts w:asciiTheme="majorBidi" w:hAnsiTheme="majorBidi" w:cstheme="majorBidi"/>
        </w:rPr>
        <w:t>. Le signal doit être désactivé lorsque l’ABS n’exécute plus des cycles complets. ».</w:t>
      </w:r>
    </w:p>
    <w:p w14:paraId="202383F1" w14:textId="77777777" w:rsidR="00E30A62" w:rsidRPr="00837B04" w:rsidRDefault="00E30A62" w:rsidP="00E30A62">
      <w:pPr>
        <w:pStyle w:val="SingleTxtG"/>
        <w:keepNext/>
        <w:rPr>
          <w:rFonts w:asciiTheme="majorBidi" w:hAnsiTheme="majorBidi" w:cstheme="majorBidi"/>
        </w:rPr>
      </w:pPr>
      <w:r w:rsidRPr="00837B04">
        <w:rPr>
          <w:i/>
          <w:iCs/>
        </w:rPr>
        <w:t>Ajouter</w:t>
      </w:r>
      <w:r w:rsidRPr="00837B04">
        <w:rPr>
          <w:rFonts w:asciiTheme="majorBidi" w:hAnsiTheme="majorBidi" w:cstheme="majorBidi"/>
          <w:i/>
        </w:rPr>
        <w:t xml:space="preserve"> le nouveau paragraphe 5.1.15.3</w:t>
      </w:r>
      <w:r w:rsidRPr="00837B04">
        <w:rPr>
          <w:rFonts w:asciiTheme="majorBidi" w:hAnsiTheme="majorBidi" w:cstheme="majorBidi"/>
        </w:rPr>
        <w:t>, libellé comme suit :</w:t>
      </w:r>
    </w:p>
    <w:p w14:paraId="0D897A3D" w14:textId="77777777" w:rsidR="00E30A62" w:rsidRPr="00837B04" w:rsidRDefault="00E30A62" w:rsidP="00E30A62">
      <w:pPr>
        <w:pStyle w:val="SingleTxtG"/>
        <w:ind w:left="2268" w:hanging="1134"/>
        <w:rPr>
          <w:rFonts w:asciiTheme="majorBidi" w:hAnsiTheme="majorBidi" w:cstheme="majorBidi"/>
          <w:b/>
          <w:strike/>
        </w:rPr>
      </w:pPr>
      <w:r w:rsidRPr="00837B04">
        <w:rPr>
          <w:rFonts w:asciiTheme="majorBidi" w:hAnsiTheme="majorBidi" w:cstheme="majorBidi"/>
        </w:rPr>
        <w:t>« </w:t>
      </w:r>
      <w:r w:rsidRPr="00837B04">
        <w:rPr>
          <w:rFonts w:asciiTheme="majorBidi" w:hAnsiTheme="majorBidi" w:cstheme="majorBidi"/>
          <w:bCs/>
        </w:rPr>
        <w:t>5.1.15.3</w:t>
      </w:r>
      <w:r w:rsidRPr="00837B04">
        <w:rPr>
          <w:rFonts w:asciiTheme="majorBidi" w:hAnsiTheme="majorBidi" w:cstheme="majorBidi"/>
          <w:bCs/>
        </w:rPr>
        <w:tab/>
        <w:t>Le signal peut être activé dans l’hypothèse où la décélération du véhicule résultant de la demande de freinage respecte les seuils d’activation et de désactivation définis au paragraphe 5.1.15.1.</w:t>
      </w:r>
      <w:r w:rsidRPr="00837B04">
        <w:rPr>
          <w:rFonts w:asciiTheme="majorBidi" w:hAnsiTheme="majorBidi" w:cstheme="majorBidi"/>
        </w:rPr>
        <w:t> ».</w:t>
      </w:r>
    </w:p>
    <w:p w14:paraId="6E2326C9" w14:textId="77777777" w:rsidR="00E30A62" w:rsidRPr="00837B04" w:rsidRDefault="00E30A62" w:rsidP="00E30A62">
      <w:pPr>
        <w:pStyle w:val="SingleTxtG"/>
        <w:keepNext/>
        <w:rPr>
          <w:rFonts w:asciiTheme="majorBidi" w:hAnsiTheme="majorBidi" w:cstheme="majorBidi"/>
          <w:iCs/>
        </w:rPr>
      </w:pPr>
      <w:r w:rsidRPr="00837B04">
        <w:rPr>
          <w:i/>
          <w:iCs/>
        </w:rPr>
        <w:t>Paragraphe</w:t>
      </w:r>
      <w:r w:rsidRPr="00837B04">
        <w:rPr>
          <w:rFonts w:asciiTheme="majorBidi" w:hAnsiTheme="majorBidi" w:cstheme="majorBidi"/>
          <w:i/>
        </w:rPr>
        <w:t xml:space="preserve"> 5.1.16</w:t>
      </w:r>
      <w:r w:rsidRPr="00837B04">
        <w:rPr>
          <w:rFonts w:asciiTheme="majorBidi" w:hAnsiTheme="majorBidi" w:cstheme="majorBidi"/>
        </w:rPr>
        <w:t>, lire :</w:t>
      </w:r>
    </w:p>
    <w:p w14:paraId="5593E8CD" w14:textId="77777777" w:rsidR="00E30A62" w:rsidRPr="00837B04" w:rsidRDefault="00E30A62" w:rsidP="00E30A62">
      <w:pPr>
        <w:pStyle w:val="SingleTxtG"/>
        <w:ind w:left="2268" w:hanging="1134"/>
        <w:rPr>
          <w:rFonts w:asciiTheme="majorBidi" w:hAnsiTheme="majorBidi" w:cstheme="majorBidi"/>
          <w:bCs/>
        </w:rPr>
      </w:pPr>
      <w:r w:rsidRPr="00837B04">
        <w:rPr>
          <w:rFonts w:asciiTheme="majorBidi" w:hAnsiTheme="majorBidi" w:cstheme="majorBidi"/>
        </w:rPr>
        <w:t>« 5.1.16</w:t>
      </w:r>
      <w:r w:rsidRPr="00837B04">
        <w:rPr>
          <w:rFonts w:asciiTheme="majorBidi" w:hAnsiTheme="majorBidi" w:cstheme="majorBidi"/>
        </w:rPr>
        <w:tab/>
        <w:t>Aucun dispositif permettant de désactiver l’ABS n’est autorisé.</w:t>
      </w:r>
    </w:p>
    <w:p w14:paraId="2656DD03" w14:textId="77777777" w:rsidR="00E30A62" w:rsidRPr="00837B04" w:rsidRDefault="00E30A62" w:rsidP="00E30A62">
      <w:pPr>
        <w:pStyle w:val="SingleTxtG"/>
        <w:keepNext/>
        <w:ind w:left="2268"/>
      </w:pPr>
      <w:r w:rsidRPr="00837B04">
        <w:t>Par dérogation, un dispositif de désactivation de l’ABS est autorisé sur les véhicules qui sont équipés d’un sélecteur de mode de conduite permettant de passer en mode “tout terrain” si les dispositions suivantes sont satisfaites :</w:t>
      </w:r>
    </w:p>
    <w:p w14:paraId="6D697C13"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a)</w:t>
      </w:r>
      <w:r w:rsidRPr="00837B04">
        <w:rPr>
          <w:rFonts w:asciiTheme="majorBidi" w:hAnsiTheme="majorBidi" w:cstheme="majorBidi"/>
        </w:rPr>
        <w:tab/>
        <w:t>Le véhicule est à l’arrêt ;</w:t>
      </w:r>
    </w:p>
    <w:p w14:paraId="02C9E9C1" w14:textId="77777777" w:rsidR="00E30A62" w:rsidRPr="00837B04" w:rsidRDefault="00E30A62" w:rsidP="00E30A62">
      <w:pPr>
        <w:pStyle w:val="SingleTxtG"/>
        <w:keepNext/>
        <w:spacing w:line="240" w:lineRule="auto"/>
        <w:ind w:left="2835" w:hanging="567"/>
        <w:rPr>
          <w:rFonts w:asciiTheme="majorBidi" w:hAnsiTheme="majorBidi" w:cstheme="majorBidi"/>
        </w:rPr>
      </w:pPr>
      <w:r w:rsidRPr="00837B04">
        <w:rPr>
          <w:rFonts w:asciiTheme="majorBidi" w:hAnsiTheme="majorBidi" w:cstheme="majorBidi"/>
        </w:rPr>
        <w:t>b)</w:t>
      </w:r>
      <w:r w:rsidRPr="00837B04">
        <w:rPr>
          <w:rFonts w:asciiTheme="majorBidi" w:hAnsiTheme="majorBidi" w:cstheme="majorBidi"/>
        </w:rPr>
        <w:tab/>
        <w:t>La désactivation de l’ABS résulte d’une action délibérée effectuée par le conducteur suivant l’une des méthodes ci-après :</w:t>
      </w:r>
    </w:p>
    <w:p w14:paraId="1719468A" w14:textId="77777777" w:rsidR="00E30A62" w:rsidRPr="00837B04" w:rsidRDefault="00E30A62" w:rsidP="00E30A62">
      <w:pPr>
        <w:pStyle w:val="SingleTxtG"/>
        <w:ind w:left="3402" w:hanging="567"/>
      </w:pPr>
      <w:r w:rsidRPr="00837B04">
        <w:t>i)</w:t>
      </w:r>
      <w:r w:rsidRPr="00837B04">
        <w:tab/>
        <w:t>En actionnant simultanément l’interrupteur de désactivation de l’ABS et la commande du système de frein de service (levier ou pédale de frein) ; ou</w:t>
      </w:r>
    </w:p>
    <w:p w14:paraId="3FB3E32B" w14:textId="77777777" w:rsidR="00E30A62" w:rsidRPr="00837B04" w:rsidRDefault="00E30A62" w:rsidP="00E30A62">
      <w:pPr>
        <w:pStyle w:val="SingleTxtG"/>
        <w:ind w:left="3402" w:hanging="567"/>
      </w:pPr>
      <w:r w:rsidRPr="00837B04">
        <w:t>ii)</w:t>
      </w:r>
      <w:r w:rsidRPr="00837B04">
        <w:tab/>
        <w:t>En actionnant l’interrupteur de désactivation de l’ABS pendant au moins 2 secondes ; ou</w:t>
      </w:r>
    </w:p>
    <w:p w14:paraId="731EBA97" w14:textId="77777777" w:rsidR="00E30A62" w:rsidRPr="00837B04" w:rsidRDefault="00E30A62" w:rsidP="00E30A62">
      <w:pPr>
        <w:pStyle w:val="SingleTxtG"/>
        <w:ind w:left="3402" w:hanging="567"/>
        <w:rPr>
          <w:bCs/>
        </w:rPr>
      </w:pPr>
      <w:r w:rsidRPr="00837B04">
        <w:t>iii)</w:t>
      </w:r>
      <w:r w:rsidRPr="00837B04">
        <w:tab/>
        <w:t>En exécutant successivement au moins deux actions ou en passant par au moins deux niveaux d’activation successifs à l’aide d’un dispositif de contrôle (un</w:t>
      </w:r>
      <w:r w:rsidRPr="00837B04">
        <w:rPr>
          <w:b/>
          <w:bCs/>
        </w:rPr>
        <w:t xml:space="preserve"> </w:t>
      </w:r>
      <w:r w:rsidRPr="00837B04">
        <w:t>bouton tournant, une commande tactile ou un sélecteur d’options de menu</w:t>
      </w:r>
      <w:r w:rsidRPr="00837B04">
        <w:rPr>
          <w:b/>
          <w:bCs/>
        </w:rPr>
        <w:t xml:space="preserve">, </w:t>
      </w:r>
      <w:r w:rsidRPr="00837B04">
        <w:t>par exemple) ;</w:t>
      </w:r>
    </w:p>
    <w:p w14:paraId="7CE9281D"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c)</w:t>
      </w:r>
      <w:r w:rsidRPr="00837B04">
        <w:rPr>
          <w:rFonts w:asciiTheme="majorBidi" w:hAnsiTheme="majorBidi" w:cstheme="majorBidi"/>
        </w:rPr>
        <w:tab/>
        <w:t>La désactivation de l’ABS n’est autorisée que lorsque le sélecteur de mode de conduite est en mode “tout terrain” ;</w:t>
      </w:r>
    </w:p>
    <w:p w14:paraId="17B4EB15"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d)</w:t>
      </w:r>
      <w:r w:rsidRPr="00837B04">
        <w:rPr>
          <w:rFonts w:asciiTheme="majorBidi" w:hAnsiTheme="majorBidi" w:cstheme="majorBidi"/>
        </w:rPr>
        <w:tab/>
        <w:t xml:space="preserve">L’ABS doit être activé automatiquement lorsqu’on quitte le mode “tout terrain” ou à chaque démarrage du véhicule ; </w:t>
      </w:r>
    </w:p>
    <w:p w14:paraId="12AB3290" w14:textId="77777777" w:rsidR="00E30A62" w:rsidRPr="00837B04" w:rsidRDefault="00E30A62" w:rsidP="00E30A62">
      <w:pPr>
        <w:pStyle w:val="SingleTxtG"/>
        <w:keepNext/>
        <w:spacing w:line="240" w:lineRule="auto"/>
        <w:ind w:left="2835" w:hanging="567"/>
        <w:rPr>
          <w:rFonts w:asciiTheme="majorBidi" w:eastAsia="MS Mincho" w:hAnsiTheme="majorBidi" w:cstheme="majorBidi"/>
        </w:rPr>
      </w:pPr>
      <w:r w:rsidRPr="00837B04">
        <w:rPr>
          <w:rFonts w:asciiTheme="majorBidi" w:hAnsiTheme="majorBidi" w:cstheme="majorBidi"/>
        </w:rPr>
        <w:lastRenderedPageBreak/>
        <w:t>e)</w:t>
      </w:r>
      <w:r w:rsidRPr="00837B04">
        <w:rPr>
          <w:rFonts w:asciiTheme="majorBidi" w:hAnsiTheme="majorBidi" w:cstheme="majorBidi"/>
        </w:rPr>
        <w:tab/>
        <w:t>La désactivation de l’ABS doit être signalée par l’activation d’un témoin de couleur jaune ou jaune-auto, jusqu’à ce que l’ABS soit à nouveau pleinement fonctionnel, suivant l’une des méthodes ci-après :</w:t>
      </w:r>
    </w:p>
    <w:p w14:paraId="4CBF7F0D" w14:textId="77777777" w:rsidR="00E30A62" w:rsidRPr="00837B04" w:rsidRDefault="00E30A62" w:rsidP="00E30A62">
      <w:pPr>
        <w:pStyle w:val="SingleTxtG"/>
        <w:keepNext/>
        <w:spacing w:line="240" w:lineRule="auto"/>
        <w:ind w:left="3402" w:hanging="567"/>
        <w:rPr>
          <w:rFonts w:asciiTheme="majorBidi" w:hAnsiTheme="majorBidi" w:cstheme="majorBidi"/>
          <w:bCs/>
          <w:color w:val="000000"/>
        </w:rPr>
      </w:pPr>
      <w:r w:rsidRPr="00837B04">
        <w:rPr>
          <w:rFonts w:asciiTheme="majorBidi" w:hAnsiTheme="majorBidi" w:cstheme="majorBidi"/>
          <w:bCs/>
        </w:rPr>
        <w:t>i)</w:t>
      </w:r>
      <w:r w:rsidRPr="00837B04">
        <w:rPr>
          <w:rFonts w:asciiTheme="majorBidi" w:hAnsiTheme="majorBidi" w:cstheme="majorBidi"/>
          <w:bCs/>
        </w:rPr>
        <w:tab/>
        <w:t>Avec le symbole suivant, tel que spécifié au point B.18 de la norme ISO 2575:2010 :</w:t>
      </w:r>
    </w:p>
    <w:p w14:paraId="6979ED29" w14:textId="77777777" w:rsidR="00E30A62" w:rsidRPr="004A3288" w:rsidRDefault="00E30A62" w:rsidP="00E30A62">
      <w:pPr>
        <w:pStyle w:val="SingleTxtG"/>
        <w:ind w:left="3402"/>
        <w:rPr>
          <w:color w:val="000000"/>
        </w:rPr>
      </w:pPr>
      <w:r w:rsidRPr="004A3288">
        <w:rPr>
          <w:noProof/>
          <w:lang w:eastAsia="it-IT"/>
        </w:rPr>
        <w:drawing>
          <wp:inline distT="0" distB="0" distL="0" distR="0" wp14:anchorId="2790416A" wp14:editId="642A499C">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00" cy="504000"/>
                    </a:xfrm>
                    <a:prstGeom prst="rect">
                      <a:avLst/>
                    </a:prstGeom>
                  </pic:spPr>
                </pic:pic>
              </a:graphicData>
            </a:graphic>
          </wp:inline>
        </w:drawing>
      </w:r>
    </w:p>
    <w:p w14:paraId="058C3D20" w14:textId="77777777" w:rsidR="00E30A62" w:rsidRPr="00837B04" w:rsidRDefault="00E30A62" w:rsidP="00E30A62">
      <w:pPr>
        <w:pStyle w:val="SingleTxtG"/>
        <w:spacing w:line="240" w:lineRule="auto"/>
        <w:ind w:left="2835"/>
        <w:rPr>
          <w:rFonts w:asciiTheme="majorBidi" w:hAnsiTheme="majorBidi" w:cstheme="majorBidi"/>
          <w:color w:val="000000"/>
        </w:rPr>
      </w:pPr>
      <w:r w:rsidRPr="00837B04">
        <w:rPr>
          <w:rFonts w:asciiTheme="majorBidi" w:hAnsiTheme="majorBidi" w:cstheme="majorBidi"/>
        </w:rPr>
        <w:t>ou</w:t>
      </w:r>
    </w:p>
    <w:p w14:paraId="7011B86F" w14:textId="77777777" w:rsidR="00E30A62" w:rsidRPr="00837B04" w:rsidRDefault="00E30A62" w:rsidP="00E30A62">
      <w:pPr>
        <w:pStyle w:val="SingleTxtG"/>
        <w:keepNext/>
        <w:ind w:left="3402" w:hanging="567"/>
        <w:rPr>
          <w:rFonts w:asciiTheme="majorBidi" w:hAnsiTheme="majorBidi" w:cstheme="majorBidi"/>
          <w:color w:val="000000"/>
        </w:rPr>
      </w:pPr>
      <w:r w:rsidRPr="00837B04">
        <w:rPr>
          <w:rFonts w:asciiTheme="majorBidi" w:hAnsiTheme="majorBidi" w:cstheme="majorBidi"/>
        </w:rPr>
        <w:t>ii)</w:t>
      </w:r>
      <w:r w:rsidRPr="00837B04">
        <w:rPr>
          <w:rFonts w:asciiTheme="majorBidi" w:hAnsiTheme="majorBidi" w:cstheme="majorBidi"/>
        </w:rPr>
        <w:tab/>
        <w:t xml:space="preserve">Avec le symbole suivant, tel que spécifié au point B.05 de la norme ISO 2575:2010 : </w:t>
      </w:r>
    </w:p>
    <w:p w14:paraId="72DD62EC" w14:textId="77777777" w:rsidR="00E30A62" w:rsidRPr="004A3288" w:rsidRDefault="00E30A62" w:rsidP="00E30A62">
      <w:pPr>
        <w:pStyle w:val="SingleTxtG"/>
        <w:spacing w:after="240"/>
        <w:ind w:left="3402"/>
        <w:rPr>
          <w:rFonts w:asciiTheme="majorBidi" w:hAnsiTheme="majorBidi" w:cstheme="majorBidi"/>
          <w:b/>
          <w:color w:val="000000"/>
        </w:rPr>
      </w:pPr>
      <w:r w:rsidRPr="004A3288">
        <w:rPr>
          <w:rFonts w:asciiTheme="majorBidi" w:hAnsiTheme="majorBidi" w:cstheme="majorBidi"/>
          <w:noProof/>
          <w:lang w:eastAsia="it-IT"/>
        </w:rPr>
        <w:drawing>
          <wp:inline distT="0" distB="0" distL="0" distR="0" wp14:anchorId="4556D82A" wp14:editId="2FAF8BB7">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14:paraId="3228E774" w14:textId="77777777" w:rsidR="00E30A62" w:rsidRPr="00837B04" w:rsidRDefault="00E30A62" w:rsidP="00E30A62">
      <w:pPr>
        <w:pStyle w:val="SingleTxtG"/>
        <w:spacing w:line="240" w:lineRule="auto"/>
        <w:ind w:left="3402"/>
        <w:rPr>
          <w:rFonts w:asciiTheme="majorBidi" w:hAnsiTheme="majorBidi" w:cstheme="majorBidi"/>
          <w:color w:val="000000"/>
        </w:rPr>
      </w:pPr>
      <w:r w:rsidRPr="00837B04">
        <w:rPr>
          <w:rFonts w:asciiTheme="majorBidi" w:hAnsiTheme="majorBidi" w:cstheme="majorBidi"/>
        </w:rPr>
        <w:t>Avec le mot “OFF”, comme suit, conformément au point Y.01 de la norme ISO 2575:2010, selon laquelle les témoins sont disposés côte à côte :</w:t>
      </w:r>
    </w:p>
    <w:p w14:paraId="66442062" w14:textId="77777777" w:rsidR="00E30A62" w:rsidRPr="004A3288" w:rsidRDefault="00E30A62" w:rsidP="00E30A62">
      <w:pPr>
        <w:pStyle w:val="SingleTxtG"/>
        <w:ind w:left="3402"/>
        <w:rPr>
          <w:rFonts w:asciiTheme="majorBidi" w:hAnsiTheme="majorBidi" w:cstheme="majorBidi"/>
          <w:b/>
          <w:color w:val="000000"/>
        </w:rPr>
      </w:pPr>
      <w:r w:rsidRPr="004A3288">
        <w:rPr>
          <w:rFonts w:asciiTheme="majorBidi" w:hAnsiTheme="majorBidi" w:cstheme="majorBidi"/>
          <w:noProof/>
          <w:lang w:eastAsia="it-IT"/>
        </w:rPr>
        <w:drawing>
          <wp:inline distT="0" distB="0" distL="0" distR="0" wp14:anchorId="7C8FB7C1" wp14:editId="308963DF">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00" cy="504000"/>
                    </a:xfrm>
                    <a:prstGeom prst="rect">
                      <a:avLst/>
                    </a:prstGeom>
                  </pic:spPr>
                </pic:pic>
              </a:graphicData>
            </a:graphic>
          </wp:inline>
        </w:drawing>
      </w:r>
    </w:p>
    <w:p w14:paraId="5E9B483C" w14:textId="77777777" w:rsidR="00E30A62" w:rsidRPr="00837B04" w:rsidRDefault="00E30A62" w:rsidP="00E30A62">
      <w:pPr>
        <w:pStyle w:val="SingleTxtG"/>
        <w:spacing w:line="240" w:lineRule="auto"/>
        <w:ind w:left="2835"/>
        <w:rPr>
          <w:rFonts w:asciiTheme="majorBidi" w:hAnsiTheme="majorBidi" w:cstheme="majorBidi"/>
          <w:color w:val="000000"/>
        </w:rPr>
      </w:pPr>
      <w:r w:rsidRPr="00837B04">
        <w:rPr>
          <w:rFonts w:asciiTheme="majorBidi" w:hAnsiTheme="majorBidi" w:cstheme="majorBidi"/>
        </w:rPr>
        <w:t>ou</w:t>
      </w:r>
    </w:p>
    <w:p w14:paraId="062F1093" w14:textId="77777777" w:rsidR="00E30A62" w:rsidRPr="00837B04" w:rsidRDefault="00E30A62" w:rsidP="00E30A62">
      <w:pPr>
        <w:pStyle w:val="SingleTxtG"/>
        <w:ind w:left="3402" w:hanging="567"/>
        <w:rPr>
          <w:rFonts w:asciiTheme="majorBidi" w:hAnsiTheme="majorBidi" w:cstheme="majorBidi"/>
        </w:rPr>
      </w:pPr>
      <w:r w:rsidRPr="00837B04">
        <w:rPr>
          <w:rFonts w:asciiTheme="majorBidi" w:hAnsiTheme="majorBidi" w:cstheme="majorBidi"/>
        </w:rPr>
        <w:t>iii)</w:t>
      </w:r>
      <w:r w:rsidRPr="00837B04">
        <w:rPr>
          <w:rFonts w:asciiTheme="majorBidi" w:hAnsiTheme="majorBidi" w:cstheme="majorBidi"/>
        </w:rPr>
        <w:tab/>
        <w:t>Avec le texte “ABS OFF” ou “ABS not available” ;</w:t>
      </w:r>
    </w:p>
    <w:p w14:paraId="569B84A8" w14:textId="77777777" w:rsidR="00E30A62" w:rsidRPr="00837B04" w:rsidRDefault="00E30A62" w:rsidP="00E30A62">
      <w:pPr>
        <w:pStyle w:val="SingleTxtG"/>
        <w:spacing w:line="240" w:lineRule="auto"/>
        <w:ind w:left="2835"/>
        <w:rPr>
          <w:rFonts w:asciiTheme="majorBidi" w:hAnsiTheme="majorBidi" w:cstheme="majorBidi"/>
          <w:color w:val="000000"/>
        </w:rPr>
      </w:pPr>
      <w:r w:rsidRPr="00837B04">
        <w:rPr>
          <w:rFonts w:asciiTheme="majorBidi" w:hAnsiTheme="majorBidi" w:cstheme="majorBidi"/>
        </w:rPr>
        <w:t>ou</w:t>
      </w:r>
    </w:p>
    <w:p w14:paraId="273D1625" w14:textId="77777777" w:rsidR="00E30A62" w:rsidRPr="00837B04" w:rsidRDefault="00E30A62" w:rsidP="00E30A62">
      <w:pPr>
        <w:pStyle w:val="SingleTxtG"/>
        <w:ind w:left="3402" w:hanging="567"/>
        <w:rPr>
          <w:rFonts w:asciiTheme="majorBidi" w:hAnsiTheme="majorBidi" w:cstheme="majorBidi"/>
          <w:color w:val="000000"/>
        </w:rPr>
      </w:pPr>
      <w:r w:rsidRPr="00837B04">
        <w:rPr>
          <w:rFonts w:asciiTheme="majorBidi" w:hAnsiTheme="majorBidi" w:cstheme="majorBidi"/>
        </w:rPr>
        <w:t>iv)</w:t>
      </w:r>
      <w:r w:rsidRPr="00837B04">
        <w:rPr>
          <w:rFonts w:asciiTheme="majorBidi" w:hAnsiTheme="majorBidi" w:cstheme="majorBidi"/>
        </w:rPr>
        <w:tab/>
        <w:t>À défaut, la lampe d’avertissement mentionnée au paragraphe 5.1.13 doit être activée en permanence (allumée ou clignotante) ;</w:t>
      </w:r>
    </w:p>
    <w:p w14:paraId="6D875F9B"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f)</w:t>
      </w:r>
      <w:r w:rsidRPr="00837B04">
        <w:rPr>
          <w:rFonts w:asciiTheme="majorBidi" w:hAnsiTheme="majorBidi" w:cstheme="majorBidi"/>
        </w:rPr>
        <w:tab/>
        <w:t>L’activation de l’ABS conformément aux prescriptions d’homologation du système énoncées au paragraphe 9 de l’annexe 3 doit être possible par actionnement d’une unique commande (par exemple, par simple pression d’un bouton ou d’un interrupteur) déclenchant la procédure de démarrage du système ABS ;</w:t>
      </w:r>
    </w:p>
    <w:p w14:paraId="7D6BB929"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g)</w:t>
      </w:r>
      <w:r w:rsidRPr="00837B04">
        <w:rPr>
          <w:rFonts w:asciiTheme="majorBidi" w:hAnsiTheme="majorBidi" w:cstheme="majorBidi"/>
        </w:rPr>
        <w:tab/>
        <w:t>Tout dispositif de manipulation logiciel et/ou matériel permettant de contrer ou de contourner une ou plusieurs des prescriptions énoncées aux points</w:t>
      </w:r>
      <w:r>
        <w:rPr>
          <w:rFonts w:asciiTheme="majorBidi" w:hAnsiTheme="majorBidi" w:cstheme="majorBidi"/>
        </w:rPr>
        <w:t> </w:t>
      </w:r>
      <w:r w:rsidRPr="00837B04">
        <w:rPr>
          <w:rFonts w:asciiTheme="majorBidi" w:hAnsiTheme="majorBidi" w:cstheme="majorBidi"/>
        </w:rPr>
        <w:t>a) à f) doit être interdit ; ».</w:t>
      </w:r>
    </w:p>
    <w:p w14:paraId="28AB63D7" w14:textId="77777777" w:rsidR="00E30A62" w:rsidRPr="00837B04" w:rsidRDefault="00E30A62" w:rsidP="00E30A62">
      <w:pPr>
        <w:keepNext/>
        <w:spacing w:after="120" w:line="240" w:lineRule="auto"/>
        <w:ind w:left="2268" w:right="1134" w:hanging="1134"/>
        <w:jc w:val="both"/>
        <w:rPr>
          <w:rFonts w:asciiTheme="majorBidi" w:hAnsiTheme="majorBidi" w:cstheme="majorBidi"/>
        </w:rPr>
      </w:pPr>
      <w:r w:rsidRPr="00837B04">
        <w:rPr>
          <w:rFonts w:asciiTheme="majorBidi" w:hAnsiTheme="majorBidi" w:cstheme="majorBidi"/>
          <w:i/>
        </w:rPr>
        <w:t>Ajouter le nouveau paragraphe 5.1.18</w:t>
      </w:r>
      <w:r w:rsidRPr="00837B04">
        <w:rPr>
          <w:rFonts w:asciiTheme="majorBidi" w:hAnsiTheme="majorBidi" w:cstheme="majorBidi"/>
        </w:rPr>
        <w:t>, libellé comme suit :</w:t>
      </w:r>
    </w:p>
    <w:p w14:paraId="5221F204" w14:textId="77777777" w:rsidR="00E30A62" w:rsidRPr="00837B04" w:rsidRDefault="00E30A62" w:rsidP="00E30A62">
      <w:pPr>
        <w:pStyle w:val="SingleTxtG"/>
        <w:ind w:left="2268" w:hanging="1134"/>
        <w:rPr>
          <w:rFonts w:asciiTheme="majorBidi" w:hAnsiTheme="majorBidi" w:cstheme="majorBidi"/>
          <w:bCs/>
        </w:rPr>
      </w:pPr>
      <w:r w:rsidRPr="00837B04">
        <w:rPr>
          <w:rFonts w:asciiTheme="majorBidi" w:hAnsiTheme="majorBidi" w:cstheme="majorBidi"/>
        </w:rPr>
        <w:t>« </w:t>
      </w:r>
      <w:r w:rsidRPr="00837B04">
        <w:rPr>
          <w:rFonts w:asciiTheme="majorBidi" w:hAnsiTheme="majorBidi" w:cstheme="majorBidi"/>
          <w:bCs/>
        </w:rPr>
        <w:t>5.1.18</w:t>
      </w:r>
      <w:r w:rsidRPr="00837B04">
        <w:rPr>
          <w:rFonts w:asciiTheme="majorBidi" w:hAnsiTheme="majorBidi" w:cstheme="majorBidi"/>
          <w:bCs/>
        </w:rPr>
        <w:tab/>
        <w:t>Un véhicule doté d’un système ABS actif sur les deux essieux peut être équipé d’un mode sélectionnable par le conducteur permettant de désactiver la fonction ABS sur l’essieu arrière. La désactivation de l’ABS sur l’essieu arrière doit être signalée par l’activation d’un témoin jaune ou jaune-auto ou par des messages de contrôle* jusqu’à ce que l’ABS soit à nouveau pleinement fonctionnel sur les deux essieux, suivant l’une des méthodes ci</w:t>
      </w:r>
      <w:r w:rsidRPr="00837B04">
        <w:rPr>
          <w:rFonts w:asciiTheme="majorBidi" w:hAnsiTheme="majorBidi" w:cstheme="majorBidi"/>
          <w:bCs/>
        </w:rPr>
        <w:noBreakHyphen/>
        <w:t>après :</w:t>
      </w:r>
    </w:p>
    <w:p w14:paraId="7B4E6528" w14:textId="77777777" w:rsidR="00E30A62" w:rsidRPr="00837B04" w:rsidRDefault="00E30A62" w:rsidP="00E30A62">
      <w:pPr>
        <w:pStyle w:val="SingleTxtG"/>
        <w:spacing w:line="240" w:lineRule="auto"/>
        <w:ind w:left="2835" w:hanging="567"/>
        <w:rPr>
          <w:rFonts w:asciiTheme="majorBidi" w:hAnsiTheme="majorBidi" w:cstheme="majorBidi"/>
          <w:bCs/>
        </w:rPr>
      </w:pPr>
      <w:r w:rsidRPr="00837B04">
        <w:rPr>
          <w:rFonts w:asciiTheme="majorBidi" w:hAnsiTheme="majorBidi" w:cstheme="majorBidi"/>
          <w:bCs/>
        </w:rPr>
        <w:t>i)</w:t>
      </w:r>
      <w:r w:rsidRPr="00837B04">
        <w:rPr>
          <w:rFonts w:asciiTheme="majorBidi" w:hAnsiTheme="majorBidi" w:cstheme="majorBidi"/>
          <w:bCs/>
        </w:rPr>
        <w:tab/>
        <w:t>Avec le symbole suivant, tel que spécifié au point B.18 de la norme ISO 2575:2010 :</w:t>
      </w:r>
    </w:p>
    <w:p w14:paraId="098BAA58" w14:textId="77777777" w:rsidR="00E30A62" w:rsidRPr="004A3288" w:rsidRDefault="00E30A62" w:rsidP="00E30A62">
      <w:pPr>
        <w:pStyle w:val="SingleTxtG"/>
        <w:spacing w:after="240"/>
        <w:ind w:left="2835"/>
      </w:pPr>
      <w:r w:rsidRPr="004A3288">
        <w:rPr>
          <w:noProof/>
          <w:lang w:eastAsia="it-IT"/>
        </w:rPr>
        <w:drawing>
          <wp:inline distT="0" distB="0" distL="0" distR="0" wp14:anchorId="21C92620" wp14:editId="3CC8515F">
            <wp:extent cx="504000" cy="504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00" cy="504000"/>
                    </a:xfrm>
                    <a:prstGeom prst="rect">
                      <a:avLst/>
                    </a:prstGeom>
                  </pic:spPr>
                </pic:pic>
              </a:graphicData>
            </a:graphic>
          </wp:inline>
        </w:drawing>
      </w:r>
    </w:p>
    <w:p w14:paraId="4E129A5B" w14:textId="77777777" w:rsidR="00E30A62" w:rsidRPr="00837B04" w:rsidRDefault="00E30A62" w:rsidP="00E30A62">
      <w:pPr>
        <w:pStyle w:val="SingleTxtG"/>
        <w:spacing w:line="240" w:lineRule="auto"/>
        <w:ind w:left="2835"/>
        <w:rPr>
          <w:rFonts w:asciiTheme="majorBidi" w:hAnsiTheme="majorBidi" w:cstheme="majorBidi"/>
          <w:bCs/>
        </w:rPr>
      </w:pPr>
      <w:r w:rsidRPr="004A3288">
        <w:rPr>
          <w:rFonts w:asciiTheme="majorBidi" w:hAnsiTheme="majorBidi" w:cstheme="majorBidi"/>
          <w:b/>
        </w:rPr>
        <w:tab/>
      </w:r>
      <w:r w:rsidRPr="00837B04">
        <w:rPr>
          <w:rFonts w:asciiTheme="majorBidi" w:hAnsiTheme="majorBidi" w:cstheme="majorBidi"/>
          <w:bCs/>
        </w:rPr>
        <w:t>Avec le mot “REAR” apparaissant à côté de celui-ci ; ou</w:t>
      </w:r>
    </w:p>
    <w:p w14:paraId="3AB86B3A" w14:textId="77777777" w:rsidR="00E30A62" w:rsidRPr="00837B04" w:rsidRDefault="00E30A62" w:rsidP="00E30A62">
      <w:pPr>
        <w:pStyle w:val="SingleTxtG"/>
        <w:keepNext/>
        <w:spacing w:line="240" w:lineRule="auto"/>
        <w:ind w:left="2835" w:hanging="567"/>
        <w:rPr>
          <w:rFonts w:asciiTheme="majorBidi" w:hAnsiTheme="majorBidi" w:cstheme="majorBidi"/>
          <w:bCs/>
        </w:rPr>
      </w:pPr>
      <w:r w:rsidRPr="00837B04">
        <w:rPr>
          <w:rFonts w:asciiTheme="majorBidi" w:hAnsiTheme="majorBidi" w:cstheme="majorBidi"/>
          <w:bCs/>
        </w:rPr>
        <w:lastRenderedPageBreak/>
        <w:t>ii)</w:t>
      </w:r>
      <w:r w:rsidRPr="00837B04">
        <w:rPr>
          <w:rFonts w:asciiTheme="majorBidi" w:hAnsiTheme="majorBidi" w:cstheme="majorBidi"/>
          <w:bCs/>
        </w:rPr>
        <w:tab/>
        <w:t>Avec le symbole suivant, tel que spécifié au point B.18 de la norme ISO 2575:2010 :</w:t>
      </w:r>
    </w:p>
    <w:p w14:paraId="4FF66590" w14:textId="77777777" w:rsidR="00E30A62" w:rsidRPr="004A3288" w:rsidRDefault="00E30A62" w:rsidP="00E30A62">
      <w:pPr>
        <w:pStyle w:val="SingleTxtG"/>
        <w:spacing w:after="240"/>
        <w:ind w:left="2835"/>
      </w:pPr>
      <w:r w:rsidRPr="004A3288">
        <w:rPr>
          <w:noProof/>
          <w:lang w:eastAsia="it-IT"/>
        </w:rPr>
        <w:drawing>
          <wp:inline distT="0" distB="0" distL="0" distR="0" wp14:anchorId="6BE688BE" wp14:editId="0618DC0F">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00" cy="504000"/>
                    </a:xfrm>
                    <a:prstGeom prst="rect">
                      <a:avLst/>
                    </a:prstGeom>
                  </pic:spPr>
                </pic:pic>
              </a:graphicData>
            </a:graphic>
          </wp:inline>
        </w:drawing>
      </w:r>
    </w:p>
    <w:p w14:paraId="3AA328D1" w14:textId="77777777" w:rsidR="00E30A62" w:rsidRPr="00837B04" w:rsidRDefault="00E30A62" w:rsidP="00E30A62">
      <w:pPr>
        <w:pStyle w:val="SingleTxtG"/>
        <w:spacing w:line="240" w:lineRule="auto"/>
        <w:ind w:left="2835"/>
        <w:rPr>
          <w:rFonts w:asciiTheme="majorBidi" w:hAnsiTheme="majorBidi" w:cstheme="majorBidi"/>
        </w:rPr>
      </w:pPr>
      <w:r w:rsidRPr="00837B04">
        <w:rPr>
          <w:rFonts w:asciiTheme="majorBidi" w:hAnsiTheme="majorBidi" w:cstheme="majorBidi"/>
        </w:rPr>
        <w:t>Avec un symbole du véhicule à côté de celui-ci et une flèche pointant vers l’essieu arrière ; ou</w:t>
      </w:r>
    </w:p>
    <w:p w14:paraId="2061BC29"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iii)</w:t>
      </w:r>
      <w:r w:rsidRPr="00837B04">
        <w:rPr>
          <w:rFonts w:asciiTheme="majorBidi" w:hAnsiTheme="majorBidi" w:cstheme="majorBidi"/>
        </w:rPr>
        <w:tab/>
        <w:t>Avec le symbole suivant, tel que spécifié au point B.05 de la norme ISO 2575:2010 :</w:t>
      </w:r>
    </w:p>
    <w:p w14:paraId="607C2964" w14:textId="77777777" w:rsidR="00E30A62" w:rsidRPr="004A3288" w:rsidRDefault="00E30A62" w:rsidP="00E30A62">
      <w:pPr>
        <w:pStyle w:val="SingleTxtG"/>
        <w:spacing w:after="240"/>
        <w:ind w:left="2835"/>
      </w:pPr>
      <w:r w:rsidRPr="004A3288">
        <w:rPr>
          <w:noProof/>
          <w:lang w:eastAsia="it-IT"/>
        </w:rPr>
        <w:drawing>
          <wp:inline distT="0" distB="0" distL="0" distR="0" wp14:anchorId="02BEE8D2" wp14:editId="70F66AB2">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14:paraId="164CB986" w14:textId="77777777" w:rsidR="00E30A62" w:rsidRPr="00837B04" w:rsidRDefault="00E30A62" w:rsidP="00E30A62">
      <w:pPr>
        <w:pStyle w:val="SingleTxtG"/>
        <w:spacing w:line="240" w:lineRule="auto"/>
        <w:ind w:left="2835"/>
        <w:rPr>
          <w:rFonts w:asciiTheme="majorBidi" w:hAnsiTheme="majorBidi" w:cstheme="majorBidi"/>
          <w:bCs/>
        </w:rPr>
      </w:pPr>
      <w:r w:rsidRPr="00017FAB">
        <w:rPr>
          <w:rFonts w:asciiTheme="majorBidi" w:hAnsiTheme="majorBidi" w:cstheme="majorBidi"/>
          <w:bCs/>
        </w:rPr>
        <w:tab/>
      </w:r>
      <w:r w:rsidRPr="00837B04">
        <w:rPr>
          <w:rFonts w:asciiTheme="majorBidi" w:hAnsiTheme="majorBidi" w:cstheme="majorBidi"/>
          <w:bCs/>
        </w:rPr>
        <w:t>Avec le texte “REAR OFF” apparaissant à côté de celui-ci ; ou</w:t>
      </w:r>
    </w:p>
    <w:p w14:paraId="1875F524" w14:textId="77777777" w:rsidR="00E30A62" w:rsidRPr="00837B04" w:rsidRDefault="00E30A62" w:rsidP="00E30A62">
      <w:pPr>
        <w:pStyle w:val="SingleTxtG"/>
        <w:spacing w:line="240" w:lineRule="auto"/>
        <w:ind w:left="2835" w:hanging="567"/>
        <w:rPr>
          <w:rFonts w:asciiTheme="majorBidi" w:hAnsiTheme="majorBidi" w:cstheme="majorBidi"/>
          <w:bCs/>
        </w:rPr>
      </w:pPr>
      <w:r w:rsidRPr="00837B04">
        <w:rPr>
          <w:rFonts w:asciiTheme="majorBidi" w:hAnsiTheme="majorBidi" w:cstheme="majorBidi"/>
          <w:bCs/>
        </w:rPr>
        <w:t>iv)</w:t>
      </w:r>
      <w:r w:rsidRPr="00837B04">
        <w:rPr>
          <w:rFonts w:asciiTheme="majorBidi" w:hAnsiTheme="majorBidi" w:cstheme="majorBidi"/>
          <w:bCs/>
        </w:rPr>
        <w:tab/>
        <w:t>Avec le texte “REAR ABS OFF” ou “REAR ABS not available” ; ou</w:t>
      </w:r>
    </w:p>
    <w:p w14:paraId="004A270C" w14:textId="77777777" w:rsidR="00E30A62" w:rsidRPr="00837B04" w:rsidRDefault="00E30A62" w:rsidP="00E30A62">
      <w:pPr>
        <w:pStyle w:val="SingleTxtG"/>
        <w:spacing w:line="240" w:lineRule="auto"/>
        <w:ind w:left="2835" w:hanging="567"/>
        <w:rPr>
          <w:rFonts w:asciiTheme="majorBidi" w:hAnsiTheme="majorBidi" w:cstheme="majorBidi"/>
          <w:bCs/>
        </w:rPr>
      </w:pPr>
      <w:r w:rsidRPr="00837B04">
        <w:rPr>
          <w:rFonts w:asciiTheme="majorBidi" w:hAnsiTheme="majorBidi" w:cstheme="majorBidi"/>
          <w:bCs/>
        </w:rPr>
        <w:t>v)</w:t>
      </w:r>
      <w:r w:rsidRPr="00837B04">
        <w:rPr>
          <w:rFonts w:asciiTheme="majorBidi" w:hAnsiTheme="majorBidi" w:cstheme="majorBidi"/>
          <w:bCs/>
        </w:rPr>
        <w:tab/>
        <w:t>Avec la lampe d’avertissement mentionnée au paragraphe 5.1.13, clignotant en permanence. Si la désactivation du système ABS est également indiquée par un clignotement de ce témoin d’avertissement comme spécifié à l’alinéa</w:t>
      </w:r>
      <w:r>
        <w:rPr>
          <w:rFonts w:asciiTheme="majorBidi" w:hAnsiTheme="majorBidi" w:cstheme="majorBidi"/>
          <w:bCs/>
        </w:rPr>
        <w:t> </w:t>
      </w:r>
      <w:r w:rsidRPr="00837B04">
        <w:rPr>
          <w:rFonts w:asciiTheme="majorBidi" w:hAnsiTheme="majorBidi" w:cstheme="majorBidi"/>
          <w:bCs/>
        </w:rPr>
        <w:t>e) iv) du paragraphe 5.1.16, la fréquence du clignotement indiquant la désactivation du système ABS sur un essieu doit être différente de celle indiquant la désactivation complète du système ABS.</w:t>
      </w:r>
    </w:p>
    <w:p w14:paraId="37C896FB" w14:textId="77777777" w:rsidR="00E30A62" w:rsidRPr="00837B04" w:rsidRDefault="00E30A62" w:rsidP="00E30A62">
      <w:pPr>
        <w:tabs>
          <w:tab w:val="right" w:pos="2155"/>
        </w:tabs>
        <w:spacing w:after="80"/>
        <w:ind w:left="680"/>
        <w:rPr>
          <w:bCs/>
          <w:u w:val="single"/>
        </w:rPr>
      </w:pPr>
      <w:r w:rsidRPr="00837B04">
        <w:rPr>
          <w:bCs/>
          <w:u w:val="single"/>
        </w:rPr>
        <w:tab/>
      </w:r>
      <w:r w:rsidRPr="00837B04">
        <w:rPr>
          <w:bCs/>
          <w:u w:val="single"/>
        </w:rPr>
        <w:tab/>
      </w:r>
    </w:p>
    <w:p w14:paraId="2554E7B0" w14:textId="77777777" w:rsidR="00E30A62" w:rsidRPr="00837B04" w:rsidRDefault="00E30A62" w:rsidP="00E30A62">
      <w:pPr>
        <w:pStyle w:val="Notedebasdepage"/>
        <w:spacing w:after="240"/>
        <w:rPr>
          <w:rFonts w:asciiTheme="majorBidi" w:hAnsiTheme="majorBidi" w:cstheme="majorBidi"/>
          <w:bCs/>
          <w:sz w:val="20"/>
        </w:rPr>
      </w:pPr>
      <w:r w:rsidRPr="00837B04">
        <w:tab/>
      </w:r>
      <w:r w:rsidRPr="00837B04">
        <w:rPr>
          <w:rFonts w:asciiTheme="majorBidi" w:hAnsiTheme="majorBidi" w:cstheme="majorBidi"/>
          <w:sz w:val="20"/>
        </w:rPr>
        <w:t>*</w:t>
      </w:r>
      <w:r w:rsidRPr="00837B04">
        <w:tab/>
      </w:r>
      <w:r w:rsidRPr="00837B04">
        <w:rPr>
          <w:rFonts w:asciiTheme="majorBidi" w:hAnsiTheme="majorBidi" w:cstheme="majorBidi"/>
          <w:bCs/>
          <w:szCs w:val="18"/>
        </w:rPr>
        <w:t>Messages apparaissant sur le tableau de bord</w:t>
      </w:r>
      <w:r w:rsidRPr="00837B04">
        <w:rPr>
          <w:rFonts w:asciiTheme="majorBidi" w:hAnsiTheme="majorBidi" w:cstheme="majorBidi"/>
          <w:bCs/>
          <w:sz w:val="20"/>
        </w:rPr>
        <w:t>. ».</w:t>
      </w:r>
    </w:p>
    <w:p w14:paraId="45491E42" w14:textId="77777777" w:rsidR="00E30A62" w:rsidRPr="00837B04" w:rsidRDefault="00E30A62" w:rsidP="00E30A62">
      <w:pPr>
        <w:pStyle w:val="SingleTxtG"/>
        <w:keepNext/>
      </w:pPr>
      <w:r w:rsidRPr="00837B04">
        <w:rPr>
          <w:i/>
          <w:iCs/>
        </w:rPr>
        <w:t>Ajouter les nouveaux paragraphes 9.5 à 9.9</w:t>
      </w:r>
      <w:r w:rsidRPr="00837B04">
        <w:t>, libellés comme suit :</w:t>
      </w:r>
    </w:p>
    <w:p w14:paraId="211AA338"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 9.5</w:t>
      </w:r>
      <w:r w:rsidRPr="00837B04">
        <w:rPr>
          <w:rFonts w:asciiTheme="majorBidi" w:hAnsiTheme="majorBidi" w:cstheme="majorBidi"/>
        </w:rPr>
        <w:tab/>
        <w:t>À compter de la date officielle d’entrée en vigueur de la série 05 d’amendements, aucune Partie contractante appliquant le présent Règlement ne pourra refuser d’accorder ou d’accepter une homologation de type ONU en vertu dudit Règlement tel que modifié par la série 05 d’amendements.</w:t>
      </w:r>
    </w:p>
    <w:p w14:paraId="15F45BA3"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9.6</w:t>
      </w:r>
      <w:r w:rsidRPr="00837B04">
        <w:rPr>
          <w:rFonts w:asciiTheme="majorBidi" w:hAnsiTheme="majorBidi" w:cstheme="majorBidi"/>
        </w:rPr>
        <w:tab/>
        <w:t>À compter du 1</w:t>
      </w:r>
      <w:r w:rsidRPr="00837B04">
        <w:rPr>
          <w:rFonts w:asciiTheme="majorBidi" w:hAnsiTheme="majorBidi" w:cstheme="majorBidi"/>
          <w:vertAlign w:val="superscript"/>
        </w:rPr>
        <w:t>er</w:t>
      </w:r>
      <w:r w:rsidRPr="00837B04">
        <w:rPr>
          <w:rFonts w:asciiTheme="majorBidi" w:hAnsiTheme="majorBidi" w:cstheme="majorBidi"/>
        </w:rPr>
        <w:t> septembre 2023, les Parties contractantes appliquant le présent Règlement ne seront plus tenues d’accepter les homologations de type ONU établies conformément aux précédentes séries d’amendements, délivrées pour la première fois après le 1</w:t>
      </w:r>
      <w:r w:rsidRPr="00837B04">
        <w:rPr>
          <w:rFonts w:asciiTheme="majorBidi" w:hAnsiTheme="majorBidi" w:cstheme="majorBidi"/>
          <w:vertAlign w:val="superscript"/>
        </w:rPr>
        <w:t>er</w:t>
      </w:r>
      <w:r w:rsidRPr="00837B04">
        <w:rPr>
          <w:rFonts w:asciiTheme="majorBidi" w:hAnsiTheme="majorBidi" w:cstheme="majorBidi"/>
        </w:rPr>
        <w:t> septembre 2023.</w:t>
      </w:r>
    </w:p>
    <w:p w14:paraId="5A6C29D8"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9.7</w:t>
      </w:r>
      <w:r w:rsidRPr="00837B04">
        <w:rPr>
          <w:rFonts w:asciiTheme="majorBidi" w:hAnsiTheme="majorBidi" w:cstheme="majorBidi"/>
        </w:rPr>
        <w:tab/>
        <w:t>Nonobstant les dispositions transitoires ci-dessus, les Parties contractantes pour lesquelles le présent Règlement entre en application après la date d’entrée en vigueur de la série d’amendements la plus récente ne sont pas tenues d’accepter les homologations de type ONU accordées conformément à l’une ou l’autre des précédentes séries d’amendements audit Règlement.</w:t>
      </w:r>
    </w:p>
    <w:p w14:paraId="028E3510" w14:textId="77777777" w:rsidR="00E30A62" w:rsidRPr="00837B04" w:rsidRDefault="00E30A62" w:rsidP="00E30A62">
      <w:pPr>
        <w:pStyle w:val="SingleTxtG"/>
        <w:ind w:left="2268" w:hanging="1134"/>
      </w:pPr>
      <w:r w:rsidRPr="00837B04">
        <w:t>9.8</w:t>
      </w:r>
      <w:r w:rsidRPr="00837B04">
        <w:tab/>
        <w:t>Nonobstant les dispositions du paragraphe 9.6, les Parties contractantes appliquant le présent Règlement continueront de reconnaître les homologations de type ONU délivrées au titre des précédentes séries d’amendements audit Règlement, délivrées pour la première fois après le 1</w:t>
      </w:r>
      <w:r w:rsidRPr="00837B04">
        <w:rPr>
          <w:vertAlign w:val="superscript"/>
        </w:rPr>
        <w:t>er</w:t>
      </w:r>
      <w:r w:rsidRPr="00837B04">
        <w:t> septembre 2023, et les extensions de celles-ci, pour les types de véhicules non concernés par les modifications apportées par la série 05 d’amendements.</w:t>
      </w:r>
    </w:p>
    <w:p w14:paraId="24966860"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9.9</w:t>
      </w:r>
      <w:r w:rsidRPr="00837B04">
        <w:rPr>
          <w:rFonts w:asciiTheme="majorBidi" w:hAnsiTheme="majorBidi" w:cstheme="majorBidi"/>
        </w:rPr>
        <w:tab/>
        <w:t>Les Parties contractantes appliquant le présent Règlement ne pourront refuser d’accorder des homologations de type ONU en vertu de l’une quelconque des précédentes séries d’amendements audit Règlement, ou d’accorder des extensions pour les homologations en question. ».</w:t>
      </w:r>
    </w:p>
    <w:p w14:paraId="392F023F" w14:textId="77777777" w:rsidR="00E30A62" w:rsidRPr="00837B04" w:rsidRDefault="00E30A62" w:rsidP="00E30A62">
      <w:pPr>
        <w:pStyle w:val="SingleTxtG"/>
        <w:keepNext/>
        <w:rPr>
          <w:iCs/>
        </w:rPr>
      </w:pPr>
      <w:r w:rsidRPr="00837B04">
        <w:rPr>
          <w:i/>
        </w:rPr>
        <w:lastRenderedPageBreak/>
        <w:t>Annexe 2</w:t>
      </w:r>
      <w:r w:rsidRPr="00837B04">
        <w:t>, lire :</w:t>
      </w:r>
    </w:p>
    <w:p w14:paraId="5B75ED6C" w14:textId="77777777" w:rsidR="00E30A62" w:rsidRPr="00837B04" w:rsidRDefault="00E30A62" w:rsidP="00E30A62">
      <w:pPr>
        <w:pStyle w:val="HChG"/>
      </w:pPr>
      <w:r w:rsidRPr="00837B04">
        <w:tab/>
      </w:r>
      <w:r w:rsidRPr="00837B04">
        <w:tab/>
      </w:r>
      <w:r w:rsidRPr="00837B04">
        <w:rPr>
          <w:b w:val="0"/>
          <w:bCs/>
          <w:sz w:val="20"/>
        </w:rPr>
        <w:t>« </w:t>
      </w:r>
      <w:r w:rsidRPr="00837B04">
        <w:t>Exemples de marques d’homologation</w:t>
      </w:r>
    </w:p>
    <w:p w14:paraId="56222D76" w14:textId="77777777" w:rsidR="00E30A62" w:rsidRPr="00837B04" w:rsidRDefault="00E30A62" w:rsidP="00E30A62">
      <w:pPr>
        <w:pStyle w:val="SingleTxtG"/>
        <w:keepNext/>
        <w:rPr>
          <w:b/>
          <w:bCs/>
        </w:rPr>
      </w:pPr>
      <w:r w:rsidRPr="00837B04">
        <w:rPr>
          <w:b/>
          <w:bCs/>
        </w:rPr>
        <w:t>Modèle A</w:t>
      </w:r>
    </w:p>
    <w:p w14:paraId="7836F0EA" w14:textId="77777777" w:rsidR="00E30A62" w:rsidRPr="00837B04" w:rsidRDefault="00E30A62" w:rsidP="00E30A62">
      <w:pPr>
        <w:pStyle w:val="SingleTxtG"/>
        <w:keepNext/>
      </w:pPr>
      <w:r w:rsidRPr="00837B04">
        <w:t>(Voir par. 4.4 du présent Règlement)</w:t>
      </w:r>
    </w:p>
    <w:p w14:paraId="6EC5342C" w14:textId="77777777" w:rsidR="00E30A62" w:rsidRDefault="00E30A62" w:rsidP="00E30A62">
      <w:pPr>
        <w:pStyle w:val="SingleTxtG"/>
      </w:pPr>
      <w:r>
        <w:rPr>
          <w:noProof/>
        </w:rPr>
        <w:drawing>
          <wp:inline distT="0" distB="0" distL="0" distR="0" wp14:anchorId="38682787" wp14:editId="0EC13000">
            <wp:extent cx="4680000" cy="1458000"/>
            <wp:effectExtent l="0" t="0" r="635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1458000"/>
                    </a:xfrm>
                    <a:prstGeom prst="rect">
                      <a:avLst/>
                    </a:prstGeom>
                  </pic:spPr>
                </pic:pic>
              </a:graphicData>
            </a:graphic>
          </wp:inline>
        </w:drawing>
      </w:r>
    </w:p>
    <w:p w14:paraId="1E6F5CDE" w14:textId="77777777" w:rsidR="00E30A62" w:rsidRPr="00837B04" w:rsidRDefault="00E30A62" w:rsidP="00E30A62">
      <w:pPr>
        <w:pStyle w:val="SingleTxtG"/>
        <w:ind w:firstLine="567"/>
      </w:pPr>
      <w:r w:rsidRPr="00837B04">
        <w:t>La marque d’homologation ci-dessus, apposée sur un véhicule</w:t>
      </w:r>
      <w:r w:rsidRPr="00837B04">
        <w:rPr>
          <w:sz w:val="18"/>
          <w:szCs w:val="18"/>
          <w:vertAlign w:val="superscript"/>
        </w:rPr>
        <w:t>1</w:t>
      </w:r>
      <w:r w:rsidRPr="00837B04">
        <w:t>, indique que le type de ce véhicule a été homologué au Royaume-Uni (E 11), en ce qui concerne le dispositif de freinage, en application du Règlement ONU n</w:t>
      </w:r>
      <w:r w:rsidRPr="00837B04">
        <w:rPr>
          <w:vertAlign w:val="superscript"/>
        </w:rPr>
        <w:t>o</w:t>
      </w:r>
      <w:r w:rsidRPr="00837B04">
        <w:t> 78, sous le numéro d’homologation 0</w:t>
      </w:r>
      <w:r w:rsidRPr="00837B04">
        <w:rPr>
          <w:bCs/>
        </w:rPr>
        <w:t>5</w:t>
      </w:r>
      <w:r w:rsidRPr="00837B04">
        <w:t>2439. Les deux premiers chiffres du numéro signifient que le Règlement ONU n</w:t>
      </w:r>
      <w:r w:rsidRPr="00837B04">
        <w:rPr>
          <w:vertAlign w:val="superscript"/>
        </w:rPr>
        <w:t>o</w:t>
      </w:r>
      <w:r w:rsidRPr="00837B04">
        <w:t> 78 comprenait déjà la série 05 d’amendements lorsque l’homologation a été délivrée.</w:t>
      </w:r>
    </w:p>
    <w:p w14:paraId="314A853E" w14:textId="77777777" w:rsidR="00E30A62" w:rsidRPr="00837B04" w:rsidRDefault="00E30A62" w:rsidP="00E30A62">
      <w:pPr>
        <w:pStyle w:val="SingleTxtG"/>
        <w:keepNext/>
        <w:rPr>
          <w:b/>
          <w:bCs/>
        </w:rPr>
      </w:pPr>
      <w:r w:rsidRPr="00837B04">
        <w:rPr>
          <w:b/>
          <w:bCs/>
        </w:rPr>
        <w:t>Modèle B</w:t>
      </w:r>
    </w:p>
    <w:p w14:paraId="12E67823" w14:textId="77777777" w:rsidR="00E30A62" w:rsidRPr="00837B04" w:rsidRDefault="00E30A62" w:rsidP="00E30A62">
      <w:pPr>
        <w:pStyle w:val="SingleTxtG"/>
        <w:keepNext/>
      </w:pPr>
      <w:r w:rsidRPr="00837B04">
        <w:t>(Voir par. 4.5 du présent Règlement)</w:t>
      </w:r>
    </w:p>
    <w:p w14:paraId="2E9B9DAC" w14:textId="77777777" w:rsidR="00E30A62" w:rsidRDefault="00E30A62" w:rsidP="00E30A62">
      <w:pPr>
        <w:pStyle w:val="SingleTxtG"/>
        <w:spacing w:after="0" w:line="240" w:lineRule="auto"/>
      </w:pPr>
      <w:r>
        <w:rPr>
          <w:noProof/>
        </w:rPr>
        <w:drawing>
          <wp:inline distT="0" distB="0" distL="0" distR="0" wp14:anchorId="245B2E31" wp14:editId="5907DE7F">
            <wp:extent cx="4669830" cy="104400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 b="17899"/>
                    <a:stretch/>
                  </pic:blipFill>
                  <pic:spPr bwMode="auto">
                    <a:xfrm>
                      <a:off x="0" y="0"/>
                      <a:ext cx="4680000" cy="1046274"/>
                    </a:xfrm>
                    <a:prstGeom prst="rect">
                      <a:avLst/>
                    </a:prstGeom>
                    <a:ln>
                      <a:noFill/>
                    </a:ln>
                    <a:extLst>
                      <a:ext uri="{53640926-AAD7-44D8-BBD7-CCE9431645EC}">
                        <a14:shadowObscured xmlns:a14="http://schemas.microsoft.com/office/drawing/2010/main"/>
                      </a:ext>
                    </a:extLst>
                  </pic:spPr>
                </pic:pic>
              </a:graphicData>
            </a:graphic>
          </wp:inline>
        </w:drawing>
      </w:r>
    </w:p>
    <w:p w14:paraId="22FCA9DA" w14:textId="77777777" w:rsidR="00E30A62" w:rsidRPr="00837B04" w:rsidRDefault="00E30A62" w:rsidP="00E30A62">
      <w:pPr>
        <w:pStyle w:val="SingleTxtG"/>
        <w:keepNext/>
        <w:jc w:val="right"/>
      </w:pPr>
      <w:r w:rsidRPr="00837B04">
        <w:t>a = 8 mm min.</w:t>
      </w:r>
    </w:p>
    <w:p w14:paraId="520CC5EB" w14:textId="77777777" w:rsidR="00E30A62" w:rsidRPr="00837B04" w:rsidRDefault="00E30A62" w:rsidP="00E30A62">
      <w:pPr>
        <w:pStyle w:val="SingleTxtG"/>
        <w:ind w:firstLine="567"/>
        <w:rPr>
          <w:rFonts w:asciiTheme="majorBidi" w:hAnsiTheme="majorBidi" w:cstheme="majorBidi"/>
        </w:rPr>
      </w:pPr>
      <w:r w:rsidRPr="00837B04">
        <w:t>La</w:t>
      </w:r>
      <w:r w:rsidRPr="00837B04">
        <w:rPr>
          <w:rFonts w:asciiTheme="majorBidi" w:hAnsiTheme="majorBidi" w:cstheme="majorBidi"/>
        </w:rPr>
        <w:t xml:space="preserve"> marque d’homologation ci-dessus, apposée sur un véhicule, indique que le type de ce véhicule a été homologué au Royaume-Uni (E 11), en application des Règlements ONU n</w:t>
      </w:r>
      <w:r w:rsidRPr="00837B04">
        <w:rPr>
          <w:rFonts w:asciiTheme="majorBidi" w:hAnsiTheme="majorBidi" w:cstheme="majorBidi"/>
          <w:vertAlign w:val="superscript"/>
        </w:rPr>
        <w:t>os</w:t>
      </w:r>
      <w:r w:rsidRPr="00837B04">
        <w:rPr>
          <w:rFonts w:asciiTheme="majorBidi" w:hAnsiTheme="majorBidi" w:cstheme="majorBidi"/>
        </w:rPr>
        <w:t> 78 et 40. Les deux premiers chiffres d’homologation signifient qu’aux dates de délivrance des homologations respectives, le Règlement ONU n</w:t>
      </w:r>
      <w:r w:rsidRPr="00837B04">
        <w:rPr>
          <w:rFonts w:asciiTheme="majorBidi" w:hAnsiTheme="majorBidi" w:cstheme="majorBidi"/>
          <w:vertAlign w:val="superscript"/>
        </w:rPr>
        <w:t>o</w:t>
      </w:r>
      <w:r w:rsidRPr="00837B04">
        <w:rPr>
          <w:rFonts w:asciiTheme="majorBidi" w:hAnsiTheme="majorBidi" w:cstheme="majorBidi"/>
        </w:rPr>
        <w:t> 78 comprenait la série 05 d’amendements et le Règlement ONU n</w:t>
      </w:r>
      <w:r w:rsidRPr="00837B04">
        <w:rPr>
          <w:rFonts w:asciiTheme="majorBidi" w:hAnsiTheme="majorBidi" w:cstheme="majorBidi"/>
          <w:vertAlign w:val="superscript"/>
        </w:rPr>
        <w:t>o</w:t>
      </w:r>
      <w:r w:rsidRPr="00837B04">
        <w:rPr>
          <w:rFonts w:asciiTheme="majorBidi" w:hAnsiTheme="majorBidi" w:cstheme="majorBidi"/>
        </w:rPr>
        <w:t> 40 était toujours sous sa forme initiale. ».</w:t>
      </w:r>
    </w:p>
    <w:p w14:paraId="4F11AB47" w14:textId="77777777" w:rsidR="00E30A62" w:rsidRPr="00837B04" w:rsidRDefault="00E30A62" w:rsidP="00E30A62">
      <w:pPr>
        <w:tabs>
          <w:tab w:val="right" w:pos="2155"/>
        </w:tabs>
        <w:spacing w:after="80"/>
        <w:ind w:left="680"/>
        <w:rPr>
          <w:bCs/>
          <w:u w:val="single"/>
        </w:rPr>
      </w:pPr>
      <w:r w:rsidRPr="00837B04">
        <w:rPr>
          <w:bCs/>
          <w:u w:val="single"/>
        </w:rPr>
        <w:tab/>
      </w:r>
      <w:r w:rsidRPr="00837B04">
        <w:rPr>
          <w:bCs/>
          <w:u w:val="single"/>
        </w:rPr>
        <w:tab/>
      </w:r>
    </w:p>
    <w:p w14:paraId="73E493A3" w14:textId="77777777" w:rsidR="00E30A62" w:rsidRPr="00837B04" w:rsidRDefault="00E30A62" w:rsidP="00E30A62">
      <w:pPr>
        <w:pStyle w:val="Notedebasdepage"/>
        <w:spacing w:after="240"/>
        <w:rPr>
          <w:rFonts w:cstheme="minorBidi"/>
          <w:strike/>
        </w:rPr>
      </w:pPr>
      <w:r w:rsidRPr="00837B04">
        <w:tab/>
      </w:r>
      <w:r w:rsidRPr="00837B04">
        <w:rPr>
          <w:rFonts w:asciiTheme="majorBidi" w:hAnsiTheme="majorBidi" w:cstheme="majorBidi"/>
          <w:szCs w:val="18"/>
          <w:vertAlign w:val="superscript"/>
        </w:rPr>
        <w:t>1</w:t>
      </w:r>
      <w:r w:rsidRPr="00837B04">
        <w:tab/>
        <w:t>Ce second numéro n’est donné qu’à titre d’exemple. ».</w:t>
      </w:r>
    </w:p>
    <w:p w14:paraId="2300D40B" w14:textId="77777777" w:rsidR="00E30A62" w:rsidRPr="00837B04" w:rsidRDefault="00E30A62" w:rsidP="00E30A62">
      <w:pPr>
        <w:keepNext/>
        <w:keepLines/>
        <w:suppressAutoHyphens w:val="0"/>
        <w:spacing w:after="120" w:line="240" w:lineRule="auto"/>
        <w:ind w:left="1134" w:right="521"/>
        <w:jc w:val="both"/>
        <w:rPr>
          <w:rFonts w:asciiTheme="majorBidi" w:hAnsiTheme="majorBidi" w:cstheme="majorBidi"/>
          <w:i/>
        </w:rPr>
      </w:pPr>
      <w:r w:rsidRPr="00837B04">
        <w:rPr>
          <w:rFonts w:asciiTheme="majorBidi" w:hAnsiTheme="majorBidi" w:cstheme="majorBidi"/>
          <w:i/>
        </w:rPr>
        <w:t>Annexe 3,</w:t>
      </w:r>
    </w:p>
    <w:p w14:paraId="71D37F56" w14:textId="77777777" w:rsidR="00E30A62" w:rsidRPr="00837B04" w:rsidRDefault="00E30A62" w:rsidP="00E30A62">
      <w:pPr>
        <w:keepNext/>
        <w:keepLines/>
        <w:suppressAutoHyphens w:val="0"/>
        <w:spacing w:after="120" w:line="240" w:lineRule="auto"/>
        <w:ind w:left="1134" w:right="521"/>
        <w:jc w:val="both"/>
        <w:rPr>
          <w:rFonts w:asciiTheme="majorBidi" w:hAnsiTheme="majorBidi" w:cstheme="majorBidi"/>
          <w:iCs/>
        </w:rPr>
      </w:pPr>
      <w:r w:rsidRPr="00837B04">
        <w:rPr>
          <w:rFonts w:asciiTheme="majorBidi" w:hAnsiTheme="majorBidi" w:cstheme="majorBidi"/>
          <w:i/>
        </w:rPr>
        <w:t>Paragraphe 9.1</w:t>
      </w:r>
      <w:r w:rsidRPr="00837B04">
        <w:rPr>
          <w:rFonts w:asciiTheme="majorBidi" w:hAnsiTheme="majorBidi" w:cstheme="majorBidi"/>
        </w:rPr>
        <w:t>, lire :</w:t>
      </w:r>
    </w:p>
    <w:p w14:paraId="59C9022C" w14:textId="77777777" w:rsidR="00E30A62" w:rsidRPr="00837B04" w:rsidRDefault="00E30A62" w:rsidP="00E30A62">
      <w:pPr>
        <w:pStyle w:val="SingleTxtG"/>
        <w:ind w:left="2268" w:hanging="1134"/>
        <w:rPr>
          <w:rFonts w:asciiTheme="majorBidi" w:hAnsiTheme="majorBidi" w:cstheme="majorBidi"/>
        </w:rPr>
      </w:pPr>
      <w:r w:rsidRPr="00837B04">
        <w:rPr>
          <w:rFonts w:asciiTheme="majorBidi" w:hAnsiTheme="majorBidi" w:cstheme="majorBidi"/>
        </w:rPr>
        <w:t>« 9.1</w:t>
      </w:r>
      <w:r w:rsidRPr="00837B04">
        <w:rPr>
          <w:rFonts w:asciiTheme="majorBidi" w:hAnsiTheme="majorBidi" w:cstheme="majorBidi"/>
        </w:rPr>
        <w:tab/>
        <w:t>Dispositions générales :</w:t>
      </w:r>
    </w:p>
    <w:p w14:paraId="0F653C9C"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a)</w:t>
      </w:r>
      <w:r w:rsidRPr="00837B04">
        <w:rPr>
          <w:rFonts w:asciiTheme="majorBidi" w:hAnsiTheme="majorBidi" w:cstheme="majorBidi"/>
        </w:rPr>
        <w:tab/>
        <w:t>Ces essais s’appliquent seulement aux systèmes ABS s’ils sont montés</w:t>
      </w:r>
      <w:r w:rsidRPr="00837B04">
        <w:rPr>
          <w:rFonts w:asciiTheme="majorBidi" w:hAnsiTheme="majorBidi" w:cstheme="majorBidi"/>
          <w:b/>
          <w:bCs/>
        </w:rPr>
        <w:t xml:space="preserve"> </w:t>
      </w:r>
      <w:r w:rsidRPr="00837B04">
        <w:rPr>
          <w:rFonts w:asciiTheme="majorBidi" w:hAnsiTheme="majorBidi" w:cstheme="majorBidi"/>
        </w:rPr>
        <w:t>et activés ;</w:t>
      </w:r>
    </w:p>
    <w:p w14:paraId="39D2F25B" w14:textId="77777777" w:rsidR="00E30A62" w:rsidRPr="00837B04"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rPr>
        <w:t>…</w:t>
      </w:r>
    </w:p>
    <w:p w14:paraId="6CA8640C" w14:textId="77777777" w:rsidR="00E30A62" w:rsidRDefault="00E30A62" w:rsidP="00E30A62">
      <w:pPr>
        <w:pStyle w:val="SingleTxtG"/>
        <w:spacing w:line="240" w:lineRule="auto"/>
        <w:ind w:left="2835" w:hanging="567"/>
        <w:rPr>
          <w:rFonts w:asciiTheme="majorBidi" w:hAnsiTheme="majorBidi" w:cstheme="majorBidi"/>
        </w:rPr>
      </w:pPr>
      <w:r w:rsidRPr="00837B04">
        <w:rPr>
          <w:rFonts w:asciiTheme="majorBidi" w:hAnsiTheme="majorBidi" w:cstheme="majorBidi"/>
          <w:bCs/>
        </w:rPr>
        <w:t>e)</w:t>
      </w:r>
      <w:r w:rsidRPr="00837B04">
        <w:rPr>
          <w:rFonts w:asciiTheme="majorBidi" w:hAnsiTheme="majorBidi" w:cstheme="majorBidi"/>
          <w:bCs/>
        </w:rPr>
        <w:tab/>
        <w:t>Les véhicules équipés de modes ABS sélectionnables par le conducteur (par exemple, système ABS à deux canaux permettant la désactivation sur l’essieu arrière) doivent satisfaire aux prescriptions techniques du présent paragraphe dans tous les modes où l’ABS est actif.</w:t>
      </w:r>
      <w:r w:rsidRPr="00837B04">
        <w:rPr>
          <w:rFonts w:asciiTheme="majorBidi" w:hAnsiTheme="majorBidi" w:cstheme="majorBidi"/>
        </w:rPr>
        <w:t> ».</w:t>
      </w:r>
    </w:p>
    <w:p w14:paraId="13131C25" w14:textId="77777777" w:rsidR="00E30A62" w:rsidRPr="00E30A62" w:rsidRDefault="00E30A62" w:rsidP="00E30A62">
      <w:pPr>
        <w:pStyle w:val="SingleTxtG"/>
        <w:spacing w:before="240" w:after="0"/>
        <w:jc w:val="center"/>
        <w:rPr>
          <w:u w:val="single"/>
        </w:rPr>
      </w:pPr>
      <w:r>
        <w:rPr>
          <w:u w:val="single"/>
        </w:rPr>
        <w:tab/>
      </w:r>
      <w:r>
        <w:rPr>
          <w:u w:val="single"/>
        </w:rPr>
        <w:tab/>
      </w:r>
      <w:r>
        <w:rPr>
          <w:u w:val="single"/>
        </w:rPr>
        <w:tab/>
      </w:r>
      <w:r>
        <w:rPr>
          <w:u w:val="single"/>
        </w:rPr>
        <w:tab/>
      </w:r>
    </w:p>
    <w:sectPr w:rsidR="00E30A62" w:rsidRPr="00E30A62" w:rsidSect="00E30A62">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F96D" w14:textId="77777777" w:rsidR="00D93223" w:rsidRDefault="00D93223"/>
  </w:endnote>
  <w:endnote w:type="continuationSeparator" w:id="0">
    <w:p w14:paraId="402E6E81" w14:textId="77777777" w:rsidR="00D93223" w:rsidRDefault="00D93223">
      <w:pPr>
        <w:pStyle w:val="Pieddepage"/>
      </w:pPr>
    </w:p>
  </w:endnote>
  <w:endnote w:type="continuationNotice" w:id="1">
    <w:p w14:paraId="7BE38D36" w14:textId="77777777" w:rsidR="00D93223" w:rsidRPr="00C451B9" w:rsidRDefault="00D9322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CAED" w14:textId="77777777" w:rsidR="00E30A62" w:rsidRPr="00E30A62" w:rsidRDefault="00E30A62" w:rsidP="00E30A62">
    <w:pPr>
      <w:pStyle w:val="Pieddepage"/>
      <w:tabs>
        <w:tab w:val="right" w:pos="9638"/>
      </w:tabs>
    </w:pPr>
    <w:r w:rsidRPr="00E30A62">
      <w:rPr>
        <w:b/>
        <w:sz w:val="18"/>
      </w:rPr>
      <w:fldChar w:fldCharType="begin"/>
    </w:r>
    <w:r w:rsidRPr="00E30A62">
      <w:rPr>
        <w:b/>
        <w:sz w:val="18"/>
      </w:rPr>
      <w:instrText xml:space="preserve"> PAGE  \* MERGEFORMAT </w:instrText>
    </w:r>
    <w:r w:rsidRPr="00E30A62">
      <w:rPr>
        <w:b/>
        <w:sz w:val="18"/>
      </w:rPr>
      <w:fldChar w:fldCharType="separate"/>
    </w:r>
    <w:r w:rsidRPr="00E30A62">
      <w:rPr>
        <w:b/>
        <w:noProof/>
        <w:sz w:val="18"/>
      </w:rPr>
      <w:t>2</w:t>
    </w:r>
    <w:r w:rsidRPr="00E30A62">
      <w:rPr>
        <w:b/>
        <w:sz w:val="18"/>
      </w:rPr>
      <w:fldChar w:fldCharType="end"/>
    </w:r>
    <w:r>
      <w:rPr>
        <w:b/>
        <w:sz w:val="18"/>
      </w:rPr>
      <w:tab/>
    </w:r>
    <w:r>
      <w:t>GE.21-01314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1A7B" w14:textId="77777777" w:rsidR="00E30A62" w:rsidRPr="00E30A62" w:rsidRDefault="00E30A62" w:rsidP="00E30A62">
    <w:pPr>
      <w:pStyle w:val="Pieddepage"/>
      <w:tabs>
        <w:tab w:val="right" w:pos="9638"/>
      </w:tabs>
      <w:rPr>
        <w:b/>
        <w:sz w:val="18"/>
      </w:rPr>
    </w:pPr>
    <w:r>
      <w:t>GE.21-01314</w:t>
    </w:r>
    <w:r>
      <w:tab/>
    </w:r>
    <w:r w:rsidRPr="00E30A62">
      <w:rPr>
        <w:b/>
        <w:sz w:val="18"/>
      </w:rPr>
      <w:fldChar w:fldCharType="begin"/>
    </w:r>
    <w:r w:rsidRPr="00E30A62">
      <w:rPr>
        <w:b/>
        <w:sz w:val="18"/>
      </w:rPr>
      <w:instrText xml:space="preserve"> PAGE  \* MERGEFORMAT </w:instrText>
    </w:r>
    <w:r w:rsidRPr="00E30A62">
      <w:rPr>
        <w:b/>
        <w:sz w:val="18"/>
      </w:rPr>
      <w:fldChar w:fldCharType="separate"/>
    </w:r>
    <w:r w:rsidRPr="00E30A62">
      <w:rPr>
        <w:b/>
        <w:noProof/>
        <w:sz w:val="18"/>
      </w:rPr>
      <w:t>3</w:t>
    </w:r>
    <w:r w:rsidRPr="00E30A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4CBA" w14:textId="77777777" w:rsidR="00467F2C" w:rsidRPr="00E30A62" w:rsidRDefault="00E30A62" w:rsidP="00E30A62">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3493CEB" wp14:editId="7BB2B3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21-01314  (F)</w:t>
    </w:r>
    <w:r>
      <w:rPr>
        <w:noProof/>
        <w:sz w:val="20"/>
      </w:rPr>
      <w:drawing>
        <wp:anchor distT="0" distB="0" distL="114300" distR="114300" simplePos="0" relativeHeight="251660288" behindDoc="0" locked="0" layoutInCell="1" allowOverlap="1" wp14:anchorId="11909AD8" wp14:editId="73910DAF">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F540" w14:textId="77777777" w:rsidR="00D93223" w:rsidRPr="00D27D5E" w:rsidRDefault="00D93223" w:rsidP="00D27D5E">
      <w:pPr>
        <w:tabs>
          <w:tab w:val="right" w:pos="2155"/>
        </w:tabs>
        <w:spacing w:after="80"/>
        <w:ind w:left="680"/>
        <w:rPr>
          <w:u w:val="single"/>
        </w:rPr>
      </w:pPr>
      <w:r>
        <w:rPr>
          <w:u w:val="single"/>
        </w:rPr>
        <w:tab/>
      </w:r>
    </w:p>
  </w:footnote>
  <w:footnote w:type="continuationSeparator" w:id="0">
    <w:p w14:paraId="6899613D" w14:textId="77777777" w:rsidR="00D93223" w:rsidRPr="00D171D4" w:rsidRDefault="00D93223" w:rsidP="00D171D4">
      <w:pPr>
        <w:tabs>
          <w:tab w:val="right" w:pos="2155"/>
        </w:tabs>
        <w:spacing w:after="80"/>
        <w:ind w:left="680"/>
        <w:rPr>
          <w:u w:val="single"/>
        </w:rPr>
      </w:pPr>
      <w:r w:rsidRPr="00D171D4">
        <w:rPr>
          <w:u w:val="single"/>
        </w:rPr>
        <w:tab/>
      </w:r>
    </w:p>
  </w:footnote>
  <w:footnote w:type="continuationNotice" w:id="1">
    <w:p w14:paraId="74D05DC0" w14:textId="77777777" w:rsidR="00D93223" w:rsidRPr="00C451B9" w:rsidRDefault="00D93223" w:rsidP="00C451B9">
      <w:pPr>
        <w:spacing w:line="240" w:lineRule="auto"/>
        <w:rPr>
          <w:sz w:val="2"/>
          <w:szCs w:val="2"/>
        </w:rPr>
      </w:pPr>
    </w:p>
  </w:footnote>
  <w:footnote w:id="2">
    <w:p w14:paraId="55A636FB"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4982A4D" w14:textId="77777777" w:rsidR="00591072" w:rsidRPr="00591072" w:rsidRDefault="00591072" w:rsidP="00591072">
      <w:pPr>
        <w:pStyle w:val="Notedebasdepage"/>
      </w:pPr>
      <w:r w:rsidRPr="00E30A62">
        <w:tab/>
      </w:r>
      <w:r w:rsidRPr="00E30A6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C9BB420"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C59F589"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CF2D" w14:textId="2F76A075" w:rsidR="00E30A62" w:rsidRPr="00E30A62" w:rsidRDefault="00E30A62">
    <w:pPr>
      <w:pStyle w:val="En-tte"/>
      <w:rPr>
        <w:lang w:val="en-US"/>
      </w:rPr>
    </w:pPr>
    <w:r>
      <w:fldChar w:fldCharType="begin"/>
    </w:r>
    <w:r w:rsidRPr="00E30A62">
      <w:rPr>
        <w:lang w:val="en-US"/>
      </w:rPr>
      <w:instrText xml:space="preserve"> TITLE  \* MERGEFORMAT </w:instrText>
    </w:r>
    <w:r>
      <w:fldChar w:fldCharType="separate"/>
    </w:r>
    <w:r w:rsidR="005B4F63">
      <w:rPr>
        <w:lang w:val="en-US"/>
      </w:rPr>
      <w:t>E/ECE/324/Rev.1/Add.77/Rev.2/Amend.2</w:t>
    </w:r>
    <w:r>
      <w:fldChar w:fldCharType="end"/>
    </w:r>
    <w:r w:rsidRPr="00E30A62">
      <w:rPr>
        <w:lang w:val="en-US"/>
      </w:rPr>
      <w:br/>
    </w:r>
    <w:r>
      <w:fldChar w:fldCharType="begin"/>
    </w:r>
    <w:r w:rsidRPr="00E30A62">
      <w:rPr>
        <w:lang w:val="en-US"/>
      </w:rPr>
      <w:instrText xml:space="preserve"> KEYWORDS  \* MERGEFORMAT </w:instrText>
    </w:r>
    <w:r>
      <w:fldChar w:fldCharType="separate"/>
    </w:r>
    <w:r w:rsidR="005B4F63">
      <w:rPr>
        <w:lang w:val="en-US"/>
      </w:rPr>
      <w:t>E/ECE/TRANS/505/Rev.1/Add.77/Rev.2/Amend.2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9AA0" w14:textId="4E362129" w:rsidR="00E30A62" w:rsidRPr="00E30A62" w:rsidRDefault="00E30A62" w:rsidP="00E30A62">
    <w:pPr>
      <w:pStyle w:val="En-tte"/>
      <w:jc w:val="right"/>
      <w:rPr>
        <w:lang w:val="en-US"/>
      </w:rPr>
    </w:pPr>
    <w:r>
      <w:fldChar w:fldCharType="begin"/>
    </w:r>
    <w:r w:rsidRPr="00E30A62">
      <w:rPr>
        <w:lang w:val="en-US"/>
      </w:rPr>
      <w:instrText xml:space="preserve"> TITLE  \* MERGEFORMAT </w:instrText>
    </w:r>
    <w:r>
      <w:fldChar w:fldCharType="separate"/>
    </w:r>
    <w:r w:rsidR="005B4F63">
      <w:rPr>
        <w:lang w:val="en-US"/>
      </w:rPr>
      <w:t>E/ECE/324/Rev.1/Add.77/Rev.2/Amend.2</w:t>
    </w:r>
    <w:r>
      <w:fldChar w:fldCharType="end"/>
    </w:r>
    <w:r w:rsidRPr="00E30A62">
      <w:rPr>
        <w:lang w:val="en-US"/>
      </w:rPr>
      <w:br/>
    </w:r>
    <w:r>
      <w:fldChar w:fldCharType="begin"/>
    </w:r>
    <w:r w:rsidRPr="00E30A62">
      <w:rPr>
        <w:lang w:val="en-US"/>
      </w:rPr>
      <w:instrText xml:space="preserve"> KEYWORDS  \* MERGEFORMAT </w:instrText>
    </w:r>
    <w:r>
      <w:fldChar w:fldCharType="separate"/>
    </w:r>
    <w:r w:rsidR="005B4F63">
      <w:rPr>
        <w:lang w:val="en-US"/>
      </w:rPr>
      <w:t>E/ECE/TRANS/505/Rev.1/Add.77/Rev.2/Amend.2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2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05D4"/>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2215"/>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B4F63"/>
    <w:rsid w:val="005C549A"/>
    <w:rsid w:val="005D0035"/>
    <w:rsid w:val="005D7719"/>
    <w:rsid w:val="005E1B9B"/>
    <w:rsid w:val="005E32D1"/>
    <w:rsid w:val="005E5D1F"/>
    <w:rsid w:val="005F0207"/>
    <w:rsid w:val="005F5C1F"/>
    <w:rsid w:val="006006AB"/>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248"/>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223"/>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0A62"/>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532286"/>
  <w15:docId w15:val="{9222BF9F-B9CE-4578-BA77-C901671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E30A62"/>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AE1E1-0624-4D96-8B23-344064EF25BD}"/>
</file>

<file path=customXml/itemProps2.xml><?xml version="1.0" encoding="utf-8"?>
<ds:datastoreItem xmlns:ds="http://schemas.openxmlformats.org/officeDocument/2006/customXml" ds:itemID="{68FA0DD4-ED22-4418-9A73-78090B02115D}"/>
</file>

<file path=customXml/itemProps3.xml><?xml version="1.0" encoding="utf-8"?>
<ds:datastoreItem xmlns:ds="http://schemas.openxmlformats.org/officeDocument/2006/customXml" ds:itemID="{D4A4C7C8-46B8-4544-8725-CE3327B68C6D}"/>
</file>

<file path=docProps/app.xml><?xml version="1.0" encoding="utf-8"?>
<Properties xmlns="http://schemas.openxmlformats.org/officeDocument/2006/extended-properties" xmlns:vt="http://schemas.openxmlformats.org/officeDocument/2006/docPropsVTypes">
  <Template>E_ECE_324.dotm</Template>
  <TotalTime>1</TotalTime>
  <Pages>5</Pages>
  <Words>1260</Words>
  <Characters>8193</Characters>
  <Application>Microsoft Office Word</Application>
  <DocSecurity>0</DocSecurity>
  <Lines>819</Lines>
  <Paragraphs>556</Paragraphs>
  <ScaleCrop>false</ScaleCrop>
  <HeadingPairs>
    <vt:vector size="2" baseType="variant">
      <vt:variant>
        <vt:lpstr>Titre</vt:lpstr>
      </vt:variant>
      <vt:variant>
        <vt:i4>1</vt:i4>
      </vt:variant>
    </vt:vector>
  </HeadingPairs>
  <TitlesOfParts>
    <vt:vector size="1" baseType="lpstr">
      <vt:lpstr>E/ECE/324/Rev.1/Add.77/Rev.2/Amend.2</vt:lpstr>
    </vt:vector>
  </TitlesOfParts>
  <Company>CSD</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E/ECE/324/Rev.1/Add.77/Rev.2/Amend.2</dc:title>
  <dc:creator>Christine CHAUTAGNAT</dc:creator>
  <cp:keywords>E/ECE/TRANS/505/Rev.1/Add.77/Rev.2/Amend.2</cp:keywords>
  <cp:lastModifiedBy>Christine Chautagnat</cp:lastModifiedBy>
  <cp:revision>3</cp:revision>
  <cp:lastPrinted>2021-03-30T15:18:00Z</cp:lastPrinted>
  <dcterms:created xsi:type="dcterms:W3CDTF">2021-03-30T15:18:00Z</dcterms:created>
  <dcterms:modified xsi:type="dcterms:W3CDTF">2021-03-30T15:19:00Z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