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C332F0" w:rsidRPr="00DB58B5" w:rsidRDefault="00C332F0" w:rsidP="00C332F0">
            <w:pPr>
              <w:jc w:val="right"/>
            </w:pPr>
            <w:r w:rsidRPr="00C332F0">
              <w:rPr>
                <w:sz w:val="40"/>
              </w:rPr>
              <w:t>E</w:t>
            </w:r>
            <w:r>
              <w:t>/ECE/324/Rev.1/Add.89/Rev.3/Amend.6−</w:t>
            </w:r>
            <w:r w:rsidRPr="00C332F0">
              <w:rPr>
                <w:sz w:val="40"/>
              </w:rPr>
              <w:t>E</w:t>
            </w:r>
            <w:r>
              <w:t>/ECE/TRANS/505/Rev.1/Add.89/Rev.3/Amend.6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521C0D" w:rsidP="00A27C92">
            <w:pPr>
              <w:spacing w:before="480" w:line="240" w:lineRule="exact"/>
            </w:pPr>
            <w:r>
              <w:t>2 novembre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521C0D">
        <w:t xml:space="preserve">de </w:t>
      </w:r>
      <w:r w:rsidR="00521C0D" w:rsidRPr="009F02C1">
        <w:rPr>
          <w:lang w:val="fr-FR"/>
        </w:rPr>
        <w:t>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521C0D">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21C0D" w:rsidRPr="009F02C1">
        <w:rPr>
          <w:lang w:val="fr-FR"/>
        </w:rPr>
        <w:t>3, comprenant les amendements entrés en vigueur le 14</w:t>
      </w:r>
      <w:r w:rsidR="00521C0D">
        <w:rPr>
          <w:lang w:val="fr-FR"/>
        </w:rPr>
        <w:t> </w:t>
      </w:r>
      <w:r w:rsidR="00521C0D">
        <w:rPr>
          <w:lang w:val="fr-FR"/>
        </w:rPr>
        <w:t xml:space="preserve">septembre </w:t>
      </w:r>
      <w:r w:rsidR="00521C0D" w:rsidRPr="009F02C1">
        <w:rPr>
          <w:lang w:val="fr-FR"/>
        </w:rPr>
        <w:t>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21C0D">
        <w:t xml:space="preserve">89 −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521C0D">
        <w:t>90</w:t>
      </w:r>
    </w:p>
    <w:p w:rsidR="00421A10" w:rsidRPr="006549FF" w:rsidRDefault="0029791D" w:rsidP="0029791D">
      <w:pPr>
        <w:pStyle w:val="H1G"/>
      </w:pPr>
      <w:r>
        <w:tab/>
      </w:r>
      <w:r>
        <w:tab/>
      </w:r>
      <w:r w:rsidR="00421A10" w:rsidRPr="006549FF">
        <w:t xml:space="preserve">Révision </w:t>
      </w:r>
      <w:r w:rsidR="00521C0D">
        <w:rPr>
          <w:lang w:val="fr-FR"/>
        </w:rPr>
        <w:t>3</w:t>
      </w:r>
      <w:r w:rsidR="00521C0D" w:rsidRPr="00F93FCA">
        <w:rPr>
          <w:lang w:val="fr-FR"/>
        </w:rPr>
        <w:t xml:space="preserve"> </w:t>
      </w:r>
      <w:r w:rsidR="00521C0D">
        <w:rPr>
          <w:lang w:val="fr-FR"/>
        </w:rPr>
        <w:t>−</w:t>
      </w:r>
      <w:r w:rsidR="00521C0D" w:rsidRPr="00F93FCA">
        <w:rPr>
          <w:lang w:val="fr-FR"/>
        </w:rPr>
        <w:t xml:space="preserve"> Amendement </w:t>
      </w:r>
      <w:r w:rsidR="00521C0D">
        <w:rPr>
          <w:lang w:val="fr-FR"/>
        </w:rPr>
        <w:t>6</w:t>
      </w:r>
    </w:p>
    <w:p w:rsidR="00421A10" w:rsidRPr="0029791D" w:rsidRDefault="00521C0D" w:rsidP="00521C0D">
      <w:pPr>
        <w:pStyle w:val="SingleTxtG"/>
        <w:spacing w:after="0"/>
      </w:pPr>
      <w:r w:rsidRPr="00521C0D">
        <w:rPr>
          <w:lang w:val="fr-FR"/>
        </w:rPr>
        <w:t xml:space="preserve">Complément 6 à la série 02 d’amendements </w:t>
      </w:r>
      <w:r>
        <w:rPr>
          <w:lang w:val="fr-FR"/>
        </w:rPr>
        <w:t>−</w:t>
      </w:r>
      <w:r w:rsidRPr="00521C0D">
        <w:rPr>
          <w:lang w:val="fr-FR"/>
        </w:rPr>
        <w:t xml:space="preserve"> Date d’entrée en vigueur : 25</w:t>
      </w:r>
      <w:r>
        <w:rPr>
          <w:lang w:val="fr-FR"/>
        </w:rPr>
        <w:t> </w:t>
      </w:r>
      <w:r w:rsidRPr="00521C0D">
        <w:rPr>
          <w:lang w:val="fr-FR"/>
        </w:rPr>
        <w:t>septembre 2020</w:t>
      </w:r>
    </w:p>
    <w:p w:rsidR="00421A10" w:rsidRDefault="0029791D" w:rsidP="0029791D">
      <w:pPr>
        <w:pStyle w:val="H1G"/>
      </w:pPr>
      <w:r>
        <w:tab/>
      </w:r>
      <w:r>
        <w:tab/>
      </w:r>
      <w:r w:rsidR="00421A10" w:rsidRPr="007619D3">
        <w:t xml:space="preserve">Prescriptions uniformes relatives </w:t>
      </w:r>
      <w:r w:rsidR="00521C0D" w:rsidRPr="00D005B1">
        <w:t>à l’homologation des plaquettes de frein de rechange, des garnitures de frein à tambour de rechange et des disques et tambours de rechange pour les véhicules à moteur et leurs remorques</w:t>
      </w:r>
    </w:p>
    <w:p w:rsidR="00C332F0" w:rsidRDefault="00521C0D" w:rsidP="00521C0D">
      <w:pPr>
        <w:pStyle w:val="SingleTxtG"/>
        <w:ind w:firstLine="567"/>
      </w:pPr>
      <w:r w:rsidRPr="00F93FCA">
        <w:rPr>
          <w:spacing w:val="-4"/>
          <w:lang w:val="fr-FR" w:eastAsia="en-GB"/>
        </w:rPr>
        <w:t xml:space="preserve">Le présent document est communiqué uniquement à titre d’information. </w:t>
      </w:r>
      <w:r w:rsidRPr="001432BD">
        <w:rPr>
          <w:spacing w:val="-4"/>
          <w:lang w:val="fr-FR" w:eastAsia="en-GB"/>
        </w:rPr>
        <w:t xml:space="preserve">Le texte authentique, juridiquement contraignant, est celui du </w:t>
      </w:r>
      <w:r w:rsidRPr="00A13805">
        <w:rPr>
          <w:spacing w:val="-4"/>
          <w:lang w:val="fr-FR" w:eastAsia="en-GB"/>
        </w:rPr>
        <w:t>document</w:t>
      </w:r>
      <w:r w:rsidRPr="00A13805">
        <w:rPr>
          <w:lang w:val="fr-FR" w:eastAsia="en-GB"/>
        </w:rPr>
        <w:t xml:space="preserve"> </w:t>
      </w:r>
      <w:r w:rsidRPr="00D005B1">
        <w:rPr>
          <w:spacing w:val="-6"/>
          <w:lang w:eastAsia="en-GB"/>
        </w:rPr>
        <w:t>ECE/TRANS/WP.29/2020/8.</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21C0D" w:rsidRDefault="00521C0D">
      <w:pPr>
        <w:suppressAutoHyphens w:val="0"/>
        <w:kinsoku/>
        <w:overflowPunct/>
        <w:autoSpaceDE/>
        <w:autoSpaceDN/>
        <w:adjustRightInd/>
        <w:snapToGrid/>
        <w:spacing w:line="240" w:lineRule="auto"/>
      </w:pPr>
      <w:r>
        <w:br w:type="page"/>
      </w:r>
    </w:p>
    <w:p w:rsidR="00521C0D" w:rsidRPr="00A328FF" w:rsidRDefault="00521C0D" w:rsidP="00521C0D">
      <w:pPr>
        <w:pStyle w:val="SingleTxtG"/>
        <w:rPr>
          <w:lang w:val="fr-FR"/>
        </w:rPr>
      </w:pPr>
      <w:r w:rsidRPr="0059017E">
        <w:rPr>
          <w:i/>
          <w:iCs/>
          <w:lang w:val="fr-FR"/>
        </w:rPr>
        <w:lastRenderedPageBreak/>
        <w:t>Paragraphes 2.1.4 et 2.1.5</w:t>
      </w:r>
      <w:r w:rsidR="0059017E">
        <w:rPr>
          <w:lang w:val="fr-FR"/>
        </w:rPr>
        <w:t xml:space="preserve">, </w:t>
      </w:r>
      <w:r>
        <w:rPr>
          <w:lang w:val="fr-FR"/>
        </w:rPr>
        <w:t>lire</w:t>
      </w:r>
      <w:r w:rsidRPr="00A328FF">
        <w:rPr>
          <w:lang w:val="fr-FR"/>
        </w:rPr>
        <w:t> :</w:t>
      </w:r>
    </w:p>
    <w:p w:rsidR="00521C0D" w:rsidRPr="00214F63" w:rsidRDefault="00521C0D" w:rsidP="00521C0D">
      <w:pPr>
        <w:pStyle w:val="SingleTxtG"/>
        <w:tabs>
          <w:tab w:val="left" w:pos="2268"/>
        </w:tabs>
        <w:ind w:left="2268" w:hanging="1134"/>
        <w:rPr>
          <w:bCs/>
          <w:szCs w:val="24"/>
          <w:lang w:val="fr-FR"/>
        </w:rPr>
      </w:pPr>
      <w:r w:rsidRPr="00214F63">
        <w:rPr>
          <w:szCs w:val="24"/>
          <w:lang w:val="fr-FR"/>
        </w:rPr>
        <w:t>« </w:t>
      </w:r>
      <w:r w:rsidRPr="0054548D">
        <w:rPr>
          <w:szCs w:val="24"/>
          <w:lang w:val="fr-FR"/>
        </w:rPr>
        <w:t>2.1.4</w:t>
      </w:r>
      <w:r w:rsidRPr="0054548D">
        <w:rPr>
          <w:szCs w:val="24"/>
          <w:lang w:val="fr-FR"/>
        </w:rPr>
        <w:tab/>
      </w:r>
      <w:r w:rsidRPr="00D005B1">
        <w:t>“</w:t>
      </w:r>
      <w:r w:rsidRPr="0054548D">
        <w:rPr>
          <w:bCs/>
          <w:i/>
          <w:iCs/>
          <w:szCs w:val="24"/>
          <w:lang w:val="fr-FR"/>
        </w:rPr>
        <w:t>Code d’homologation</w:t>
      </w:r>
      <w:r w:rsidRPr="00D005B1">
        <w:t>”</w:t>
      </w:r>
      <w:r w:rsidRPr="0054548D">
        <w:rPr>
          <w:bCs/>
          <w:szCs w:val="24"/>
          <w:lang w:val="fr-FR"/>
        </w:rPr>
        <w:t>, une série de chiffres attribuée par une Partie contractante à un produit, selon le format prévu au paragraphe 4.2, à l’issue de la procédure d’homologation prévue dans le présent Règlement</w:t>
      </w:r>
      <w:r w:rsidRPr="0054548D">
        <w:rPr>
          <w:szCs w:val="24"/>
          <w:lang w:val="fr-FR"/>
        </w:rPr>
        <w:t xml:space="preserve">, et utilisée comme </w:t>
      </w:r>
      <w:r w:rsidRPr="0054548D">
        <w:rPr>
          <w:iCs/>
          <w:szCs w:val="24"/>
          <w:lang w:val="fr-FR"/>
        </w:rPr>
        <w:t xml:space="preserve">marque d’homologation </w:t>
      </w:r>
      <w:r w:rsidRPr="0054548D">
        <w:rPr>
          <w:szCs w:val="24"/>
          <w:lang w:val="fr-FR"/>
        </w:rPr>
        <w:t>sur ce produit.</w:t>
      </w:r>
    </w:p>
    <w:p w:rsidR="00521C0D" w:rsidRDefault="00521C0D" w:rsidP="00521C0D">
      <w:pPr>
        <w:pStyle w:val="SingleTxtG"/>
        <w:ind w:left="2268" w:hanging="1134"/>
        <w:rPr>
          <w:bCs/>
          <w:szCs w:val="24"/>
          <w:lang w:val="fr-FR"/>
        </w:rPr>
      </w:pPr>
      <w:r w:rsidRPr="0054548D">
        <w:rPr>
          <w:szCs w:val="24"/>
          <w:lang w:val="fr-FR"/>
        </w:rPr>
        <w:t>2.1.5</w:t>
      </w:r>
      <w:r w:rsidRPr="0054548D">
        <w:rPr>
          <w:szCs w:val="24"/>
          <w:lang w:val="fr-FR"/>
        </w:rPr>
        <w:tab/>
      </w:r>
      <w:r w:rsidRPr="00D005B1">
        <w:t>“</w:t>
      </w:r>
      <w:r w:rsidRPr="0054548D">
        <w:rPr>
          <w:i/>
          <w:iCs/>
          <w:szCs w:val="24"/>
          <w:lang w:val="fr-FR"/>
        </w:rPr>
        <w:t>Numéro d’homologation</w:t>
      </w:r>
      <w:r w:rsidRPr="00D005B1">
        <w:t>”</w:t>
      </w:r>
      <w:r w:rsidRPr="0054548D">
        <w:rPr>
          <w:szCs w:val="24"/>
          <w:lang w:val="fr-FR"/>
        </w:rPr>
        <w:t xml:space="preserve">, un numéro attribué par une </w:t>
      </w:r>
      <w:r w:rsidRPr="0054548D">
        <w:rPr>
          <w:iCs/>
          <w:szCs w:val="24"/>
          <w:lang w:val="fr-FR"/>
        </w:rPr>
        <w:t xml:space="preserve">Partie contractante </w:t>
      </w:r>
      <w:r w:rsidRPr="0054548D">
        <w:rPr>
          <w:szCs w:val="24"/>
          <w:lang w:val="fr-FR"/>
        </w:rPr>
        <w:t xml:space="preserve">pour un code d’homologation, selon le format prévu à l’annexe 4 de la Révision 3 de l’Accord de 1958 relative à la numérotation, qui n’est apposé </w:t>
      </w:r>
      <w:r w:rsidRPr="0054548D">
        <w:rPr>
          <w:bCs/>
          <w:szCs w:val="24"/>
          <w:lang w:val="fr-FR"/>
        </w:rPr>
        <w:t>ni sur le produit lui-même ni sur une étiquette fixée sur ce produit ou son emballage. »</w:t>
      </w:r>
      <w:r w:rsidR="0059017E">
        <w:rPr>
          <w:bCs/>
          <w:szCs w:val="24"/>
          <w:lang w:val="fr-FR"/>
        </w:rPr>
        <w:t>.</w:t>
      </w:r>
    </w:p>
    <w:p w:rsidR="00521C0D" w:rsidRPr="0054548D" w:rsidRDefault="00521C0D" w:rsidP="00521C0D">
      <w:pPr>
        <w:pStyle w:val="SingleTxtG"/>
        <w:ind w:left="2268" w:hanging="1134"/>
        <w:rPr>
          <w:bCs/>
          <w:szCs w:val="24"/>
          <w:lang w:val="fr-FR"/>
        </w:rPr>
      </w:pPr>
      <w:r w:rsidRPr="00E734F8">
        <w:rPr>
          <w:rFonts w:cs="Calibri"/>
          <w:i/>
          <w:iCs/>
        </w:rPr>
        <w:t>Paragraphe</w:t>
      </w:r>
      <w:r w:rsidRPr="00E734F8">
        <w:rPr>
          <w:rFonts w:cs="Calibri"/>
        </w:rPr>
        <w:t xml:space="preserve"> </w:t>
      </w:r>
      <w:r w:rsidRPr="00E734F8">
        <w:rPr>
          <w:rFonts w:asciiTheme="majorBidi" w:hAnsiTheme="majorBidi" w:cstheme="majorBidi"/>
          <w:i/>
          <w:iCs/>
        </w:rPr>
        <w:t>2.3.3.4.1</w:t>
      </w:r>
      <w:r w:rsidRPr="0059017E">
        <w:rPr>
          <w:rFonts w:asciiTheme="majorBidi" w:hAnsiTheme="majorBidi" w:cstheme="majorBidi"/>
        </w:rPr>
        <w:t>,</w:t>
      </w:r>
      <w:r w:rsidRPr="00E734F8">
        <w:rPr>
          <w:rFonts w:asciiTheme="majorBidi" w:hAnsiTheme="majorBidi" w:cstheme="majorBidi"/>
          <w:i/>
          <w:iCs/>
        </w:rPr>
        <w:t xml:space="preserve"> </w:t>
      </w:r>
      <w:r w:rsidRPr="00E734F8">
        <w:rPr>
          <w:rFonts w:asciiTheme="majorBidi" w:hAnsiTheme="majorBidi" w:cstheme="majorBidi"/>
        </w:rPr>
        <w:t>lire</w:t>
      </w:r>
      <w:r w:rsidR="0059017E">
        <w:rPr>
          <w:rFonts w:asciiTheme="majorBidi" w:hAnsiTheme="majorBidi" w:cstheme="majorBidi"/>
        </w:rPr>
        <w:t> </w:t>
      </w:r>
      <w:r w:rsidRPr="00E734F8">
        <w:rPr>
          <w:rFonts w:asciiTheme="majorBidi" w:hAnsiTheme="majorBidi" w:cstheme="majorBidi"/>
        </w:rPr>
        <w:t>:</w:t>
      </w:r>
    </w:p>
    <w:p w:rsidR="00521C0D" w:rsidRDefault="00521C0D" w:rsidP="00521C0D">
      <w:pPr>
        <w:pStyle w:val="SingleTxtG"/>
        <w:ind w:left="2268" w:hanging="1134"/>
        <w:rPr>
          <w:bCs/>
          <w:szCs w:val="24"/>
          <w:lang w:val="fr-FR"/>
        </w:rPr>
      </w:pPr>
      <w:r w:rsidRPr="00214F63">
        <w:rPr>
          <w:szCs w:val="24"/>
          <w:lang w:val="fr-FR"/>
        </w:rPr>
        <w:t>« </w:t>
      </w:r>
      <w:r w:rsidRPr="0054548D">
        <w:rPr>
          <w:bCs/>
          <w:szCs w:val="24"/>
          <w:lang w:val="fr-FR"/>
        </w:rPr>
        <w:t>2.3.3.4.1</w:t>
      </w:r>
      <w:r w:rsidRPr="0054548D">
        <w:rPr>
          <w:bCs/>
          <w:szCs w:val="24"/>
          <w:lang w:val="fr-FR"/>
        </w:rPr>
        <w:tab/>
        <w:t>“</w:t>
      </w:r>
      <w:r w:rsidRPr="0054548D">
        <w:rPr>
          <w:bCs/>
          <w:i/>
          <w:szCs w:val="24"/>
          <w:lang w:val="fr-FR"/>
        </w:rPr>
        <w:t>Disque de frein équivalent pour les véhicules des catégories M, N et O</w:t>
      </w:r>
      <w:r w:rsidRPr="0054548D">
        <w:rPr>
          <w:bCs/>
          <w:szCs w:val="24"/>
          <w:lang w:val="fr-FR"/>
        </w:rPr>
        <w:t>”, un disque de frein de rechange qui est identique au disque de frein d’origine en ce qui concerne les dimensions, les caractéristiques géométriques, les tolérances et la configuration de base, et qui est aussi produit à partir du même sous-groupe de matériaux que le disque de frein d’origine tel que défini au paragraphe 5.3.3.2. »</w:t>
      </w:r>
      <w:r w:rsidR="0059017E">
        <w:rPr>
          <w:bCs/>
          <w:szCs w:val="24"/>
          <w:lang w:val="fr-FR"/>
        </w:rPr>
        <w:t>.</w:t>
      </w:r>
    </w:p>
    <w:p w:rsidR="00521C0D" w:rsidRPr="0054548D" w:rsidRDefault="00521C0D" w:rsidP="00521C0D">
      <w:pPr>
        <w:pStyle w:val="SingleTxtG"/>
        <w:ind w:left="2268" w:hanging="1134"/>
        <w:rPr>
          <w:bCs/>
          <w:szCs w:val="24"/>
          <w:lang w:val="fr-FR"/>
        </w:rPr>
      </w:pPr>
      <w:r w:rsidRPr="00E734F8">
        <w:rPr>
          <w:rFonts w:asciiTheme="majorBidi" w:hAnsiTheme="majorBidi" w:cstheme="majorBidi"/>
          <w:i/>
          <w:iCs/>
        </w:rPr>
        <w:t>Paragraphe</w:t>
      </w:r>
      <w:r w:rsidRPr="00E734F8">
        <w:rPr>
          <w:rFonts w:asciiTheme="majorBidi" w:hAnsiTheme="majorBidi" w:cstheme="majorBidi"/>
        </w:rPr>
        <w:t xml:space="preserve"> </w:t>
      </w:r>
      <w:r w:rsidRPr="00E734F8">
        <w:rPr>
          <w:rFonts w:asciiTheme="majorBidi" w:hAnsiTheme="majorBidi" w:cstheme="majorBidi"/>
          <w:i/>
          <w:iCs/>
        </w:rPr>
        <w:t>2.3.14</w:t>
      </w:r>
      <w:r w:rsidRPr="00E734F8">
        <w:rPr>
          <w:rFonts w:asciiTheme="majorBidi" w:hAnsiTheme="majorBidi" w:cstheme="majorBidi"/>
        </w:rPr>
        <w:t>, lire</w:t>
      </w:r>
      <w:r w:rsidR="0059017E">
        <w:rPr>
          <w:rFonts w:asciiTheme="majorBidi" w:hAnsiTheme="majorBidi" w:cstheme="majorBidi"/>
        </w:rPr>
        <w:t> </w:t>
      </w:r>
      <w:r w:rsidRPr="00E734F8">
        <w:rPr>
          <w:rFonts w:asciiTheme="majorBidi" w:hAnsiTheme="majorBidi" w:cstheme="majorBidi"/>
        </w:rPr>
        <w:t>:</w:t>
      </w:r>
    </w:p>
    <w:p w:rsidR="00521C0D" w:rsidRPr="0054548D" w:rsidRDefault="00521C0D" w:rsidP="00521C0D">
      <w:pPr>
        <w:pStyle w:val="SingleTxtG"/>
        <w:ind w:left="2268" w:hanging="1134"/>
        <w:rPr>
          <w:bCs/>
          <w:szCs w:val="24"/>
          <w:lang w:val="fr-FR"/>
        </w:rPr>
      </w:pPr>
      <w:r w:rsidRPr="00214F63">
        <w:rPr>
          <w:szCs w:val="24"/>
          <w:lang w:val="fr-FR"/>
        </w:rPr>
        <w:t>« </w:t>
      </w:r>
      <w:r w:rsidRPr="0054548D">
        <w:rPr>
          <w:bCs/>
          <w:szCs w:val="24"/>
          <w:lang w:val="fr-FR"/>
        </w:rPr>
        <w:t>2.3.14</w:t>
      </w:r>
      <w:r w:rsidRPr="0054548D">
        <w:rPr>
          <w:bCs/>
          <w:szCs w:val="24"/>
          <w:lang w:val="fr-FR"/>
        </w:rPr>
        <w:tab/>
      </w:r>
      <w:r w:rsidRPr="00D005B1">
        <w:t>“</w:t>
      </w:r>
      <w:r w:rsidRPr="0054548D">
        <w:rPr>
          <w:bCs/>
          <w:i/>
          <w:szCs w:val="24"/>
          <w:lang w:val="fr-FR"/>
        </w:rPr>
        <w:t>Numéro d’identification du matériau de la garniture de frein</w:t>
      </w:r>
      <w:r w:rsidRPr="00D005B1">
        <w:t>”</w:t>
      </w:r>
      <w:r w:rsidRPr="0054548D">
        <w:rPr>
          <w:bCs/>
          <w:iCs/>
          <w:szCs w:val="24"/>
          <w:lang w:val="fr-FR"/>
        </w:rPr>
        <w:t xml:space="preserve">, un numéro renvoyant à la </w:t>
      </w:r>
      <w:r w:rsidRPr="0054548D">
        <w:rPr>
          <w:bCs/>
          <w:szCs w:val="24"/>
          <w:lang w:val="fr-FR"/>
        </w:rPr>
        <w:t>composition chimique d’une garniture de frein ou d’une garniture de frein assemblée de rechange. </w:t>
      </w:r>
      <w:r w:rsidRPr="00214F63">
        <w:rPr>
          <w:bCs/>
          <w:szCs w:val="24"/>
          <w:lang w:val="fr-FR"/>
        </w:rPr>
        <w:t>»</w:t>
      </w:r>
      <w:r w:rsidR="0059017E">
        <w:rPr>
          <w:bCs/>
          <w:szCs w:val="24"/>
          <w:lang w:val="fr-FR"/>
        </w:rPr>
        <w:t>.</w:t>
      </w:r>
    </w:p>
    <w:p w:rsidR="00521C0D" w:rsidRPr="00F16B23" w:rsidRDefault="00521C0D" w:rsidP="00521C0D">
      <w:pPr>
        <w:pStyle w:val="SingleTxtG"/>
        <w:rPr>
          <w:lang w:val="fr-FR"/>
        </w:rPr>
      </w:pPr>
      <w:r w:rsidRPr="00F16B23">
        <w:rPr>
          <w:i/>
          <w:iCs/>
          <w:lang w:val="fr-FR"/>
        </w:rPr>
        <w:t>Paragraphe</w:t>
      </w:r>
      <w:r>
        <w:rPr>
          <w:i/>
          <w:iCs/>
          <w:lang w:val="fr-FR"/>
        </w:rPr>
        <w:t> </w:t>
      </w:r>
      <w:r w:rsidRPr="00F16B23">
        <w:rPr>
          <w:i/>
          <w:iCs/>
          <w:lang w:val="fr-FR"/>
        </w:rPr>
        <w:t>4</w:t>
      </w:r>
      <w:r w:rsidRPr="00F16B23">
        <w:rPr>
          <w:iCs/>
          <w:lang w:val="fr-FR"/>
        </w:rPr>
        <w:t>, lire :</w:t>
      </w:r>
    </w:p>
    <w:p w:rsidR="00521C0D" w:rsidRPr="00D005B1" w:rsidRDefault="0059017E" w:rsidP="0059017E">
      <w:pPr>
        <w:pStyle w:val="HChG"/>
      </w:pPr>
      <w:r>
        <w:tab/>
      </w:r>
      <w:r>
        <w:tab/>
      </w:r>
      <w:r w:rsidR="00521C0D" w:rsidRPr="0059017E">
        <w:rPr>
          <w:b w:val="0"/>
          <w:bCs/>
          <w:sz w:val="20"/>
        </w:rPr>
        <w:t>« </w:t>
      </w:r>
      <w:r w:rsidR="00521C0D" w:rsidRPr="0054548D">
        <w:rPr>
          <w:lang w:val="fr-FR"/>
        </w:rPr>
        <w:t>4.</w:t>
      </w:r>
      <w:r w:rsidR="00521C0D" w:rsidRPr="0054548D">
        <w:rPr>
          <w:lang w:val="fr-FR"/>
        </w:rPr>
        <w:tab/>
      </w:r>
      <w:r w:rsidR="00521C0D" w:rsidRPr="0054548D">
        <w:rPr>
          <w:lang w:val="fr-FR"/>
        </w:rPr>
        <w:tab/>
        <w:t>Homologation</w:t>
      </w:r>
    </w:p>
    <w:p w:rsidR="00521C0D" w:rsidRPr="00F16B23" w:rsidRDefault="00521C0D" w:rsidP="00521C0D">
      <w:pPr>
        <w:pStyle w:val="SingleTxtG"/>
        <w:ind w:left="2268" w:hanging="1134"/>
        <w:rPr>
          <w:lang w:val="fr-FR"/>
        </w:rPr>
      </w:pPr>
      <w:r>
        <w:rPr>
          <w:lang w:val="fr-FR"/>
        </w:rPr>
        <w:tab/>
      </w:r>
      <w:r w:rsidRPr="00F16B23">
        <w:rPr>
          <w:lang w:val="fr-FR"/>
        </w:rPr>
        <w:t>…</w:t>
      </w:r>
    </w:p>
    <w:p w:rsidR="00521C0D" w:rsidRDefault="00521C0D" w:rsidP="00521C0D">
      <w:pPr>
        <w:pStyle w:val="SingleTxtG"/>
        <w:ind w:left="2268" w:hanging="1134"/>
        <w:rPr>
          <w:lang w:val="fr-FR"/>
        </w:rPr>
      </w:pPr>
      <w:r w:rsidRPr="00F16B23">
        <w:rPr>
          <w:lang w:val="fr-FR"/>
        </w:rPr>
        <w:t>4.2</w:t>
      </w:r>
      <w:r w:rsidRPr="00F16B23">
        <w:rPr>
          <w:lang w:val="fr-FR"/>
        </w:rPr>
        <w:tab/>
      </w:r>
      <w:r>
        <w:rPr>
          <w:lang w:val="fr-FR"/>
        </w:rPr>
        <w:tab/>
      </w:r>
      <w:r w:rsidRPr="00F16B23">
        <w:rPr>
          <w:lang w:val="fr-FR"/>
        </w:rPr>
        <w:t xml:space="preserve">Chaque </w:t>
      </w:r>
      <w:r w:rsidRPr="00F16B23">
        <w:rPr>
          <w:bCs/>
          <w:lang w:val="fr-FR"/>
        </w:rPr>
        <w:t>pièce de rechange</w:t>
      </w:r>
      <w:r w:rsidRPr="00F16B23">
        <w:rPr>
          <w:lang w:val="fr-FR"/>
        </w:rPr>
        <w:t xml:space="preserve"> homologuée reçoit</w:t>
      </w:r>
      <w:r w:rsidRPr="00F16B23">
        <w:rPr>
          <w:b/>
          <w:lang w:val="fr-FR"/>
        </w:rPr>
        <w:t xml:space="preserve"> </w:t>
      </w:r>
      <w:r w:rsidRPr="0054548D">
        <w:rPr>
          <w:lang w:val="fr-FR"/>
        </w:rPr>
        <w:t>un code et</w:t>
      </w:r>
      <w:r w:rsidRPr="00214F63">
        <w:rPr>
          <w:lang w:val="fr-FR"/>
        </w:rPr>
        <w:t xml:space="preserve"> un numéro d’</w:t>
      </w:r>
      <w:r w:rsidRPr="00452E0C">
        <w:rPr>
          <w:lang w:val="fr-FR"/>
        </w:rPr>
        <w:t>homologation</w:t>
      </w:r>
      <w:r w:rsidRPr="0054548D">
        <w:rPr>
          <w:lang w:val="fr-FR"/>
        </w:rPr>
        <w:t xml:space="preserve">, le format dudit numéro devant être attribué conformément aux dispositions de </w:t>
      </w:r>
      <w:r w:rsidRPr="0054548D">
        <w:rPr>
          <w:bCs/>
          <w:lang w:val="fr-FR"/>
        </w:rPr>
        <w:t xml:space="preserve">l’annexe 4 </w:t>
      </w:r>
      <w:r w:rsidRPr="0054548D">
        <w:rPr>
          <w:lang w:val="fr-FR"/>
        </w:rPr>
        <w:t xml:space="preserve">de la </w:t>
      </w:r>
      <w:r w:rsidRPr="0054548D">
        <w:rPr>
          <w:iCs/>
          <w:lang w:val="fr-FR"/>
        </w:rPr>
        <w:t>Révision 3 de l’Accord de 1958</w:t>
      </w:r>
      <w:r w:rsidRPr="0054548D">
        <w:rPr>
          <w:lang w:val="fr-FR"/>
        </w:rPr>
        <w:t>. Le code d’homologation</w:t>
      </w:r>
      <w:r w:rsidRPr="00214F63">
        <w:rPr>
          <w:lang w:val="fr-FR"/>
        </w:rPr>
        <w:t xml:space="preserve"> </w:t>
      </w:r>
      <w:r w:rsidRPr="0054548D">
        <w:rPr>
          <w:lang w:val="fr-FR"/>
        </w:rPr>
        <w:t>comprend</w:t>
      </w:r>
      <w:r w:rsidRPr="00F16B23">
        <w:rPr>
          <w:lang w:val="fr-FR"/>
        </w:rPr>
        <w:t xml:space="preserve"> quatre groupes de chiffres :</w:t>
      </w:r>
    </w:p>
    <w:p w:rsidR="00521C0D" w:rsidRPr="00F16B23" w:rsidRDefault="00521C0D" w:rsidP="00521C0D">
      <w:pPr>
        <w:pStyle w:val="SingleTxtG"/>
        <w:ind w:left="2268" w:hanging="1134"/>
        <w:rPr>
          <w:lang w:val="fr-FR"/>
        </w:rPr>
      </w:pPr>
      <w:r>
        <w:rPr>
          <w:lang w:val="fr-FR"/>
        </w:rPr>
        <w:tab/>
      </w:r>
      <w:r w:rsidRPr="00C03EBD">
        <w:rPr>
          <w:lang w:val="fr-FR"/>
        </w:rPr>
        <w:t>…</w:t>
      </w:r>
    </w:p>
    <w:p w:rsidR="00521C0D" w:rsidRPr="00F16B23" w:rsidRDefault="00521C0D" w:rsidP="00521C0D">
      <w:pPr>
        <w:pStyle w:val="SingleTxtG"/>
        <w:ind w:left="2268" w:hanging="1134"/>
        <w:rPr>
          <w:lang w:val="fr-FR"/>
        </w:rPr>
      </w:pPr>
      <w:r w:rsidRPr="00F16B23">
        <w:rPr>
          <w:lang w:val="fr-FR"/>
        </w:rPr>
        <w:t>4.2.3</w:t>
      </w:r>
      <w:r w:rsidRPr="00F16B23">
        <w:rPr>
          <w:lang w:val="fr-FR"/>
        </w:rPr>
        <w:tab/>
      </w:r>
      <w:r w:rsidRPr="00452E0C">
        <w:rPr>
          <w:lang w:val="fr-FR"/>
        </w:rPr>
        <w:t>La série de chiffres suivante renseigne sur le fabricant et précise le</w:t>
      </w:r>
      <w:r w:rsidRPr="0001121B">
        <w:rPr>
          <w:strike/>
          <w:lang w:val="fr-FR"/>
        </w:rPr>
        <w:t xml:space="preserve"> </w:t>
      </w:r>
      <w:r w:rsidRPr="0054548D">
        <w:rPr>
          <w:bCs/>
          <w:lang w:val="fr-FR"/>
        </w:rPr>
        <w:t>numéro d’identification du matériau de la</w:t>
      </w:r>
      <w:r w:rsidRPr="00F16B23">
        <w:rPr>
          <w:lang w:val="fr-FR"/>
        </w:rPr>
        <w:t xml:space="preserve"> garniture de frein, le type de disque ou le type de tambour.</w:t>
      </w:r>
    </w:p>
    <w:p w:rsidR="00521C0D" w:rsidRPr="00F16B23" w:rsidRDefault="00521C0D" w:rsidP="00521C0D">
      <w:pPr>
        <w:pStyle w:val="SingleTxtG"/>
        <w:keepNext/>
        <w:keepLines/>
        <w:ind w:left="2268"/>
        <w:rPr>
          <w:lang w:val="fr-FR"/>
        </w:rPr>
      </w:pPr>
      <w:r w:rsidRPr="00F16B23">
        <w:rPr>
          <w:lang w:val="fr-FR"/>
        </w:rPr>
        <w:t>Le suffixe numérique indique</w:t>
      </w:r>
      <w:r>
        <w:rPr>
          <w:lang w:val="fr-FR"/>
        </w:rPr>
        <w:t> </w:t>
      </w:r>
      <w:r w:rsidRPr="00F16B23">
        <w:rPr>
          <w:lang w:val="fr-FR"/>
        </w:rPr>
        <w:t>:</w:t>
      </w:r>
    </w:p>
    <w:p w:rsidR="00521C0D" w:rsidRPr="00F16B23" w:rsidRDefault="00521C0D" w:rsidP="00521C0D">
      <w:pPr>
        <w:pStyle w:val="SingleTxtG"/>
        <w:ind w:left="2835" w:hanging="567"/>
        <w:rPr>
          <w:rFonts w:cs="Courier New"/>
          <w:spacing w:val="1"/>
          <w:lang w:val="fr-FR"/>
        </w:rPr>
      </w:pPr>
      <w:r w:rsidRPr="00F16B23">
        <w:rPr>
          <w:rFonts w:cs="Courier New"/>
          <w:spacing w:val="1"/>
          <w:lang w:val="fr-FR"/>
        </w:rPr>
        <w:t>a)</w:t>
      </w:r>
      <w:r w:rsidRPr="00F16B23">
        <w:rPr>
          <w:rFonts w:cs="Courier New"/>
          <w:spacing w:val="1"/>
          <w:lang w:val="fr-FR"/>
        </w:rPr>
        <w:tab/>
        <w:t>La mâchoire ou la semelle de plaquettes, ou la dimension spécifique dans le cas des garnitures de tambour</w:t>
      </w:r>
      <w:r>
        <w:rPr>
          <w:rFonts w:cs="Courier New"/>
          <w:spacing w:val="1"/>
          <w:lang w:val="fr-FR"/>
        </w:rPr>
        <w:t> </w:t>
      </w:r>
      <w:r w:rsidRPr="00F16B23">
        <w:rPr>
          <w:rFonts w:cs="Courier New"/>
          <w:spacing w:val="1"/>
          <w:lang w:val="fr-FR"/>
        </w:rPr>
        <w:t>;</w:t>
      </w:r>
    </w:p>
    <w:p w:rsidR="00521C0D" w:rsidRPr="00F16B23" w:rsidRDefault="00521C0D" w:rsidP="00521C0D">
      <w:pPr>
        <w:pStyle w:val="SingleTxtG"/>
        <w:ind w:left="2835" w:hanging="567"/>
        <w:rPr>
          <w:lang w:val="fr-FR"/>
        </w:rPr>
      </w:pPr>
      <w:r w:rsidRPr="00F16B23">
        <w:rPr>
          <w:rFonts w:cs="Courier New"/>
          <w:spacing w:val="1"/>
          <w:lang w:val="fr-FR"/>
        </w:rPr>
        <w:t>b)</w:t>
      </w:r>
      <w:r w:rsidRPr="00F16B23">
        <w:rPr>
          <w:rFonts w:cs="Courier New"/>
          <w:spacing w:val="1"/>
          <w:lang w:val="fr-FR"/>
        </w:rPr>
        <w:tab/>
        <w:t>Le groupe d</w:t>
      </w:r>
      <w:r>
        <w:rPr>
          <w:rFonts w:cs="Courier New"/>
          <w:spacing w:val="1"/>
          <w:lang w:val="fr-FR"/>
        </w:rPr>
        <w:t>’</w:t>
      </w:r>
      <w:r w:rsidRPr="00F16B23">
        <w:rPr>
          <w:rFonts w:cs="Courier New"/>
          <w:spacing w:val="1"/>
          <w:lang w:val="fr-FR"/>
        </w:rPr>
        <w:t>essai dans le cas d</w:t>
      </w:r>
      <w:r>
        <w:rPr>
          <w:rFonts w:cs="Courier New"/>
          <w:spacing w:val="1"/>
          <w:lang w:val="fr-FR"/>
        </w:rPr>
        <w:t>’</w:t>
      </w:r>
      <w:r w:rsidRPr="00F16B23">
        <w:rPr>
          <w:rFonts w:cs="Courier New"/>
          <w:spacing w:val="1"/>
          <w:lang w:val="fr-FR"/>
        </w:rPr>
        <w:t>un disque ou tambour de rechange</w:t>
      </w:r>
      <w:r w:rsidRPr="00F16B23">
        <w:rPr>
          <w:lang w:val="fr-FR"/>
        </w:rPr>
        <w:t>.</w:t>
      </w:r>
    </w:p>
    <w:p w:rsidR="00521C0D" w:rsidRPr="004C70EC" w:rsidRDefault="00521C0D" w:rsidP="00521C0D">
      <w:pPr>
        <w:pStyle w:val="SingleTxtG"/>
        <w:ind w:left="2268"/>
        <w:rPr>
          <w:lang w:val="fr-FR"/>
        </w:rPr>
      </w:pPr>
      <w:r w:rsidRPr="00F16B23">
        <w:rPr>
          <w:lang w:val="fr-FR"/>
        </w:rPr>
        <w:t>Les variantes homologuées en tant que groupe d</w:t>
      </w:r>
      <w:r>
        <w:rPr>
          <w:lang w:val="fr-FR"/>
        </w:rPr>
        <w:t>’</w:t>
      </w:r>
      <w:r w:rsidRPr="00F16B23">
        <w:rPr>
          <w:lang w:val="fr-FR"/>
        </w:rPr>
        <w:t>essai doivent être indiquées dans un appendice au document d</w:t>
      </w:r>
      <w:r>
        <w:rPr>
          <w:lang w:val="fr-FR"/>
        </w:rPr>
        <w:t>’</w:t>
      </w:r>
      <w:r w:rsidRPr="00F16B23">
        <w:rPr>
          <w:lang w:val="fr-FR"/>
        </w:rPr>
        <w:t>homologation :</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85"/>
        <w:gridCol w:w="185"/>
        <w:gridCol w:w="274"/>
        <w:gridCol w:w="274"/>
        <w:gridCol w:w="274"/>
        <w:gridCol w:w="274"/>
        <w:gridCol w:w="207"/>
        <w:gridCol w:w="274"/>
        <w:gridCol w:w="274"/>
        <w:gridCol w:w="274"/>
        <w:gridCol w:w="274"/>
        <w:gridCol w:w="4334"/>
      </w:tblGrid>
      <w:tr w:rsidR="00521C0D" w:rsidRPr="005E75DD"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lang w:eastAsia="ja-JP"/>
              </w:rPr>
            </w:pPr>
            <w:r>
              <w:rPr>
                <w:lang w:val="fr-FR"/>
              </w:rPr>
              <w:lastRenderedPageBreak/>
              <w:br w:type="page"/>
            </w:r>
          </w:p>
        </w:tc>
        <w:tc>
          <w:tcPr>
            <w:tcW w:w="406" w:type="dxa"/>
            <w:gridSpan w:val="2"/>
            <w:noWrap/>
            <w:vAlign w:val="bottom"/>
          </w:tcPr>
          <w:p w:rsidR="00521C0D" w:rsidRPr="00D005B1" w:rsidRDefault="00521C0D" w:rsidP="00703B2F">
            <w:pPr>
              <w:keepNext/>
              <w:keepLines/>
              <w:jc w:val="center"/>
              <w:rPr>
                <w:rFonts w:ascii="Arial" w:eastAsia="MS Mincho" w:hAnsi="Arial" w:cs="Arial"/>
                <w:lang w:eastAsia="ja-JP"/>
              </w:rPr>
            </w:pPr>
          </w:p>
        </w:tc>
        <w:tc>
          <w:tcPr>
            <w:tcW w:w="242" w:type="dxa"/>
            <w:noWrap/>
            <w:vAlign w:val="bottom"/>
          </w:tcPr>
          <w:p w:rsidR="00521C0D" w:rsidRPr="00D005B1" w:rsidRDefault="00521C0D" w:rsidP="00703B2F">
            <w:pPr>
              <w:keepNext/>
              <w:keepLines/>
              <w:jc w:val="center"/>
              <w:rPr>
                <w:rFonts w:ascii="Arial" w:eastAsia="MS Mincho" w:hAnsi="Arial" w:cs="Arial"/>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lang w:eastAsia="ja-JP"/>
              </w:rPr>
            </w:pPr>
          </w:p>
        </w:tc>
        <w:tc>
          <w:tcPr>
            <w:tcW w:w="314" w:type="dxa"/>
            <w:noWrap/>
            <w:vAlign w:val="bottom"/>
          </w:tcPr>
          <w:p w:rsidR="00521C0D" w:rsidRPr="00D005B1" w:rsidRDefault="00521C0D" w:rsidP="00703B2F">
            <w:pPr>
              <w:keepNext/>
              <w:keepLines/>
              <w:jc w:val="center"/>
              <w:rPr>
                <w:rFonts w:ascii="Arial" w:eastAsia="MS Mincho" w:hAnsi="Arial" w:cs="Arial"/>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370" w:type="dxa"/>
            <w:gridSpan w:val="2"/>
            <w:tcBorders>
              <w:top w:val="nil"/>
              <w:left w:val="nil"/>
              <w:bottom w:val="nil"/>
              <w:right w:val="single" w:sz="4" w:space="0" w:color="000000"/>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07"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w:t>
            </w: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21C0D" w:rsidRPr="005E75DD" w:rsidRDefault="00521C0D" w:rsidP="00703B2F">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4334" w:type="dxa"/>
            <w:noWrap/>
            <w:vAlign w:val="bottom"/>
          </w:tcPr>
          <w:p w:rsidR="00521C0D" w:rsidRPr="007828CD" w:rsidRDefault="00521C0D" w:rsidP="00703B2F">
            <w:pPr>
              <w:keepNext/>
              <w:keepLines/>
              <w:rPr>
                <w:rFonts w:eastAsia="MS Mincho"/>
                <w:sz w:val="18"/>
                <w:szCs w:val="18"/>
                <w:lang w:eastAsia="ja-JP"/>
              </w:rPr>
            </w:pPr>
          </w:p>
        </w:tc>
      </w:tr>
      <w:tr w:rsidR="00521C0D" w:rsidRPr="005E75DD" w:rsidTr="00703B2F">
        <w:trPr>
          <w:trHeight w:hRule="exact" w:val="85"/>
        </w:trPr>
        <w:tc>
          <w:tcPr>
            <w:tcW w:w="330"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3"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301"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7"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334" w:type="dxa"/>
            <w:noWrap/>
            <w:vAlign w:val="bottom"/>
          </w:tcPr>
          <w:p w:rsidR="00521C0D" w:rsidRPr="007828CD" w:rsidRDefault="00521C0D" w:rsidP="00703B2F">
            <w:pPr>
              <w:keepNext/>
              <w:keepLines/>
              <w:rPr>
                <w:rFonts w:eastAsia="MS Mincho"/>
                <w:sz w:val="18"/>
                <w:szCs w:val="18"/>
                <w:lang w:eastAsia="ja-JP"/>
              </w:rPr>
            </w:pPr>
          </w:p>
        </w:tc>
      </w:tr>
      <w:tr w:rsidR="00521C0D" w:rsidRPr="005E75DD" w:rsidTr="00703B2F">
        <w:trPr>
          <w:trHeight w:val="255"/>
        </w:trPr>
        <w:tc>
          <w:tcPr>
            <w:tcW w:w="330"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4334" w:type="dxa"/>
            <w:noWrap/>
            <w:vAlign w:val="bottom"/>
          </w:tcPr>
          <w:p w:rsidR="00521C0D" w:rsidRPr="007828CD" w:rsidRDefault="00521C0D" w:rsidP="00703B2F">
            <w:pPr>
              <w:keepNext/>
              <w:keepLines/>
              <w:rPr>
                <w:rFonts w:eastAsia="MS Mincho"/>
                <w:sz w:val="18"/>
                <w:szCs w:val="18"/>
                <w:lang w:eastAsia="ja-JP"/>
              </w:rPr>
            </w:pPr>
          </w:p>
        </w:tc>
      </w:tr>
      <w:tr w:rsidR="00521C0D" w:rsidRPr="00D005B1" w:rsidTr="00703B2F">
        <w:trPr>
          <w:cantSplit/>
          <w:trHeight w:val="255"/>
        </w:trPr>
        <w:tc>
          <w:tcPr>
            <w:tcW w:w="330"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5E75DD" w:rsidRDefault="00521C0D" w:rsidP="00703B2F">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521C0D" w:rsidRPr="005E75DD" w:rsidRDefault="00521C0D" w:rsidP="00703B2F">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hideMark/>
          </w:tcPr>
          <w:p w:rsidR="00521C0D" w:rsidRPr="00D005B1" w:rsidRDefault="00521C0D" w:rsidP="00703B2F">
            <w:pPr>
              <w:keepNext/>
              <w:keepLines/>
              <w:rPr>
                <w:rFonts w:eastAsia="MS Mincho"/>
                <w:sz w:val="18"/>
                <w:szCs w:val="18"/>
                <w:lang w:eastAsia="ja-JP"/>
              </w:rPr>
            </w:pPr>
            <w:r w:rsidRPr="007828CD">
              <w:rPr>
                <w:sz w:val="18"/>
                <w:szCs w:val="18"/>
                <w:lang w:val="fr-FR"/>
              </w:rPr>
              <w:t>Suffixe numérique indiquant le groupe d’essai/</w:t>
            </w:r>
            <w:r w:rsidRPr="007828CD">
              <w:rPr>
                <w:sz w:val="18"/>
                <w:szCs w:val="18"/>
                <w:lang w:val="fr-FR"/>
              </w:rPr>
              <w:br/>
              <w:t>la mâchoire/la semelle de plaquette/les dimensions précises de la pièce de rechange</w:t>
            </w:r>
          </w:p>
        </w:tc>
      </w:tr>
      <w:tr w:rsidR="00521C0D" w:rsidRPr="00D005B1" w:rsidTr="00703B2F">
        <w:trPr>
          <w:cantSplit/>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0" w:type="auto"/>
            <w:vMerge/>
            <w:tcBorders>
              <w:top w:val="nil"/>
              <w:left w:val="nil"/>
              <w:bottom w:val="single" w:sz="4" w:space="0" w:color="000000"/>
              <w:right w:val="nil"/>
            </w:tcBorders>
            <w:vAlign w:val="center"/>
            <w:hideMark/>
          </w:tcPr>
          <w:p w:rsidR="00521C0D" w:rsidRPr="00D005B1" w:rsidRDefault="00521C0D" w:rsidP="00703B2F">
            <w:pPr>
              <w:suppressAutoHyphens w:val="0"/>
              <w:spacing w:line="240" w:lineRule="auto"/>
              <w:rPr>
                <w:rFonts w:eastAsia="MS Mincho"/>
                <w:sz w:val="18"/>
                <w:szCs w:val="18"/>
                <w:lang w:eastAsia="ja-JP"/>
              </w:rPr>
            </w:pPr>
          </w:p>
        </w:tc>
      </w:tr>
      <w:tr w:rsidR="00521C0D" w:rsidRPr="00D005B1" w:rsidTr="00703B2F">
        <w:trPr>
          <w:cantSplit/>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nil"/>
              <w:right w:val="nil"/>
            </w:tcBorders>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nil"/>
              <w:right w:val="nil"/>
            </w:tcBorders>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0" w:type="auto"/>
            <w:tcBorders>
              <w:top w:val="nil"/>
              <w:left w:val="nil"/>
              <w:right w:val="nil"/>
            </w:tcBorders>
            <w:vAlign w:val="center"/>
          </w:tcPr>
          <w:p w:rsidR="00521C0D" w:rsidRPr="00D005B1" w:rsidRDefault="00521C0D" w:rsidP="00703B2F">
            <w:pPr>
              <w:suppressAutoHyphens w:val="0"/>
              <w:spacing w:line="240" w:lineRule="auto"/>
              <w:rPr>
                <w:rFonts w:eastAsia="MS Mincho"/>
                <w:sz w:val="18"/>
                <w:szCs w:val="18"/>
                <w:lang w:eastAsia="ja-JP"/>
              </w:rPr>
            </w:pP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4334" w:type="dxa"/>
            <w:vMerge w:val="restart"/>
            <w:noWrap/>
            <w:vAlign w:val="bottom"/>
          </w:tcPr>
          <w:p w:rsidR="00521C0D" w:rsidRPr="00D005B1" w:rsidRDefault="00521C0D" w:rsidP="00703B2F">
            <w:pPr>
              <w:keepNext/>
              <w:keepLines/>
              <w:rPr>
                <w:rFonts w:eastAsia="MS Mincho"/>
                <w:sz w:val="18"/>
                <w:szCs w:val="18"/>
                <w:lang w:eastAsia="ja-JP"/>
              </w:rPr>
            </w:pPr>
            <w:r w:rsidRPr="007828CD">
              <w:rPr>
                <w:sz w:val="18"/>
                <w:szCs w:val="18"/>
                <w:lang w:val="fr-FR"/>
              </w:rPr>
              <w:t xml:space="preserve">Série de </w:t>
            </w:r>
            <w:r w:rsidRPr="007828CD">
              <w:rPr>
                <w:strike/>
                <w:sz w:val="18"/>
                <w:szCs w:val="18"/>
                <w:lang w:val="fr-FR"/>
              </w:rPr>
              <w:t>4</w:t>
            </w:r>
            <w:r w:rsidRPr="007828CD">
              <w:rPr>
                <w:sz w:val="18"/>
                <w:szCs w:val="18"/>
                <w:lang w:val="fr-FR"/>
              </w:rPr>
              <w:t xml:space="preserve"> chiffres indiquant (le nom du fabricant et) </w:t>
            </w:r>
            <w:r w:rsidRPr="007828CD">
              <w:rPr>
                <w:bCs/>
                <w:sz w:val="18"/>
                <w:szCs w:val="18"/>
                <w:lang w:val="fr-FR"/>
              </w:rPr>
              <w:t>le numéro d’identification du matériau de</w:t>
            </w:r>
            <w:r w:rsidRPr="007828CD">
              <w:rPr>
                <w:sz w:val="18"/>
                <w:szCs w:val="18"/>
                <w:lang w:val="fr-FR"/>
              </w:rPr>
              <w:t xml:space="preserve"> la garniture de frein</w:t>
            </w:r>
            <w:r w:rsidRPr="007828CD">
              <w:rPr>
                <w:b/>
                <w:sz w:val="18"/>
                <w:szCs w:val="18"/>
                <w:lang w:val="fr-FR"/>
              </w:rPr>
              <w:t>/</w:t>
            </w:r>
            <w:r w:rsidRPr="007828CD">
              <w:rPr>
                <w:sz w:val="18"/>
                <w:szCs w:val="18"/>
                <w:lang w:val="fr-FR"/>
              </w:rPr>
              <w:t>le type de pièce de rechange</w:t>
            </w:r>
          </w:p>
        </w:tc>
      </w:tr>
      <w:tr w:rsidR="00521C0D" w:rsidRPr="00D005B1" w:rsidTr="00703B2F">
        <w:trPr>
          <w:cantSplit/>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4334" w:type="dxa"/>
            <w:vMerge/>
            <w:vAlign w:val="bottom"/>
            <w:hideMark/>
          </w:tcPr>
          <w:p w:rsidR="00521C0D" w:rsidRPr="00D005B1" w:rsidRDefault="00521C0D" w:rsidP="00703B2F">
            <w:pPr>
              <w:keepNext/>
              <w:keepLines/>
              <w:rPr>
                <w:rFonts w:eastAsia="MS Mincho"/>
                <w:sz w:val="18"/>
                <w:szCs w:val="18"/>
                <w:lang w:eastAsia="ja-JP"/>
              </w:rPr>
            </w:pPr>
          </w:p>
        </w:tc>
      </w:tr>
      <w:tr w:rsidR="00521C0D" w:rsidRPr="00D005B1" w:rsidTr="00703B2F">
        <w:trPr>
          <w:cantSplit/>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0" w:type="auto"/>
            <w:vMerge/>
            <w:tcBorders>
              <w:bottom w:val="single" w:sz="4" w:space="0" w:color="000000"/>
            </w:tcBorders>
            <w:vAlign w:val="center"/>
            <w:hideMark/>
          </w:tcPr>
          <w:p w:rsidR="00521C0D" w:rsidRPr="00D005B1" w:rsidRDefault="00521C0D" w:rsidP="00703B2F">
            <w:pPr>
              <w:suppressAutoHyphens w:val="0"/>
              <w:spacing w:line="240" w:lineRule="auto"/>
              <w:rPr>
                <w:rFonts w:eastAsia="MS Mincho"/>
                <w:sz w:val="18"/>
                <w:szCs w:val="18"/>
                <w:lang w:eastAsia="ja-JP"/>
              </w:rPr>
            </w:pP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4334" w:type="dxa"/>
            <w:noWrap/>
            <w:vAlign w:val="bottom"/>
          </w:tcPr>
          <w:p w:rsidR="00521C0D" w:rsidRPr="00D005B1" w:rsidRDefault="00521C0D" w:rsidP="00703B2F">
            <w:pPr>
              <w:keepNext/>
              <w:keepLines/>
              <w:rPr>
                <w:rFonts w:eastAsia="MS Mincho"/>
                <w:sz w:val="18"/>
                <w:szCs w:val="18"/>
                <w:lang w:eastAsia="ja-JP"/>
              </w:rPr>
            </w:pP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21C0D" w:rsidRPr="00D005B1" w:rsidRDefault="00521C0D" w:rsidP="00703B2F">
            <w:pPr>
              <w:keepNext/>
              <w:keepLines/>
              <w:rPr>
                <w:rFonts w:eastAsia="MS Mincho"/>
                <w:sz w:val="18"/>
                <w:szCs w:val="18"/>
                <w:lang w:eastAsia="ja-JP"/>
              </w:rPr>
            </w:pPr>
            <w:r w:rsidRPr="007828CD">
              <w:rPr>
                <w:sz w:val="18"/>
                <w:szCs w:val="18"/>
                <w:lang w:val="fr-FR"/>
              </w:rPr>
              <w:t xml:space="preserve">1 caractère (A à D) indique la catégorie de pièce </w:t>
            </w:r>
            <w:r w:rsidRPr="007828CD">
              <w:rPr>
                <w:sz w:val="18"/>
                <w:szCs w:val="18"/>
                <w:lang w:val="fr-FR"/>
              </w:rPr>
              <w:br/>
              <w:t>de rechange</w:t>
            </w: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4334" w:type="dxa"/>
            <w:noWrap/>
            <w:vAlign w:val="bottom"/>
          </w:tcPr>
          <w:p w:rsidR="00521C0D" w:rsidRPr="00D005B1" w:rsidRDefault="00521C0D" w:rsidP="00703B2F">
            <w:pPr>
              <w:keepNext/>
              <w:keepLines/>
              <w:rPr>
                <w:rFonts w:eastAsia="MS Mincho"/>
                <w:sz w:val="18"/>
                <w:szCs w:val="18"/>
                <w:lang w:eastAsia="ja-JP"/>
              </w:rPr>
            </w:pP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21C0D" w:rsidRPr="00D005B1" w:rsidRDefault="00521C0D" w:rsidP="00703B2F">
            <w:pPr>
              <w:keepNext/>
              <w:keepLines/>
              <w:rPr>
                <w:rFonts w:eastAsia="MS Mincho"/>
                <w:spacing w:val="-2"/>
                <w:sz w:val="18"/>
                <w:szCs w:val="18"/>
                <w:lang w:eastAsia="ja-JP"/>
              </w:rPr>
            </w:pPr>
            <w:r w:rsidRPr="007828CD">
              <w:rPr>
                <w:spacing w:val="-2"/>
                <w:sz w:val="18"/>
                <w:szCs w:val="18"/>
                <w:lang w:val="fr-FR"/>
              </w:rPr>
              <w:t>2 chiffres indiquent la série d’amendements (01 à 99)</w:t>
            </w:r>
          </w:p>
        </w:tc>
      </w:tr>
      <w:tr w:rsidR="00521C0D" w:rsidRPr="00D005B1" w:rsidTr="00703B2F">
        <w:trPr>
          <w:trHeight w:val="255"/>
        </w:trPr>
        <w:tc>
          <w:tcPr>
            <w:tcW w:w="330"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3"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242"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301"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hideMark/>
          </w:tcPr>
          <w:p w:rsidR="00521C0D" w:rsidRPr="00D005B1" w:rsidRDefault="00521C0D" w:rsidP="00703B2F">
            <w:pPr>
              <w:keepNext/>
              <w:keepLines/>
              <w:jc w:val="center"/>
              <w:rPr>
                <w:rFonts w:ascii="Arial" w:eastAsia="MS Mincho" w:hAnsi="Arial" w:cs="Arial"/>
                <w:sz w:val="16"/>
                <w:szCs w:val="16"/>
                <w:lang w:eastAsia="ja-JP"/>
              </w:rPr>
            </w:pPr>
            <w:r w:rsidRPr="00D005B1">
              <w:rPr>
                <w:rFonts w:ascii="Arial" w:eastAsia="MS Mincho" w:hAnsi="Arial" w:cs="Arial"/>
                <w:sz w:val="16"/>
                <w:szCs w:val="16"/>
                <w:lang w:eastAsia="ja-JP"/>
              </w:rPr>
              <w:t> </w:t>
            </w:r>
          </w:p>
        </w:tc>
        <w:tc>
          <w:tcPr>
            <w:tcW w:w="31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keepNext/>
              <w:keepLines/>
              <w:jc w:val="center"/>
              <w:rPr>
                <w:rFonts w:ascii="Arial" w:eastAsia="MS Mincho" w:hAnsi="Arial" w:cs="Arial"/>
                <w:sz w:val="16"/>
                <w:szCs w:val="16"/>
                <w:lang w:eastAsia="ja-JP"/>
              </w:rPr>
            </w:pPr>
          </w:p>
        </w:tc>
        <w:tc>
          <w:tcPr>
            <w:tcW w:w="4334" w:type="dxa"/>
            <w:noWrap/>
            <w:vAlign w:val="bottom"/>
          </w:tcPr>
          <w:p w:rsidR="00521C0D" w:rsidRPr="00D005B1" w:rsidRDefault="00521C0D" w:rsidP="00703B2F">
            <w:pPr>
              <w:keepNext/>
              <w:keepLines/>
              <w:rPr>
                <w:rFonts w:eastAsia="MS Mincho"/>
                <w:sz w:val="18"/>
                <w:szCs w:val="18"/>
                <w:lang w:eastAsia="ja-JP"/>
              </w:rPr>
            </w:pPr>
          </w:p>
        </w:tc>
      </w:tr>
      <w:tr w:rsidR="00521C0D" w:rsidRPr="00D005B1" w:rsidTr="00703B2F">
        <w:trPr>
          <w:trHeight w:val="255"/>
        </w:trPr>
        <w:tc>
          <w:tcPr>
            <w:tcW w:w="1279" w:type="dxa"/>
            <w:gridSpan w:val="5"/>
            <w:noWrap/>
            <w:vAlign w:val="bottom"/>
          </w:tcPr>
          <w:p w:rsidR="00521C0D" w:rsidRPr="00D005B1" w:rsidRDefault="00521C0D" w:rsidP="00703B2F">
            <w:pPr>
              <w:rPr>
                <w:rFonts w:eastAsia="MS Mincho"/>
                <w:sz w:val="22"/>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31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jc w:val="center"/>
              <w:rPr>
                <w:rFonts w:ascii="Arial" w:eastAsia="MS Mincho" w:hAnsi="Arial" w:cs="Arial"/>
                <w:sz w:val="16"/>
                <w:szCs w:val="16"/>
                <w:lang w:eastAsia="ja-JP"/>
              </w:rPr>
            </w:pPr>
          </w:p>
        </w:tc>
        <w:tc>
          <w:tcPr>
            <w:tcW w:w="185"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07"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274" w:type="dxa"/>
            <w:noWrap/>
            <w:vAlign w:val="bottom"/>
          </w:tcPr>
          <w:p w:rsidR="00521C0D" w:rsidRPr="00D005B1" w:rsidRDefault="00521C0D" w:rsidP="00703B2F">
            <w:pPr>
              <w:jc w:val="center"/>
              <w:rPr>
                <w:rFonts w:ascii="Arial" w:eastAsia="MS Mincho" w:hAnsi="Arial" w:cs="Arial"/>
                <w:sz w:val="16"/>
                <w:szCs w:val="16"/>
                <w:lang w:eastAsia="ja-JP"/>
              </w:rPr>
            </w:pPr>
          </w:p>
        </w:tc>
        <w:tc>
          <w:tcPr>
            <w:tcW w:w="4334" w:type="dxa"/>
            <w:noWrap/>
            <w:vAlign w:val="bottom"/>
          </w:tcPr>
          <w:p w:rsidR="00521C0D" w:rsidRPr="00D005B1" w:rsidRDefault="00521C0D" w:rsidP="00703B2F">
            <w:pPr>
              <w:rPr>
                <w:rFonts w:eastAsia="MS Mincho"/>
                <w:sz w:val="18"/>
                <w:szCs w:val="18"/>
                <w:lang w:eastAsia="ja-JP"/>
              </w:rPr>
            </w:pPr>
          </w:p>
        </w:tc>
      </w:tr>
    </w:tbl>
    <w:p w:rsidR="00521C0D" w:rsidRPr="007828CD" w:rsidRDefault="00521C0D" w:rsidP="00521C0D">
      <w:pPr>
        <w:pStyle w:val="SingleTxtGR"/>
        <w:suppressAutoHyphens/>
        <w:spacing w:before="120"/>
        <w:rPr>
          <w:lang w:val="fr-CH"/>
        </w:rPr>
      </w:pPr>
      <w:r>
        <w:rPr>
          <w:lang w:val="fr-CH"/>
        </w:rPr>
        <w:t>Exemple :</w:t>
      </w:r>
    </w:p>
    <w:tbl>
      <w:tblPr>
        <w:tblW w:w="9591" w:type="dxa"/>
        <w:tblInd w:w="50" w:type="dxa"/>
        <w:tblCellMar>
          <w:left w:w="70" w:type="dxa"/>
          <w:right w:w="70" w:type="dxa"/>
        </w:tblCellMar>
        <w:tblLook w:val="04A0" w:firstRow="1" w:lastRow="0" w:firstColumn="1" w:lastColumn="0" w:noHBand="0" w:noVBand="1"/>
      </w:tblPr>
      <w:tblGrid>
        <w:gridCol w:w="328"/>
        <w:gridCol w:w="202"/>
        <w:gridCol w:w="202"/>
        <w:gridCol w:w="240"/>
        <w:gridCol w:w="298"/>
        <w:gridCol w:w="272"/>
        <w:gridCol w:w="311"/>
        <w:gridCol w:w="272"/>
        <w:gridCol w:w="272"/>
        <w:gridCol w:w="185"/>
        <w:gridCol w:w="185"/>
        <w:gridCol w:w="272"/>
        <w:gridCol w:w="359"/>
        <w:gridCol w:w="272"/>
        <w:gridCol w:w="272"/>
        <w:gridCol w:w="206"/>
        <w:gridCol w:w="359"/>
        <w:gridCol w:w="272"/>
        <w:gridCol w:w="272"/>
        <w:gridCol w:w="272"/>
        <w:gridCol w:w="4268"/>
      </w:tblGrid>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2"/>
                <w:szCs w:val="12"/>
                <w:lang w:eastAsia="ja-JP"/>
              </w:rPr>
            </w:pPr>
          </w:p>
        </w:tc>
        <w:tc>
          <w:tcPr>
            <w:tcW w:w="20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0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40" w:type="dxa"/>
            <w:noWrap/>
            <w:vAlign w:val="bottom"/>
          </w:tcPr>
          <w:p w:rsidR="00521C0D" w:rsidRPr="005E75DD" w:rsidRDefault="00521C0D" w:rsidP="00703B2F">
            <w:pPr>
              <w:jc w:val="center"/>
              <w:rPr>
                <w:rFonts w:ascii="Arial" w:eastAsia="MS Mincho" w:hAnsi="Arial" w:cs="Arial"/>
                <w:sz w:val="12"/>
                <w:szCs w:val="12"/>
                <w:lang w:eastAsia="ja-JP"/>
              </w:rPr>
            </w:pPr>
          </w:p>
        </w:tc>
        <w:tc>
          <w:tcPr>
            <w:tcW w:w="298"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311"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185" w:type="dxa"/>
            <w:noWrap/>
            <w:vAlign w:val="bottom"/>
          </w:tcPr>
          <w:p w:rsidR="00521C0D" w:rsidRPr="005E75DD" w:rsidRDefault="00521C0D" w:rsidP="00703B2F">
            <w:pPr>
              <w:jc w:val="center"/>
              <w:rPr>
                <w:rFonts w:ascii="Arial" w:eastAsia="MS Mincho" w:hAnsi="Arial" w:cs="Arial"/>
                <w:sz w:val="12"/>
                <w:szCs w:val="12"/>
                <w:lang w:eastAsia="ja-JP"/>
              </w:rPr>
            </w:pPr>
          </w:p>
        </w:tc>
        <w:tc>
          <w:tcPr>
            <w:tcW w:w="185"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359"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06" w:type="dxa"/>
            <w:noWrap/>
            <w:vAlign w:val="bottom"/>
          </w:tcPr>
          <w:p w:rsidR="00521C0D" w:rsidRPr="005E75DD" w:rsidRDefault="00521C0D" w:rsidP="00703B2F">
            <w:pPr>
              <w:jc w:val="center"/>
              <w:rPr>
                <w:rFonts w:ascii="Arial" w:eastAsia="MS Mincho" w:hAnsi="Arial" w:cs="Arial"/>
                <w:sz w:val="12"/>
                <w:szCs w:val="12"/>
                <w:lang w:eastAsia="ja-JP"/>
              </w:rPr>
            </w:pPr>
          </w:p>
        </w:tc>
        <w:tc>
          <w:tcPr>
            <w:tcW w:w="359"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272" w:type="dxa"/>
            <w:noWrap/>
            <w:vAlign w:val="bottom"/>
          </w:tcPr>
          <w:p w:rsidR="00521C0D" w:rsidRPr="005E75DD" w:rsidRDefault="00521C0D" w:rsidP="00703B2F">
            <w:pPr>
              <w:jc w:val="center"/>
              <w:rPr>
                <w:rFonts w:ascii="Arial" w:eastAsia="MS Mincho" w:hAnsi="Arial" w:cs="Arial"/>
                <w:sz w:val="12"/>
                <w:szCs w:val="12"/>
                <w:lang w:eastAsia="ja-JP"/>
              </w:rPr>
            </w:pPr>
          </w:p>
        </w:tc>
        <w:tc>
          <w:tcPr>
            <w:tcW w:w="4268" w:type="dxa"/>
            <w:noWrap/>
            <w:vAlign w:val="bottom"/>
          </w:tcPr>
          <w:p w:rsidR="00521C0D" w:rsidRPr="004C70EC" w:rsidRDefault="00521C0D" w:rsidP="00703B2F">
            <w:pPr>
              <w:rPr>
                <w:rFonts w:eastAsia="MS Mincho"/>
                <w:sz w:val="18"/>
                <w:szCs w:val="18"/>
                <w:lang w:eastAsia="ja-JP"/>
              </w:rPr>
            </w:pPr>
          </w:p>
        </w:tc>
      </w:tr>
      <w:tr w:rsidR="00521C0D" w:rsidRPr="004105DF" w:rsidTr="00703B2F">
        <w:trPr>
          <w:trHeight w:val="255"/>
        </w:trPr>
        <w:tc>
          <w:tcPr>
            <w:tcW w:w="328" w:type="dxa"/>
            <w:noWrap/>
            <w:vAlign w:val="bottom"/>
          </w:tcPr>
          <w:p w:rsidR="00521C0D" w:rsidRPr="004105DF" w:rsidRDefault="00521C0D" w:rsidP="00703B2F">
            <w:pPr>
              <w:jc w:val="center"/>
              <w:rPr>
                <w:rFonts w:eastAsia="MS Mincho"/>
                <w:lang w:eastAsia="ja-JP"/>
              </w:rPr>
            </w:pPr>
          </w:p>
        </w:tc>
        <w:tc>
          <w:tcPr>
            <w:tcW w:w="404" w:type="dxa"/>
            <w:gridSpan w:val="2"/>
            <w:noWrap/>
            <w:vAlign w:val="bottom"/>
          </w:tcPr>
          <w:p w:rsidR="00521C0D" w:rsidRPr="004105DF" w:rsidRDefault="00521C0D" w:rsidP="00703B2F">
            <w:pPr>
              <w:jc w:val="center"/>
              <w:rPr>
                <w:rFonts w:eastAsia="MS Mincho"/>
                <w:lang w:eastAsia="ja-JP"/>
              </w:rPr>
            </w:pPr>
          </w:p>
        </w:tc>
        <w:tc>
          <w:tcPr>
            <w:tcW w:w="240" w:type="dxa"/>
            <w:noWrap/>
            <w:vAlign w:val="bottom"/>
          </w:tcPr>
          <w:p w:rsidR="00521C0D" w:rsidRPr="004105DF" w:rsidRDefault="00521C0D" w:rsidP="00703B2F">
            <w:pPr>
              <w:jc w:val="center"/>
              <w:rPr>
                <w:rFonts w:eastAsia="MS Mincho"/>
                <w:lang w:eastAsia="ja-JP"/>
              </w:rPr>
            </w:pPr>
          </w:p>
        </w:tc>
        <w:tc>
          <w:tcPr>
            <w:tcW w:w="298" w:type="dxa"/>
            <w:noWrap/>
            <w:vAlign w:val="bottom"/>
          </w:tcPr>
          <w:p w:rsidR="00521C0D" w:rsidRPr="004105DF" w:rsidRDefault="00521C0D" w:rsidP="00703B2F">
            <w:pPr>
              <w:jc w:val="center"/>
              <w:rPr>
                <w:rFonts w:eastAsia="MS Mincho"/>
                <w:lang w:eastAsia="ja-JP"/>
              </w:rPr>
            </w:pPr>
          </w:p>
        </w:tc>
        <w:tc>
          <w:tcPr>
            <w:tcW w:w="272" w:type="dxa"/>
            <w:noWrap/>
            <w:vAlign w:val="bottom"/>
          </w:tcPr>
          <w:p w:rsidR="00521C0D" w:rsidRPr="004105DF" w:rsidRDefault="00521C0D" w:rsidP="00703B2F">
            <w:pPr>
              <w:jc w:val="center"/>
              <w:rPr>
                <w:rFonts w:eastAsia="MS Mincho"/>
                <w:lang w:eastAsia="ja-JP"/>
              </w:rPr>
            </w:pPr>
          </w:p>
        </w:tc>
        <w:tc>
          <w:tcPr>
            <w:tcW w:w="311" w:type="dxa"/>
            <w:noWrap/>
            <w:vAlign w:val="bottom"/>
          </w:tcPr>
          <w:p w:rsidR="00521C0D" w:rsidRPr="004105DF" w:rsidRDefault="00521C0D" w:rsidP="00703B2F">
            <w:pPr>
              <w:jc w:val="center"/>
              <w:rPr>
                <w:rFonts w:eastAsia="MS Mincho"/>
                <w:lang w:eastAsia="ja-JP"/>
              </w:rPr>
            </w:pPr>
          </w:p>
        </w:tc>
        <w:tc>
          <w:tcPr>
            <w:tcW w:w="272" w:type="dxa"/>
            <w:tcBorders>
              <w:top w:val="nil"/>
              <w:left w:val="single" w:sz="4" w:space="0" w:color="auto"/>
              <w:bottom w:val="nil"/>
              <w:right w:val="nil"/>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0</w:t>
            </w:r>
          </w:p>
        </w:tc>
        <w:tc>
          <w:tcPr>
            <w:tcW w:w="272" w:type="dxa"/>
            <w:tcBorders>
              <w:top w:val="nil"/>
              <w:left w:val="nil"/>
              <w:bottom w:val="nil"/>
              <w:right w:val="single" w:sz="4" w:space="0" w:color="auto"/>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2</w:t>
            </w:r>
          </w:p>
        </w:tc>
        <w:tc>
          <w:tcPr>
            <w:tcW w:w="370" w:type="dxa"/>
            <w:gridSpan w:val="2"/>
            <w:tcBorders>
              <w:top w:val="nil"/>
              <w:left w:val="nil"/>
              <w:bottom w:val="nil"/>
              <w:right w:val="single" w:sz="4" w:space="0" w:color="000000"/>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C</w:t>
            </w:r>
          </w:p>
        </w:tc>
        <w:tc>
          <w:tcPr>
            <w:tcW w:w="272"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0</w:t>
            </w:r>
          </w:p>
        </w:tc>
        <w:tc>
          <w:tcPr>
            <w:tcW w:w="359"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03</w:t>
            </w:r>
          </w:p>
        </w:tc>
        <w:tc>
          <w:tcPr>
            <w:tcW w:w="272"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5</w:t>
            </w:r>
          </w:p>
        </w:tc>
        <w:tc>
          <w:tcPr>
            <w:tcW w:w="272" w:type="dxa"/>
            <w:tcBorders>
              <w:top w:val="nil"/>
              <w:left w:val="nil"/>
              <w:bottom w:val="nil"/>
              <w:right w:val="single" w:sz="4" w:space="0" w:color="auto"/>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9</w:t>
            </w:r>
          </w:p>
        </w:tc>
        <w:tc>
          <w:tcPr>
            <w:tcW w:w="206"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w:t>
            </w:r>
          </w:p>
        </w:tc>
        <w:tc>
          <w:tcPr>
            <w:tcW w:w="359" w:type="dxa"/>
            <w:tcBorders>
              <w:top w:val="nil"/>
              <w:left w:val="single" w:sz="4" w:space="0" w:color="auto"/>
              <w:bottom w:val="nil"/>
              <w:right w:val="nil"/>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07</w:t>
            </w:r>
          </w:p>
        </w:tc>
        <w:tc>
          <w:tcPr>
            <w:tcW w:w="272"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2</w:t>
            </w:r>
          </w:p>
        </w:tc>
        <w:tc>
          <w:tcPr>
            <w:tcW w:w="272" w:type="dxa"/>
            <w:noWrap/>
            <w:vAlign w:val="bottom"/>
            <w:hideMark/>
          </w:tcPr>
          <w:p w:rsidR="00521C0D" w:rsidRPr="004105DF" w:rsidRDefault="00521C0D" w:rsidP="00703B2F">
            <w:pPr>
              <w:jc w:val="center"/>
              <w:rPr>
                <w:rFonts w:eastAsia="MS Mincho"/>
                <w:lang w:eastAsia="ja-JP"/>
              </w:rPr>
            </w:pPr>
            <w:r w:rsidRPr="004105DF">
              <w:rPr>
                <w:rFonts w:eastAsia="MS Mincho"/>
                <w:lang w:eastAsia="ja-JP"/>
              </w:rPr>
              <w:t>4</w:t>
            </w:r>
          </w:p>
        </w:tc>
        <w:tc>
          <w:tcPr>
            <w:tcW w:w="272" w:type="dxa"/>
            <w:tcBorders>
              <w:top w:val="nil"/>
              <w:left w:val="nil"/>
              <w:bottom w:val="nil"/>
              <w:right w:val="single" w:sz="4" w:space="0" w:color="auto"/>
            </w:tcBorders>
            <w:noWrap/>
            <w:vAlign w:val="bottom"/>
            <w:hideMark/>
          </w:tcPr>
          <w:p w:rsidR="00521C0D" w:rsidRPr="004105DF" w:rsidRDefault="00521C0D" w:rsidP="00703B2F">
            <w:pPr>
              <w:jc w:val="center"/>
              <w:rPr>
                <w:rFonts w:eastAsia="MS Mincho"/>
                <w:lang w:eastAsia="ja-JP"/>
              </w:rPr>
            </w:pPr>
            <w:r w:rsidRPr="004105DF">
              <w:rPr>
                <w:rFonts w:eastAsia="MS Mincho"/>
                <w:lang w:eastAsia="ja-JP"/>
              </w:rPr>
              <w:t>8</w:t>
            </w: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hRule="exact" w:val="8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521C0D" w:rsidRPr="004C70EC" w:rsidRDefault="00521C0D" w:rsidP="00703B2F">
            <w:pPr>
              <w:rPr>
                <w:rFonts w:eastAsia="MS Mincho"/>
                <w:sz w:val="18"/>
                <w:szCs w:val="18"/>
                <w:lang w:eastAsia="ja-JP"/>
              </w:rPr>
            </w:pPr>
            <w:r w:rsidRPr="004C70EC">
              <w:rPr>
                <w:sz w:val="18"/>
                <w:szCs w:val="18"/>
                <w:lang w:val="fr-FR"/>
              </w:rPr>
              <w:t>Groupe d’essai n</w:t>
            </w:r>
            <w:r w:rsidRPr="004C70EC">
              <w:rPr>
                <w:sz w:val="18"/>
                <w:szCs w:val="18"/>
                <w:vertAlign w:val="superscript"/>
                <w:lang w:val="fr-FR"/>
              </w:rPr>
              <w:t>o</w:t>
            </w:r>
            <w:r w:rsidRPr="004C70EC">
              <w:rPr>
                <w:sz w:val="18"/>
                <w:szCs w:val="18"/>
                <w:lang w:val="fr-FR"/>
              </w:rPr>
              <w:t> 07248</w:t>
            </w: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521C0D" w:rsidRPr="004C70EC" w:rsidRDefault="00521C0D" w:rsidP="00703B2F">
            <w:pPr>
              <w:rPr>
                <w:rFonts w:eastAsia="MS Mincho"/>
                <w:sz w:val="18"/>
                <w:szCs w:val="18"/>
                <w:lang w:eastAsia="ja-JP"/>
              </w:rPr>
            </w:pPr>
            <w:r w:rsidRPr="004C70EC">
              <w:rPr>
                <w:sz w:val="18"/>
                <w:szCs w:val="18"/>
                <w:lang w:val="fr-FR"/>
              </w:rPr>
              <w:t>Type n</w:t>
            </w:r>
            <w:r w:rsidRPr="004C70EC">
              <w:rPr>
                <w:sz w:val="18"/>
                <w:szCs w:val="18"/>
                <w:vertAlign w:val="superscript"/>
                <w:lang w:val="fr-FR"/>
              </w:rPr>
              <w:t>o</w:t>
            </w:r>
            <w:r w:rsidRPr="004C70EC">
              <w:rPr>
                <w:sz w:val="18"/>
                <w:szCs w:val="18"/>
                <w:lang w:val="fr-FR"/>
              </w:rPr>
              <w:t> 00359</w:t>
            </w: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521C0D" w:rsidRPr="004C70EC" w:rsidRDefault="00521C0D" w:rsidP="00703B2F">
            <w:pPr>
              <w:rPr>
                <w:rFonts w:eastAsia="MS Mincho"/>
                <w:sz w:val="18"/>
                <w:szCs w:val="18"/>
                <w:lang w:eastAsia="ja-JP"/>
              </w:rPr>
            </w:pPr>
            <w:r w:rsidRPr="004C70EC">
              <w:rPr>
                <w:sz w:val="18"/>
                <w:szCs w:val="18"/>
                <w:lang w:val="fr-FR"/>
              </w:rPr>
              <w:t>Disque de frein</w:t>
            </w: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185"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6" w:type="dxa"/>
            <w:noWrap/>
            <w:vAlign w:val="bottom"/>
          </w:tcPr>
          <w:p w:rsidR="00521C0D" w:rsidRPr="005E75DD" w:rsidRDefault="00521C0D" w:rsidP="00703B2F">
            <w:pPr>
              <w:jc w:val="center"/>
              <w:rPr>
                <w:rFonts w:ascii="Arial" w:eastAsia="MS Mincho" w:hAnsi="Arial" w:cs="Arial"/>
                <w:sz w:val="16"/>
                <w:szCs w:val="16"/>
                <w:lang w:eastAsia="ja-JP"/>
              </w:rPr>
            </w:pPr>
          </w:p>
        </w:tc>
        <w:tc>
          <w:tcPr>
            <w:tcW w:w="359"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4268" w:type="dxa"/>
            <w:noWrap/>
            <w:vAlign w:val="bottom"/>
          </w:tcPr>
          <w:p w:rsidR="00521C0D" w:rsidRPr="004C70EC" w:rsidRDefault="00521C0D" w:rsidP="00703B2F">
            <w:pPr>
              <w:rPr>
                <w:rFonts w:eastAsia="MS Mincho"/>
                <w:sz w:val="18"/>
                <w:szCs w:val="18"/>
                <w:lang w:eastAsia="ja-JP"/>
              </w:rPr>
            </w:pPr>
          </w:p>
        </w:tc>
      </w:tr>
      <w:tr w:rsidR="00521C0D" w:rsidRPr="005E75DD" w:rsidTr="00703B2F">
        <w:trPr>
          <w:trHeight w:val="255"/>
        </w:trPr>
        <w:tc>
          <w:tcPr>
            <w:tcW w:w="32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0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521C0D" w:rsidRPr="005E75DD" w:rsidRDefault="00521C0D" w:rsidP="00703B2F">
            <w:pPr>
              <w:jc w:val="center"/>
              <w:rPr>
                <w:rFonts w:ascii="Arial" w:eastAsia="MS Mincho" w:hAnsi="Arial" w:cs="Arial"/>
                <w:sz w:val="16"/>
                <w:szCs w:val="16"/>
                <w:lang w:eastAsia="ja-JP"/>
              </w:rPr>
            </w:pPr>
          </w:p>
        </w:tc>
        <w:tc>
          <w:tcPr>
            <w:tcW w:w="298"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noWrap/>
            <w:vAlign w:val="bottom"/>
          </w:tcPr>
          <w:p w:rsidR="00521C0D" w:rsidRPr="005E75DD" w:rsidRDefault="00521C0D" w:rsidP="00703B2F">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521C0D" w:rsidRPr="005E75DD" w:rsidRDefault="00521C0D" w:rsidP="00703B2F">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521C0D" w:rsidRPr="004C70EC" w:rsidRDefault="00521C0D" w:rsidP="00703B2F">
            <w:pPr>
              <w:rPr>
                <w:rFonts w:eastAsia="MS Mincho"/>
                <w:sz w:val="18"/>
                <w:szCs w:val="18"/>
                <w:lang w:eastAsia="ja-JP"/>
              </w:rPr>
            </w:pPr>
            <w:r w:rsidRPr="004C70EC">
              <w:rPr>
                <w:sz w:val="18"/>
                <w:szCs w:val="18"/>
                <w:lang w:val="fr-FR"/>
              </w:rPr>
              <w:t>Série 02 d’amendements</w:t>
            </w:r>
          </w:p>
        </w:tc>
      </w:tr>
    </w:tbl>
    <w:p w:rsidR="00521C0D" w:rsidRPr="00F16B23" w:rsidRDefault="00521C0D" w:rsidP="00521C0D">
      <w:pPr>
        <w:pStyle w:val="SingleTxtG"/>
        <w:spacing w:before="240"/>
        <w:ind w:left="2268" w:hanging="1134"/>
        <w:rPr>
          <w:lang w:val="fr-FR"/>
        </w:rPr>
      </w:pPr>
      <w:r w:rsidRPr="00F16B23">
        <w:rPr>
          <w:lang w:val="fr-FR"/>
        </w:rPr>
        <w:t>4.2.4</w:t>
      </w:r>
      <w:r w:rsidRPr="00F16B23">
        <w:rPr>
          <w:lang w:val="fr-FR"/>
        </w:rPr>
        <w:tab/>
        <w:t>Dans le cas des garnitures de frein assemblées pour les véhicules de la catégorie L, les garnitures de frein assemblées appartenant au même groupe défini selon les critères de l</w:t>
      </w:r>
      <w:r>
        <w:rPr>
          <w:lang w:val="fr-FR"/>
        </w:rPr>
        <w:t>’</w:t>
      </w:r>
      <w:r w:rsidRPr="00F16B23">
        <w:rPr>
          <w:lang w:val="fr-FR"/>
        </w:rPr>
        <w:t>annexe</w:t>
      </w:r>
      <w:r>
        <w:rPr>
          <w:lang w:val="fr-FR"/>
        </w:rPr>
        <w:t> </w:t>
      </w:r>
      <w:r w:rsidRPr="00F16B23">
        <w:rPr>
          <w:lang w:val="fr-FR"/>
        </w:rPr>
        <w:t xml:space="preserve">7a doivent être affectées </w:t>
      </w:r>
      <w:r w:rsidRPr="003F520C">
        <w:rPr>
          <w:lang w:val="fr-FR"/>
        </w:rPr>
        <w:t xml:space="preserve">au même </w:t>
      </w:r>
      <w:r w:rsidRPr="0054548D">
        <w:rPr>
          <w:lang w:val="fr-FR"/>
        </w:rPr>
        <w:t>code d’homologation et au même</w:t>
      </w:r>
      <w:r w:rsidRPr="00452E0C">
        <w:rPr>
          <w:lang w:val="fr-FR"/>
        </w:rPr>
        <w:t xml:space="preserve"> numéro d’homologation que </w:t>
      </w:r>
      <w:r w:rsidRPr="0054548D">
        <w:rPr>
          <w:lang w:val="fr-FR"/>
        </w:rPr>
        <w:t>ceux</w:t>
      </w:r>
      <w:r w:rsidRPr="00F16B23">
        <w:rPr>
          <w:b/>
          <w:lang w:val="fr-FR"/>
        </w:rPr>
        <w:t xml:space="preserve"> </w:t>
      </w:r>
      <w:r w:rsidRPr="00E077E9">
        <w:rPr>
          <w:lang w:val="fr-FR"/>
        </w:rPr>
        <w:t>attribué</w:t>
      </w:r>
      <w:r w:rsidRPr="0054548D">
        <w:rPr>
          <w:lang w:val="fr-FR"/>
        </w:rPr>
        <w:t>s</w:t>
      </w:r>
      <w:r w:rsidRPr="00452E0C">
        <w:rPr>
          <w:lang w:val="fr-FR"/>
        </w:rPr>
        <w:t xml:space="preserve"> </w:t>
      </w:r>
      <w:r w:rsidRPr="00F16B23">
        <w:rPr>
          <w:lang w:val="fr-FR"/>
        </w:rPr>
        <w:t>à la garniture de frein assemblée représentative.</w:t>
      </w:r>
    </w:p>
    <w:p w:rsidR="00521C0D" w:rsidRPr="00F16B23" w:rsidRDefault="00521C0D" w:rsidP="00521C0D">
      <w:pPr>
        <w:pStyle w:val="SingleTxtG"/>
        <w:ind w:left="2268" w:hanging="1134"/>
        <w:rPr>
          <w:lang w:val="fr-FR"/>
        </w:rPr>
      </w:pPr>
      <w:r w:rsidRPr="00F16B23">
        <w:rPr>
          <w:lang w:val="fr-FR"/>
        </w:rPr>
        <w:t>4.3</w:t>
      </w:r>
      <w:r w:rsidRPr="00F16B23">
        <w:rPr>
          <w:lang w:val="fr-FR"/>
        </w:rPr>
        <w:tab/>
        <w:t xml:space="preserve">Une même Partie contractante ne peut attribuer le même </w:t>
      </w:r>
      <w:r w:rsidRPr="0054548D">
        <w:rPr>
          <w:lang w:val="fr-FR"/>
        </w:rPr>
        <w:t xml:space="preserve">code </w:t>
      </w:r>
      <w:r w:rsidRPr="00452E0C">
        <w:rPr>
          <w:lang w:val="fr-FR"/>
        </w:rPr>
        <w:t xml:space="preserve">d’homologation et/ou le même </w:t>
      </w:r>
      <w:r w:rsidRPr="0054548D">
        <w:rPr>
          <w:lang w:val="fr-FR"/>
        </w:rPr>
        <w:t xml:space="preserve">numéro </w:t>
      </w:r>
      <w:r w:rsidRPr="00452E0C">
        <w:rPr>
          <w:lang w:val="fr-FR"/>
        </w:rPr>
        <w:t xml:space="preserve">d’homologation à une pièce de rechange </w:t>
      </w:r>
      <w:r w:rsidRPr="0054548D">
        <w:rPr>
          <w:lang w:val="fr-FR"/>
        </w:rPr>
        <w:t>de qualité ou de type différent</w:t>
      </w:r>
      <w:r w:rsidRPr="00452E0C">
        <w:rPr>
          <w:lang w:val="fr-FR"/>
        </w:rPr>
        <w:t xml:space="preserve">. Le même numéro d’homologation </w:t>
      </w:r>
      <w:r w:rsidRPr="00452E0C">
        <w:rPr>
          <w:strike/>
          <w:lang w:val="fr-FR"/>
        </w:rPr>
        <w:t xml:space="preserve">et </w:t>
      </w:r>
      <w:r w:rsidRPr="0054548D">
        <w:rPr>
          <w:lang w:val="fr-FR"/>
        </w:rPr>
        <w:t>ou</w:t>
      </w:r>
      <w:r w:rsidRPr="00452E0C">
        <w:rPr>
          <w:lang w:val="fr-FR"/>
        </w:rPr>
        <w:t xml:space="preserve"> </w:t>
      </w:r>
      <w:r w:rsidRPr="0054548D">
        <w:rPr>
          <w:lang w:val="fr-FR"/>
        </w:rPr>
        <w:t>le même</w:t>
      </w:r>
      <w:r w:rsidRPr="00452E0C">
        <w:rPr>
          <w:lang w:val="fr-FR"/>
        </w:rPr>
        <w:t xml:space="preserve"> </w:t>
      </w:r>
      <w:r w:rsidRPr="0054548D">
        <w:rPr>
          <w:lang w:val="fr-FR"/>
        </w:rPr>
        <w:t>code d’homologation</w:t>
      </w:r>
      <w:r w:rsidRPr="00F16B23">
        <w:rPr>
          <w:lang w:val="fr-FR"/>
        </w:rPr>
        <w:t>, par contre, peut s</w:t>
      </w:r>
      <w:r>
        <w:rPr>
          <w:lang w:val="fr-FR"/>
        </w:rPr>
        <w:t>’</w:t>
      </w:r>
      <w:r w:rsidRPr="00F16B23">
        <w:rPr>
          <w:lang w:val="fr-FR"/>
        </w:rPr>
        <w:t>appliquer à l</w:t>
      </w:r>
      <w:r>
        <w:rPr>
          <w:lang w:val="fr-FR"/>
        </w:rPr>
        <w:t>’</w:t>
      </w:r>
      <w:r w:rsidRPr="00F16B23">
        <w:rPr>
          <w:lang w:val="fr-FR"/>
        </w:rPr>
        <w:t>utilisation de cette pièce de rechange sur un certain nombre de types de véhicules différents.</w:t>
      </w:r>
    </w:p>
    <w:p w:rsidR="00521C0D" w:rsidRPr="00F16B23" w:rsidRDefault="00521C0D" w:rsidP="00521C0D">
      <w:pPr>
        <w:pStyle w:val="SingleTxtG"/>
        <w:ind w:left="2268"/>
        <w:rPr>
          <w:lang w:val="fr-FR"/>
        </w:rPr>
      </w:pPr>
      <w:r w:rsidRPr="00F16B23">
        <w:rPr>
          <w:lang w:val="fr-FR"/>
        </w:rPr>
        <w:tab/>
        <w:t>…</w:t>
      </w:r>
    </w:p>
    <w:p w:rsidR="00521C0D" w:rsidRDefault="00521C0D" w:rsidP="00521C0D">
      <w:pPr>
        <w:pStyle w:val="SingleTxtG"/>
        <w:ind w:left="2268" w:hanging="1134"/>
        <w:rPr>
          <w:lang w:val="fr-FR"/>
        </w:rPr>
      </w:pPr>
      <w:r w:rsidRPr="00F16B23">
        <w:rPr>
          <w:lang w:val="fr-FR"/>
        </w:rPr>
        <w:t>4.5.2</w:t>
      </w:r>
      <w:r w:rsidRPr="00F16B23">
        <w:rPr>
          <w:lang w:val="fr-FR"/>
        </w:rPr>
        <w:tab/>
        <w:t>Du numéro du présent Règlement, suivi de la lettre “R”, d</w:t>
      </w:r>
      <w:r>
        <w:rPr>
          <w:lang w:val="fr-FR"/>
        </w:rPr>
        <w:t>’</w:t>
      </w:r>
      <w:r w:rsidRPr="00F16B23">
        <w:rPr>
          <w:lang w:val="fr-FR"/>
        </w:rPr>
        <w:t xml:space="preserve">un tiret et du </w:t>
      </w:r>
      <w:r w:rsidRPr="00F16B23">
        <w:rPr>
          <w:b/>
          <w:lang w:val="fr-FR"/>
        </w:rPr>
        <w:t>code</w:t>
      </w:r>
      <w:r w:rsidRPr="00F16B23">
        <w:rPr>
          <w:lang w:val="fr-FR"/>
        </w:rPr>
        <w:t xml:space="preserve"> d</w:t>
      </w:r>
      <w:r>
        <w:rPr>
          <w:lang w:val="fr-FR"/>
        </w:rPr>
        <w:t>’</w:t>
      </w:r>
      <w:r w:rsidRPr="00F16B23">
        <w:rPr>
          <w:lang w:val="fr-FR"/>
        </w:rPr>
        <w:t>homologation, placés à la droite du cercle prévu au paragraphe 4.5.1.</w:t>
      </w:r>
    </w:p>
    <w:p w:rsidR="00521C0D" w:rsidRPr="00F16B23" w:rsidRDefault="00521C0D" w:rsidP="00521C0D">
      <w:pPr>
        <w:pStyle w:val="SingleTxtG"/>
        <w:ind w:left="2268" w:hanging="1134"/>
        <w:rPr>
          <w:spacing w:val="-4"/>
          <w:lang w:val="fr-FR"/>
        </w:rPr>
      </w:pPr>
      <w:r>
        <w:rPr>
          <w:lang w:val="fr-FR"/>
        </w:rPr>
        <w:t>4.5.3</w:t>
      </w:r>
      <w:r>
        <w:rPr>
          <w:lang w:val="fr-FR"/>
        </w:rPr>
        <w:tab/>
        <w:t xml:space="preserve">Sur les pièces </w:t>
      </w:r>
      <w:r w:rsidRPr="00C0436D">
        <w:rPr>
          <w:lang w:val="fr-FR"/>
        </w:rPr>
        <w:t>de rechange de petite taille destinées aux véhicules des catégories L</w:t>
      </w:r>
      <w:r w:rsidRPr="00C0436D">
        <w:rPr>
          <w:vertAlign w:val="subscript"/>
          <w:lang w:val="fr-FR"/>
        </w:rPr>
        <w:t>1</w:t>
      </w:r>
      <w:r w:rsidRPr="00C0436D">
        <w:rPr>
          <w:lang w:val="fr-FR"/>
        </w:rPr>
        <w:t>, L</w:t>
      </w:r>
      <w:r w:rsidRPr="00C0436D">
        <w:rPr>
          <w:vertAlign w:val="subscript"/>
          <w:lang w:val="fr-FR"/>
        </w:rPr>
        <w:t>2</w:t>
      </w:r>
      <w:r w:rsidRPr="00C0436D">
        <w:rPr>
          <w:lang w:val="fr-FR"/>
        </w:rPr>
        <w:t>, L</w:t>
      </w:r>
      <w:r w:rsidRPr="00C0436D">
        <w:rPr>
          <w:vertAlign w:val="subscript"/>
          <w:lang w:val="fr-FR"/>
        </w:rPr>
        <w:t>3</w:t>
      </w:r>
      <w:r w:rsidRPr="00C0436D">
        <w:rPr>
          <w:lang w:val="fr-FR"/>
        </w:rPr>
        <w:t>, L</w:t>
      </w:r>
      <w:r w:rsidRPr="00C0436D">
        <w:rPr>
          <w:vertAlign w:val="subscript"/>
          <w:lang w:val="fr-FR"/>
        </w:rPr>
        <w:t>4</w:t>
      </w:r>
      <w:r w:rsidRPr="00C0436D">
        <w:rPr>
          <w:lang w:val="fr-FR"/>
        </w:rPr>
        <w:t xml:space="preserve"> et L</w:t>
      </w:r>
      <w:r w:rsidRPr="00C0436D">
        <w:rPr>
          <w:vertAlign w:val="subscript"/>
          <w:lang w:val="fr-FR"/>
        </w:rPr>
        <w:t>5</w:t>
      </w:r>
      <w:r w:rsidRPr="00C0436D">
        <w:rPr>
          <w:lang w:val="fr-FR"/>
        </w:rPr>
        <w:t>, sur lesquelles le code d’homologation ne peut être inscrit sur une ligne où a = 8</w:t>
      </w:r>
      <w:r>
        <w:rPr>
          <w:lang w:val="fr-FR"/>
        </w:rPr>
        <w:t> </w:t>
      </w:r>
      <w:r w:rsidRPr="00C0436D">
        <w:rPr>
          <w:lang w:val="fr-FR"/>
        </w:rPr>
        <w:t>mm, comme défini dans l’</w:t>
      </w:r>
      <w:r>
        <w:rPr>
          <w:lang w:val="fr-FR"/>
        </w:rPr>
        <w:t>a</w:t>
      </w:r>
      <w:r w:rsidRPr="00C0436D">
        <w:rPr>
          <w:lang w:val="fr-FR"/>
        </w:rPr>
        <w:t>nnexe</w:t>
      </w:r>
      <w:r>
        <w:rPr>
          <w:lang w:val="fr-FR"/>
        </w:rPr>
        <w:t xml:space="preserve"> 2 du présent Règlement, une partie du code d’homologation commençant par la série de numéros </w:t>
      </w:r>
      <w:r w:rsidRPr="00C0436D">
        <w:rPr>
          <w:lang w:val="fr-FR"/>
        </w:rPr>
        <w:t>tel que</w:t>
      </w:r>
      <w:r>
        <w:rPr>
          <w:lang w:val="fr-FR"/>
        </w:rPr>
        <w:t xml:space="preserve"> définie au paragraphe 4.2.3 ci-dessus peut être apposée sur la seconde ligne de la marque. </w:t>
      </w:r>
    </w:p>
    <w:p w:rsidR="00521C0D" w:rsidRPr="00F16B23" w:rsidRDefault="00521C0D" w:rsidP="00521C0D">
      <w:pPr>
        <w:pStyle w:val="SingleTxtG"/>
        <w:ind w:left="2268"/>
        <w:rPr>
          <w:lang w:val="fr-FR"/>
        </w:rPr>
      </w:pPr>
      <w:r w:rsidRPr="00F16B23">
        <w:rPr>
          <w:lang w:val="fr-FR"/>
        </w:rPr>
        <w:tab/>
      </w:r>
      <w:r>
        <w:rPr>
          <w:lang w:val="fr-FR"/>
        </w:rPr>
        <w:t>…</w:t>
      </w:r>
    </w:p>
    <w:p w:rsidR="00521C0D" w:rsidRPr="00C62975" w:rsidRDefault="00521C0D" w:rsidP="00521C0D">
      <w:pPr>
        <w:pStyle w:val="SingleTxtG"/>
        <w:ind w:left="2268" w:hanging="1134"/>
        <w:rPr>
          <w:lang w:val="fr-FR"/>
        </w:rPr>
      </w:pPr>
      <w:r w:rsidRPr="00C62975">
        <w:rPr>
          <w:bCs/>
          <w:lang w:val="fr-FR"/>
        </w:rPr>
        <w:t>4.8</w:t>
      </w:r>
      <w:r w:rsidRPr="00C62975">
        <w:rPr>
          <w:bCs/>
          <w:lang w:val="fr-FR"/>
        </w:rPr>
        <w:tab/>
      </w:r>
      <w:r w:rsidRPr="00C62975">
        <w:rPr>
          <w:lang w:val="fr-FR"/>
        </w:rPr>
        <w:t>Les marques d’homologation prescrites dans le présent Règlement ne peuvent être remplacées par l’identifiant unique (UI)</w:t>
      </w:r>
      <w:r w:rsidRPr="00D005B1">
        <w:t xml:space="preserve"> </w:t>
      </w:r>
      <w:r w:rsidRPr="00C62975">
        <w:rPr>
          <w:lang w:val="fr-FR"/>
        </w:rPr>
        <w:t>dont il est fait mention à l’annexe 5 de l’Accord de 1958. »</w:t>
      </w:r>
      <w:r w:rsidR="0059017E">
        <w:rPr>
          <w:lang w:val="fr-FR"/>
        </w:rPr>
        <w:t>.</w:t>
      </w:r>
    </w:p>
    <w:p w:rsidR="0059017E" w:rsidRDefault="0059017E" w:rsidP="00521C0D">
      <w:pPr>
        <w:pStyle w:val="SingleTxtG"/>
        <w:keepNext/>
        <w:ind w:left="2268" w:hanging="1134"/>
        <w:rPr>
          <w:rFonts w:asciiTheme="majorBidi" w:hAnsiTheme="majorBidi" w:cstheme="majorBidi"/>
          <w:lang w:val="fr-FR"/>
        </w:rPr>
      </w:pPr>
      <w:r w:rsidRPr="0059017E">
        <w:rPr>
          <w:rFonts w:asciiTheme="majorBidi" w:hAnsiTheme="majorBidi" w:cstheme="majorBidi"/>
          <w:i/>
          <w:iCs/>
          <w:lang w:val="fr-FR"/>
        </w:rPr>
        <w:lastRenderedPageBreak/>
        <w:t>Paragraphe 5.3.4.1.1</w:t>
      </w:r>
      <w:r>
        <w:rPr>
          <w:rFonts w:asciiTheme="majorBidi" w:hAnsiTheme="majorBidi" w:cstheme="majorBidi"/>
          <w:lang w:val="fr-FR"/>
        </w:rPr>
        <w:t>, lire :</w:t>
      </w:r>
    </w:p>
    <w:p w:rsidR="00521C0D" w:rsidRPr="00D005B1" w:rsidRDefault="00521C0D" w:rsidP="00521C0D">
      <w:pPr>
        <w:pStyle w:val="SingleTxtG"/>
        <w:keepNext/>
        <w:ind w:left="2268" w:hanging="1134"/>
        <w:rPr>
          <w:rFonts w:asciiTheme="majorBidi" w:hAnsiTheme="majorBidi" w:cstheme="majorBidi"/>
          <w:iCs/>
        </w:rPr>
      </w:pPr>
      <w:r>
        <w:rPr>
          <w:rFonts w:asciiTheme="majorBidi" w:hAnsiTheme="majorBidi" w:cstheme="majorBidi"/>
          <w:lang w:val="fr-FR"/>
        </w:rPr>
        <w:t>« </w:t>
      </w:r>
      <w:r w:rsidRPr="0054548D">
        <w:rPr>
          <w:rFonts w:asciiTheme="majorBidi" w:hAnsiTheme="majorBidi" w:cstheme="majorBidi"/>
          <w:iCs/>
          <w:lang w:val="fr-FR"/>
        </w:rPr>
        <w:t>5.3.4.1.1</w:t>
      </w:r>
      <w:r w:rsidRPr="0054548D">
        <w:rPr>
          <w:rFonts w:asciiTheme="majorBidi" w:hAnsiTheme="majorBidi" w:cstheme="majorBidi"/>
          <w:iCs/>
          <w:lang w:val="fr-FR"/>
        </w:rPr>
        <w:tab/>
      </w:r>
      <w:r w:rsidRPr="00D005B1">
        <w:rPr>
          <w:rFonts w:asciiTheme="majorBidi" w:hAnsiTheme="majorBidi" w:cstheme="majorBidi"/>
          <w:iCs/>
        </w:rPr>
        <w:t>Pour les disques, les valeurs maximales ci-après doivent être respectées :</w:t>
      </w:r>
    </w:p>
    <w:tbl>
      <w:tblPr>
        <w:tblW w:w="7370" w:type="dxa"/>
        <w:tblInd w:w="1134" w:type="dxa"/>
        <w:tblLayout w:type="fixed"/>
        <w:tblCellMar>
          <w:left w:w="0" w:type="dxa"/>
          <w:right w:w="0" w:type="dxa"/>
        </w:tblCellMar>
        <w:tblLook w:val="0000" w:firstRow="0" w:lastRow="0" w:firstColumn="0" w:lastColumn="0" w:noHBand="0" w:noVBand="0"/>
      </w:tblPr>
      <w:tblGrid>
        <w:gridCol w:w="2175"/>
        <w:gridCol w:w="1195"/>
        <w:gridCol w:w="1178"/>
        <w:gridCol w:w="1180"/>
        <w:gridCol w:w="1642"/>
      </w:tblGrid>
      <w:tr w:rsidR="00521C0D" w:rsidRPr="00D04F50" w:rsidTr="00703B2F">
        <w:trPr>
          <w:cantSplit/>
          <w:tblHeader/>
        </w:trPr>
        <w:tc>
          <w:tcPr>
            <w:tcW w:w="217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21C0D" w:rsidRPr="00D005B1" w:rsidRDefault="00521C0D" w:rsidP="00703B2F">
            <w:pPr>
              <w:suppressAutoHyphens w:val="0"/>
              <w:spacing w:before="80" w:after="80" w:line="200" w:lineRule="exact"/>
              <w:rPr>
                <w:bCs/>
                <w:i/>
                <w:sz w:val="16"/>
              </w:rPr>
            </w:pPr>
          </w:p>
        </w:tc>
        <w:tc>
          <w:tcPr>
            <w:tcW w:w="1195"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1</w:t>
            </w:r>
            <w:r w:rsidRPr="00D04F50">
              <w:rPr>
                <w:i/>
                <w:iCs/>
                <w:sz w:val="16"/>
                <w:szCs w:val="16"/>
              </w:rPr>
              <w:t>, N</w:t>
            </w:r>
            <w:r w:rsidRPr="00D04F50">
              <w:rPr>
                <w:i/>
                <w:iCs/>
                <w:sz w:val="16"/>
                <w:szCs w:val="16"/>
                <w:vertAlign w:val="subscript"/>
              </w:rPr>
              <w:t>1</w:t>
            </w:r>
            <w:r w:rsidRPr="00D04F50">
              <w:rPr>
                <w:i/>
                <w:iCs/>
                <w:sz w:val="16"/>
                <w:szCs w:val="16"/>
              </w:rPr>
              <w:t>, O</w:t>
            </w:r>
            <w:r w:rsidRPr="00D04F50">
              <w:rPr>
                <w:i/>
                <w:iCs/>
                <w:sz w:val="16"/>
                <w:szCs w:val="16"/>
                <w:vertAlign w:val="subscript"/>
              </w:rPr>
              <w:t>1</w:t>
            </w:r>
            <w:r w:rsidRPr="00D04F50">
              <w:rPr>
                <w:i/>
                <w:iCs/>
                <w:sz w:val="16"/>
                <w:szCs w:val="16"/>
              </w:rPr>
              <w:t>, O</w:t>
            </w:r>
            <w:r w:rsidRPr="00D04F50">
              <w:rPr>
                <w:i/>
                <w:iCs/>
                <w:sz w:val="16"/>
                <w:szCs w:val="16"/>
                <w:vertAlign w:val="subscript"/>
              </w:rPr>
              <w:t>2</w:t>
            </w:r>
            <w:r w:rsidRPr="00D04F50">
              <w:rPr>
                <w:i/>
                <w:iCs/>
                <w:sz w:val="16"/>
                <w:szCs w:val="16"/>
              </w:rPr>
              <w:t>, L</w:t>
            </w:r>
            <w:r w:rsidRPr="00D04F50">
              <w:rPr>
                <w:i/>
                <w:iCs/>
                <w:sz w:val="16"/>
                <w:szCs w:val="16"/>
                <w:vertAlign w:val="subscript"/>
              </w:rPr>
              <w:t>6</w:t>
            </w:r>
            <w:r w:rsidRPr="00D04F50">
              <w:rPr>
                <w:i/>
                <w:iCs/>
                <w:sz w:val="16"/>
                <w:szCs w:val="16"/>
              </w:rPr>
              <w:t xml:space="preserve"> </w:t>
            </w:r>
            <w:r>
              <w:rPr>
                <w:i/>
                <w:iCs/>
                <w:sz w:val="16"/>
                <w:szCs w:val="16"/>
              </w:rPr>
              <w:t>et</w:t>
            </w:r>
            <w:r w:rsidRPr="00D04F50">
              <w:rPr>
                <w:i/>
                <w:iCs/>
                <w:sz w:val="16"/>
                <w:szCs w:val="16"/>
              </w:rPr>
              <w:t xml:space="preserve"> L</w:t>
            </w:r>
            <w:r w:rsidRPr="00D04F50">
              <w:rPr>
                <w:i/>
                <w:iCs/>
                <w:sz w:val="16"/>
                <w:szCs w:val="16"/>
                <w:vertAlign w:val="subscript"/>
              </w:rPr>
              <w:t>7</w:t>
            </w:r>
          </w:p>
        </w:tc>
        <w:tc>
          <w:tcPr>
            <w:tcW w:w="1178"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2</w:t>
            </w:r>
            <w:r w:rsidRPr="00D04F50">
              <w:rPr>
                <w:i/>
                <w:iCs/>
                <w:sz w:val="16"/>
                <w:szCs w:val="16"/>
              </w:rPr>
              <w:t>, N</w:t>
            </w:r>
            <w:r w:rsidRPr="00D04F50">
              <w:rPr>
                <w:i/>
                <w:iCs/>
                <w:sz w:val="16"/>
                <w:szCs w:val="16"/>
                <w:vertAlign w:val="subscript"/>
              </w:rPr>
              <w:t>2</w:t>
            </w:r>
            <w:r w:rsidRPr="00D04F50">
              <w:rPr>
                <w:i/>
                <w:iCs/>
                <w:sz w:val="16"/>
                <w:szCs w:val="16"/>
              </w:rPr>
              <w:t xml:space="preserve">, </w:t>
            </w:r>
          </w:p>
        </w:tc>
        <w:tc>
          <w:tcPr>
            <w:tcW w:w="1180"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3</w:t>
            </w:r>
            <w:r w:rsidRPr="00D04F50">
              <w:rPr>
                <w:i/>
                <w:iCs/>
                <w:sz w:val="16"/>
                <w:szCs w:val="16"/>
              </w:rPr>
              <w:t>, N</w:t>
            </w:r>
            <w:r w:rsidRPr="00D04F50">
              <w:rPr>
                <w:i/>
                <w:iCs/>
                <w:sz w:val="16"/>
                <w:szCs w:val="16"/>
                <w:vertAlign w:val="subscript"/>
              </w:rPr>
              <w:t>3</w:t>
            </w:r>
            <w:r w:rsidRPr="00D04F50">
              <w:rPr>
                <w:i/>
                <w:iCs/>
                <w:sz w:val="16"/>
                <w:szCs w:val="16"/>
              </w:rPr>
              <w:t>, O</w:t>
            </w:r>
            <w:r w:rsidRPr="00D04F50">
              <w:rPr>
                <w:i/>
                <w:iCs/>
                <w:sz w:val="16"/>
                <w:szCs w:val="16"/>
                <w:vertAlign w:val="subscript"/>
              </w:rPr>
              <w:t>3</w:t>
            </w:r>
            <w:r w:rsidRPr="00D04F50">
              <w:rPr>
                <w:i/>
                <w:iCs/>
                <w:sz w:val="16"/>
                <w:szCs w:val="16"/>
              </w:rPr>
              <w:t>, O</w:t>
            </w:r>
            <w:r w:rsidRPr="00D04F50">
              <w:rPr>
                <w:i/>
                <w:iCs/>
                <w:sz w:val="16"/>
                <w:szCs w:val="16"/>
                <w:vertAlign w:val="subscript"/>
              </w:rPr>
              <w:t>4</w:t>
            </w:r>
          </w:p>
        </w:tc>
        <w:tc>
          <w:tcPr>
            <w:tcW w:w="1642"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80" w:after="80" w:line="200" w:lineRule="exact"/>
              <w:jc w:val="right"/>
              <w:rPr>
                <w:i/>
                <w:sz w:val="16"/>
              </w:rPr>
            </w:pPr>
            <w:r w:rsidRPr="00D04F50">
              <w:rPr>
                <w:bCs/>
                <w:i/>
                <w:iCs/>
                <w:sz w:val="16"/>
                <w:szCs w:val="16"/>
              </w:rPr>
              <w:t>L</w:t>
            </w:r>
            <w:r w:rsidRPr="00D04F50">
              <w:rPr>
                <w:bCs/>
                <w:i/>
                <w:iCs/>
                <w:sz w:val="16"/>
                <w:szCs w:val="16"/>
                <w:vertAlign w:val="subscript"/>
              </w:rPr>
              <w:t>1</w:t>
            </w:r>
            <w:r w:rsidRPr="00D04F50">
              <w:rPr>
                <w:bCs/>
                <w:i/>
                <w:iCs/>
                <w:sz w:val="16"/>
                <w:szCs w:val="16"/>
              </w:rPr>
              <w:t>, L</w:t>
            </w:r>
            <w:r w:rsidRPr="00D04F50">
              <w:rPr>
                <w:bCs/>
                <w:i/>
                <w:iCs/>
                <w:sz w:val="16"/>
                <w:szCs w:val="16"/>
                <w:vertAlign w:val="subscript"/>
              </w:rPr>
              <w:t>2</w:t>
            </w:r>
            <w:r w:rsidRPr="00D04F50">
              <w:rPr>
                <w:bCs/>
                <w:i/>
                <w:iCs/>
                <w:sz w:val="16"/>
                <w:szCs w:val="16"/>
              </w:rPr>
              <w:t>, L</w:t>
            </w:r>
            <w:r w:rsidRPr="00D04F50">
              <w:rPr>
                <w:bCs/>
                <w:i/>
                <w:iCs/>
                <w:sz w:val="16"/>
                <w:szCs w:val="16"/>
                <w:vertAlign w:val="subscript"/>
              </w:rPr>
              <w:t>3</w:t>
            </w:r>
            <w:r w:rsidRPr="00D04F50">
              <w:rPr>
                <w:bCs/>
                <w:i/>
                <w:iCs/>
                <w:sz w:val="16"/>
                <w:szCs w:val="16"/>
              </w:rPr>
              <w:t>, L</w:t>
            </w:r>
            <w:r w:rsidRPr="00D04F50">
              <w:rPr>
                <w:bCs/>
                <w:i/>
                <w:iCs/>
                <w:sz w:val="16"/>
                <w:szCs w:val="16"/>
                <w:vertAlign w:val="subscript"/>
              </w:rPr>
              <w:t xml:space="preserve">4 </w:t>
            </w:r>
            <w:r w:rsidRPr="00D04F50">
              <w:rPr>
                <w:bCs/>
                <w:i/>
                <w:iCs/>
                <w:sz w:val="16"/>
                <w:szCs w:val="16"/>
              </w:rPr>
              <w:t>, L</w:t>
            </w:r>
            <w:r w:rsidRPr="00D04F50">
              <w:rPr>
                <w:bCs/>
                <w:i/>
                <w:iCs/>
                <w:sz w:val="16"/>
                <w:szCs w:val="16"/>
                <w:vertAlign w:val="subscript"/>
              </w:rPr>
              <w:t>5</w:t>
            </w:r>
          </w:p>
        </w:tc>
      </w:tr>
      <w:tr w:rsidR="00521C0D" w:rsidRPr="00D04F50" w:rsidTr="00703B2F">
        <w:trPr>
          <w:cantSplit/>
        </w:trPr>
        <w:tc>
          <w:tcPr>
            <w:tcW w:w="2175" w:type="dxa"/>
            <w:tcBorders>
              <w:top w:val="single" w:sz="12" w:space="0" w:color="auto"/>
              <w:bottom w:val="single" w:sz="2" w:space="0" w:color="auto"/>
            </w:tcBorders>
            <w:shd w:val="clear" w:color="auto" w:fill="auto"/>
            <w:tcMar>
              <w:top w:w="0" w:type="dxa"/>
              <w:left w:w="113" w:type="dxa"/>
              <w:bottom w:w="0" w:type="dxa"/>
              <w:right w:w="0" w:type="dxa"/>
            </w:tcMar>
          </w:tcPr>
          <w:p w:rsidR="00521C0D" w:rsidRPr="00D04F50" w:rsidRDefault="00521C0D" w:rsidP="00703B2F">
            <w:pPr>
              <w:suppressAutoHyphens w:val="0"/>
              <w:spacing w:before="40" w:after="40" w:line="220" w:lineRule="exact"/>
              <w:rPr>
                <w:sz w:val="18"/>
                <w:szCs w:val="18"/>
              </w:rPr>
            </w:pPr>
            <w:r w:rsidRPr="009A59E6">
              <w:rPr>
                <w:sz w:val="18"/>
                <w:szCs w:val="18"/>
              </w:rPr>
              <w:t>Variation de l’épaisseur</w:t>
            </w:r>
          </w:p>
        </w:tc>
        <w:tc>
          <w:tcPr>
            <w:tcW w:w="1195" w:type="dxa"/>
            <w:tcBorders>
              <w:top w:val="single" w:sz="1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0,</w:t>
            </w:r>
            <w:r w:rsidRPr="00D04F50">
              <w:rPr>
                <w:sz w:val="18"/>
                <w:szCs w:val="18"/>
              </w:rPr>
              <w:t>015 mm</w:t>
            </w:r>
          </w:p>
        </w:tc>
        <w:tc>
          <w:tcPr>
            <w:tcW w:w="1178" w:type="dxa"/>
            <w:tcBorders>
              <w:top w:val="single" w:sz="1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0,</w:t>
            </w:r>
            <w:r w:rsidRPr="00D04F50">
              <w:rPr>
                <w:sz w:val="18"/>
                <w:szCs w:val="18"/>
              </w:rPr>
              <w:t xml:space="preserve">030 mm </w:t>
            </w:r>
          </w:p>
        </w:tc>
        <w:tc>
          <w:tcPr>
            <w:tcW w:w="1180" w:type="dxa"/>
            <w:tcBorders>
              <w:top w:val="single" w:sz="1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bCs/>
                <w:sz w:val="18"/>
                <w:szCs w:val="18"/>
              </w:rPr>
              <w:t>0,</w:t>
            </w:r>
            <w:r w:rsidRPr="00D04F50">
              <w:rPr>
                <w:bCs/>
                <w:sz w:val="18"/>
                <w:szCs w:val="18"/>
              </w:rPr>
              <w:t>040</w:t>
            </w:r>
            <w:r>
              <w:rPr>
                <w:bCs/>
                <w:sz w:val="18"/>
                <w:szCs w:val="18"/>
              </w:rPr>
              <w:t> </w:t>
            </w:r>
            <w:r w:rsidRPr="00D04F50">
              <w:rPr>
                <w:bCs/>
                <w:sz w:val="18"/>
                <w:szCs w:val="18"/>
              </w:rPr>
              <w:t>mm</w:t>
            </w:r>
          </w:p>
        </w:tc>
        <w:tc>
          <w:tcPr>
            <w:tcW w:w="1642" w:type="dxa"/>
            <w:tcBorders>
              <w:top w:val="single" w:sz="1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0,</w:t>
            </w:r>
            <w:r w:rsidRPr="00D04F50">
              <w:rPr>
                <w:sz w:val="18"/>
                <w:szCs w:val="18"/>
              </w:rPr>
              <w:t>020</w:t>
            </w:r>
            <w:r>
              <w:rPr>
                <w:sz w:val="18"/>
                <w:szCs w:val="18"/>
              </w:rPr>
              <w:t> </w:t>
            </w:r>
            <w:r w:rsidRPr="00D04F50">
              <w:rPr>
                <w:sz w:val="18"/>
                <w:szCs w:val="18"/>
              </w:rPr>
              <w:t>mm</w:t>
            </w:r>
          </w:p>
        </w:tc>
      </w:tr>
      <w:tr w:rsidR="00521C0D" w:rsidRPr="00D04F50" w:rsidTr="00703B2F">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Variation de l’épaisseur des parois du disque (pour les disques ventilés seulement)</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1,</w:t>
            </w:r>
            <w:r w:rsidRPr="00D04F50">
              <w:rPr>
                <w:sz w:val="18"/>
                <w:szCs w:val="18"/>
              </w:rPr>
              <w:t>5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2</w:t>
            </w:r>
            <w:r>
              <w:rPr>
                <w:sz w:val="18"/>
                <w:szCs w:val="18"/>
              </w:rPr>
              <w:t>,</w:t>
            </w:r>
            <w:r w:rsidRPr="00D04F50">
              <w:rPr>
                <w:sz w:val="18"/>
                <w:szCs w:val="18"/>
              </w:rPr>
              <w:t>0</w:t>
            </w:r>
            <w:r>
              <w:rPr>
                <w:sz w:val="18"/>
                <w:szCs w:val="18"/>
              </w:rPr>
              <w:t> </w:t>
            </w:r>
            <w:r w:rsidRPr="00D04F50">
              <w:rPr>
                <w:sz w:val="18"/>
                <w:szCs w:val="18"/>
              </w:rPr>
              <w:t>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2,</w:t>
            </w:r>
            <w:r w:rsidRPr="00D04F50">
              <w:rPr>
                <w:sz w:val="18"/>
                <w:szCs w:val="18"/>
              </w:rPr>
              <w:t>0</w:t>
            </w:r>
            <w:r>
              <w:rPr>
                <w:sz w:val="18"/>
                <w:szCs w:val="18"/>
              </w:rPr>
              <w:t> </w:t>
            </w:r>
            <w:r w:rsidRPr="00D04F50">
              <w:rPr>
                <w:sz w:val="18"/>
                <w:szCs w:val="18"/>
              </w:rPr>
              <w:t>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w:t>
            </w:r>
            <w:r w:rsidRPr="009D7DB0">
              <w:rPr>
                <w:sz w:val="18"/>
                <w:szCs w:val="18"/>
              </w:rPr>
              <w:t>*</w:t>
            </w:r>
            <w:r>
              <w:rPr>
                <w:sz w:val="18"/>
                <w:szCs w:val="18"/>
              </w:rPr>
              <w:t>*</w:t>
            </w:r>
            <w:r w:rsidRPr="009D7DB0">
              <w:rPr>
                <w:sz w:val="18"/>
                <w:szCs w:val="18"/>
              </w:rPr>
              <w:t>**</w:t>
            </w:r>
            <w:r w:rsidRPr="00D04F50">
              <w:rPr>
                <w:sz w:val="18"/>
                <w:szCs w:val="18"/>
              </w:rPr>
              <w:t>)</w:t>
            </w:r>
          </w:p>
        </w:tc>
      </w:tr>
      <w:tr w:rsidR="00521C0D" w:rsidRPr="00D04F50" w:rsidTr="00703B2F">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Voile de la piste de freinage</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0,</w:t>
            </w:r>
            <w:r w:rsidRPr="00D04F50">
              <w:rPr>
                <w:sz w:val="18"/>
                <w:szCs w:val="18"/>
              </w:rPr>
              <w:t>050 mm</w:t>
            </w:r>
            <w:r w:rsidRPr="001F7222">
              <w:rPr>
                <w:sz w:val="18"/>
                <w:szCs w:val="18"/>
              </w:rPr>
              <w:t>*</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0</w:t>
            </w:r>
            <w:r>
              <w:rPr>
                <w:sz w:val="18"/>
                <w:szCs w:val="18"/>
              </w:rPr>
              <w:t>,</w:t>
            </w:r>
            <w:r w:rsidRPr="00D04F50">
              <w:rPr>
                <w:sz w:val="18"/>
                <w:szCs w:val="18"/>
              </w:rPr>
              <w:t>15 mm</w:t>
            </w:r>
            <w:r w:rsidRPr="001F7222">
              <w:rPr>
                <w:sz w:val="18"/>
                <w:szCs w:val="18"/>
              </w:rPr>
              <w:t>*</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0,</w:t>
            </w:r>
            <w:r w:rsidRPr="00D04F50">
              <w:rPr>
                <w:sz w:val="18"/>
                <w:szCs w:val="18"/>
              </w:rPr>
              <w:t>15 mm</w:t>
            </w:r>
            <w:r w:rsidRPr="001F7222">
              <w:rPr>
                <w:sz w:val="18"/>
                <w:szCs w:val="18"/>
              </w:rPr>
              <w:t>*</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0</w:t>
            </w:r>
            <w:r>
              <w:rPr>
                <w:sz w:val="18"/>
                <w:szCs w:val="18"/>
              </w:rPr>
              <w:t>,</w:t>
            </w:r>
            <w:r w:rsidRPr="00D04F50">
              <w:rPr>
                <w:sz w:val="18"/>
                <w:szCs w:val="18"/>
              </w:rPr>
              <w:t>150</w:t>
            </w:r>
            <w:r>
              <w:rPr>
                <w:sz w:val="18"/>
                <w:szCs w:val="18"/>
              </w:rPr>
              <w:t xml:space="preserve"> </w:t>
            </w:r>
            <w:r w:rsidRPr="00D04F50">
              <w:rPr>
                <w:sz w:val="18"/>
                <w:szCs w:val="18"/>
              </w:rPr>
              <w:t>mm***</w:t>
            </w:r>
          </w:p>
        </w:tc>
      </w:tr>
      <w:tr w:rsidR="00521C0D" w:rsidRPr="00D04F50" w:rsidTr="00703B2F">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Variation sur l’alésage de centrage</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H9</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H9</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H9</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 xml:space="preserve">D10 </w:t>
            </w:r>
            <w:r>
              <w:rPr>
                <w:sz w:val="18"/>
                <w:szCs w:val="18"/>
              </w:rPr>
              <w:t>ou</w:t>
            </w:r>
            <w:r w:rsidRPr="00D04F50">
              <w:rPr>
                <w:sz w:val="18"/>
                <w:szCs w:val="18"/>
              </w:rPr>
              <w:t xml:space="preserve"> H11</w:t>
            </w:r>
            <w:r w:rsidRPr="009D7DB0">
              <w:rPr>
                <w:sz w:val="18"/>
                <w:szCs w:val="18"/>
              </w:rPr>
              <w:t>****</w:t>
            </w:r>
            <w:r w:rsidRPr="008033B7">
              <w:rPr>
                <w:sz w:val="18"/>
                <w:szCs w:val="18"/>
              </w:rPr>
              <w:t>*</w:t>
            </w:r>
          </w:p>
        </w:tc>
      </w:tr>
      <w:tr w:rsidR="00521C0D" w:rsidRPr="00D04F50" w:rsidTr="00703B2F">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Parallélisme du bol de fixation</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0,100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0,100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0,100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w:t>
            </w:r>
          </w:p>
        </w:tc>
      </w:tr>
      <w:tr w:rsidR="00521C0D" w:rsidRPr="00D04F50" w:rsidTr="00703B2F">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Planéité de la face d’appui</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0</w:t>
            </w:r>
            <w:r>
              <w:rPr>
                <w:sz w:val="18"/>
                <w:szCs w:val="18"/>
              </w:rPr>
              <w:t>,</w:t>
            </w:r>
            <w:r w:rsidRPr="00D04F50">
              <w:rPr>
                <w:sz w:val="18"/>
                <w:szCs w:val="18"/>
              </w:rPr>
              <w:t>050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0,050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0,050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0</w:t>
            </w:r>
            <w:r>
              <w:rPr>
                <w:sz w:val="18"/>
                <w:szCs w:val="18"/>
              </w:rPr>
              <w:t>,</w:t>
            </w:r>
            <w:r w:rsidRPr="00D04F50">
              <w:rPr>
                <w:sz w:val="18"/>
                <w:szCs w:val="18"/>
              </w:rPr>
              <w:t>100</w:t>
            </w:r>
            <w:r>
              <w:rPr>
                <w:sz w:val="18"/>
                <w:szCs w:val="18"/>
              </w:rPr>
              <w:t xml:space="preserve"> </w:t>
            </w:r>
            <w:r w:rsidRPr="00D04F50">
              <w:rPr>
                <w:sz w:val="18"/>
                <w:szCs w:val="18"/>
              </w:rPr>
              <w:t>mm</w:t>
            </w:r>
          </w:p>
        </w:tc>
      </w:tr>
      <w:tr w:rsidR="00521C0D" w:rsidRPr="00D04F50" w:rsidTr="00703B2F">
        <w:trPr>
          <w:cantSplit/>
        </w:trPr>
        <w:tc>
          <w:tcPr>
            <w:tcW w:w="2175" w:type="dxa"/>
            <w:tcBorders>
              <w:top w:val="single" w:sz="2" w:space="0" w:color="auto"/>
              <w:bottom w:val="single" w:sz="12" w:space="0" w:color="auto"/>
            </w:tcBorders>
            <w:shd w:val="clear" w:color="auto" w:fill="auto"/>
            <w:tcMar>
              <w:top w:w="0" w:type="dxa"/>
              <w:left w:w="113" w:type="dxa"/>
              <w:bottom w:w="0" w:type="dxa"/>
              <w:right w:w="0" w:type="dxa"/>
            </w:tcMar>
          </w:tcPr>
          <w:p w:rsidR="00521C0D" w:rsidRPr="00D005B1" w:rsidRDefault="00521C0D" w:rsidP="00703B2F">
            <w:pPr>
              <w:suppressAutoHyphens w:val="0"/>
              <w:spacing w:before="40" w:after="40" w:line="220" w:lineRule="exact"/>
              <w:rPr>
                <w:sz w:val="18"/>
                <w:szCs w:val="18"/>
              </w:rPr>
            </w:pPr>
            <w:r w:rsidRPr="00D005B1">
              <w:rPr>
                <w:sz w:val="18"/>
                <w:szCs w:val="18"/>
              </w:rPr>
              <w:t>Rugosité de la piste de freinage</w:t>
            </w:r>
            <w:r w:rsidRPr="00D005B1">
              <w:rPr>
                <w:sz w:val="18"/>
                <w:szCs w:val="18"/>
                <w:vertAlign w:val="superscript"/>
              </w:rPr>
              <w:t>**</w:t>
            </w:r>
          </w:p>
        </w:tc>
        <w:tc>
          <w:tcPr>
            <w:tcW w:w="1195" w:type="dxa"/>
            <w:tcBorders>
              <w:top w:val="single" w:sz="2"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Pr>
                <w:sz w:val="18"/>
                <w:szCs w:val="18"/>
              </w:rPr>
              <w:t>3,</w:t>
            </w:r>
            <w:r w:rsidRPr="00D04F50">
              <w:rPr>
                <w:sz w:val="18"/>
                <w:szCs w:val="18"/>
              </w:rPr>
              <w:t>2 µm</w:t>
            </w:r>
          </w:p>
        </w:tc>
        <w:tc>
          <w:tcPr>
            <w:tcW w:w="1178" w:type="dxa"/>
            <w:tcBorders>
              <w:top w:val="single" w:sz="2"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3,2 µm</w:t>
            </w:r>
          </w:p>
        </w:tc>
        <w:tc>
          <w:tcPr>
            <w:tcW w:w="1180" w:type="dxa"/>
            <w:tcBorders>
              <w:top w:val="single" w:sz="2"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820E7C">
              <w:rPr>
                <w:sz w:val="18"/>
                <w:szCs w:val="18"/>
              </w:rPr>
              <w:t>3,2 µm</w:t>
            </w:r>
          </w:p>
        </w:tc>
        <w:tc>
          <w:tcPr>
            <w:tcW w:w="1642" w:type="dxa"/>
            <w:tcBorders>
              <w:top w:val="single" w:sz="2" w:space="0" w:color="auto"/>
              <w:bottom w:val="single" w:sz="12" w:space="0" w:color="auto"/>
            </w:tcBorders>
            <w:shd w:val="clear" w:color="auto" w:fill="auto"/>
            <w:tcMar>
              <w:top w:w="0" w:type="dxa"/>
              <w:left w:w="108" w:type="dxa"/>
              <w:bottom w:w="0" w:type="dxa"/>
              <w:right w:w="108" w:type="dxa"/>
            </w:tcMar>
            <w:vAlign w:val="bottom"/>
          </w:tcPr>
          <w:p w:rsidR="00521C0D" w:rsidRPr="00D04F50" w:rsidRDefault="00521C0D" w:rsidP="00703B2F">
            <w:pPr>
              <w:suppressAutoHyphens w:val="0"/>
              <w:spacing w:before="40" w:after="40" w:line="220" w:lineRule="exact"/>
              <w:jc w:val="right"/>
              <w:rPr>
                <w:sz w:val="18"/>
                <w:szCs w:val="18"/>
              </w:rPr>
            </w:pPr>
            <w:r w:rsidRPr="00D04F50">
              <w:rPr>
                <w:sz w:val="18"/>
                <w:szCs w:val="18"/>
              </w:rPr>
              <w:t>1</w:t>
            </w:r>
            <w:r>
              <w:rPr>
                <w:sz w:val="18"/>
                <w:szCs w:val="18"/>
              </w:rPr>
              <w:t>,</w:t>
            </w:r>
            <w:r w:rsidRPr="00D04F50">
              <w:rPr>
                <w:sz w:val="18"/>
                <w:szCs w:val="18"/>
              </w:rPr>
              <w:t>6</w:t>
            </w:r>
            <w:r>
              <w:rPr>
                <w:sz w:val="18"/>
                <w:szCs w:val="18"/>
              </w:rPr>
              <w:t xml:space="preserve"> </w:t>
            </w:r>
            <w:r w:rsidRPr="00D04F50">
              <w:rPr>
                <w:sz w:val="18"/>
                <w:szCs w:val="18"/>
              </w:rPr>
              <w:t>µm</w:t>
            </w:r>
          </w:p>
        </w:tc>
      </w:tr>
    </w:tbl>
    <w:p w:rsidR="00521C0D" w:rsidRPr="00D005B1" w:rsidRDefault="00521C0D" w:rsidP="00521C0D">
      <w:pPr>
        <w:suppressAutoHyphens w:val="0"/>
        <w:spacing w:before="120"/>
        <w:ind w:left="1134" w:right="1134" w:firstLine="170"/>
        <w:rPr>
          <w:sz w:val="18"/>
          <w:szCs w:val="18"/>
        </w:rPr>
      </w:pPr>
      <w:r w:rsidRPr="00D005B1">
        <w:rPr>
          <w:sz w:val="18"/>
          <w:szCs w:val="18"/>
        </w:rPr>
        <w:t>* Sans objet dans le cas d’un disque flottant.</w:t>
      </w:r>
    </w:p>
    <w:p w:rsidR="00521C0D" w:rsidRPr="00D005B1" w:rsidRDefault="00521C0D" w:rsidP="00521C0D">
      <w:pPr>
        <w:suppressAutoHyphens w:val="0"/>
        <w:ind w:left="1134" w:right="1134" w:firstLine="170"/>
        <w:rPr>
          <w:sz w:val="18"/>
          <w:szCs w:val="18"/>
        </w:rPr>
      </w:pPr>
      <w:r w:rsidRPr="00D005B1">
        <w:rPr>
          <w:sz w:val="18"/>
          <w:szCs w:val="18"/>
        </w:rPr>
        <w:t>**</w:t>
      </w:r>
      <w:r w:rsidRPr="00D005B1">
        <w:rPr>
          <w:rFonts w:asciiTheme="majorBidi" w:hAnsiTheme="majorBidi" w:cstheme="majorBidi"/>
        </w:rPr>
        <w:t xml:space="preserve"> </w:t>
      </w:r>
      <w:r w:rsidRPr="00D005B1">
        <w:rPr>
          <w:sz w:val="18"/>
          <w:szCs w:val="18"/>
        </w:rPr>
        <w:t>Valeur Ra selon la norme ISO 1302:2002.</w:t>
      </w:r>
    </w:p>
    <w:p w:rsidR="00521C0D" w:rsidRPr="00D005B1" w:rsidRDefault="00521C0D" w:rsidP="00521C0D">
      <w:pPr>
        <w:suppressAutoHyphens w:val="0"/>
        <w:ind w:left="1134" w:right="1134" w:firstLine="170"/>
        <w:rPr>
          <w:sz w:val="18"/>
          <w:szCs w:val="18"/>
        </w:rPr>
      </w:pPr>
      <w:r w:rsidRPr="00D005B1">
        <w:rPr>
          <w:sz w:val="18"/>
          <w:szCs w:val="18"/>
        </w:rPr>
        <w:t>***</w:t>
      </w:r>
      <w:r w:rsidRPr="00D005B1">
        <w:rPr>
          <w:rFonts w:asciiTheme="majorBidi" w:hAnsiTheme="majorBidi" w:cstheme="majorBidi"/>
        </w:rPr>
        <w:t xml:space="preserve"> </w:t>
      </w:r>
      <w:r w:rsidRPr="00D005B1">
        <w:rPr>
          <w:sz w:val="18"/>
          <w:szCs w:val="18"/>
        </w:rPr>
        <w:t>0,100 mm pour la rectitude maximale dans le cas d’un disque “totalement flottant” (sans contraintes élastiques entre le bol et la piste de freinage).</w:t>
      </w:r>
    </w:p>
    <w:p w:rsidR="00521C0D" w:rsidRPr="00D005B1" w:rsidRDefault="00521C0D" w:rsidP="00521C0D">
      <w:pPr>
        <w:suppressAutoHyphens w:val="0"/>
        <w:ind w:left="1134" w:right="1134" w:firstLine="170"/>
        <w:rPr>
          <w:sz w:val="18"/>
          <w:szCs w:val="18"/>
        </w:rPr>
      </w:pPr>
      <w:r w:rsidRPr="00D005B1">
        <w:rPr>
          <w:sz w:val="18"/>
          <w:szCs w:val="18"/>
        </w:rPr>
        <w:t>****</w:t>
      </w:r>
      <w:r w:rsidRPr="00D005B1">
        <w:rPr>
          <w:rFonts w:asciiTheme="majorBidi" w:hAnsiTheme="majorBidi" w:cstheme="majorBidi"/>
        </w:rPr>
        <w:t xml:space="preserve"> </w:t>
      </w:r>
      <w:r w:rsidRPr="00D005B1">
        <w:rPr>
          <w:sz w:val="18"/>
          <w:szCs w:val="18"/>
        </w:rPr>
        <w:t>Sans objet dans le cas des véhicules des catégories L</w:t>
      </w:r>
      <w:r w:rsidRPr="00D005B1">
        <w:rPr>
          <w:sz w:val="18"/>
          <w:szCs w:val="18"/>
          <w:vertAlign w:val="subscript"/>
        </w:rPr>
        <w:t>1</w:t>
      </w:r>
      <w:r w:rsidRPr="00D005B1">
        <w:rPr>
          <w:sz w:val="18"/>
          <w:szCs w:val="18"/>
        </w:rPr>
        <w:t>, L</w:t>
      </w:r>
      <w:r w:rsidRPr="00D005B1">
        <w:rPr>
          <w:sz w:val="18"/>
          <w:szCs w:val="18"/>
          <w:vertAlign w:val="subscript"/>
        </w:rPr>
        <w:t>2</w:t>
      </w:r>
      <w:r w:rsidRPr="00D005B1">
        <w:rPr>
          <w:sz w:val="18"/>
          <w:szCs w:val="18"/>
        </w:rPr>
        <w:t>, L</w:t>
      </w:r>
      <w:r w:rsidRPr="00D005B1">
        <w:rPr>
          <w:sz w:val="18"/>
          <w:szCs w:val="18"/>
          <w:vertAlign w:val="subscript"/>
        </w:rPr>
        <w:t>3</w:t>
      </w:r>
      <w:r w:rsidRPr="00D005B1">
        <w:rPr>
          <w:sz w:val="18"/>
          <w:szCs w:val="18"/>
        </w:rPr>
        <w:t>, L</w:t>
      </w:r>
      <w:r w:rsidRPr="00D005B1">
        <w:rPr>
          <w:sz w:val="18"/>
          <w:szCs w:val="18"/>
          <w:vertAlign w:val="subscript"/>
        </w:rPr>
        <w:t>4</w:t>
      </w:r>
      <w:r w:rsidRPr="00D005B1">
        <w:rPr>
          <w:sz w:val="18"/>
          <w:szCs w:val="18"/>
        </w:rPr>
        <w:t xml:space="preserve"> et L</w:t>
      </w:r>
      <w:r w:rsidRPr="00D005B1">
        <w:rPr>
          <w:sz w:val="18"/>
          <w:szCs w:val="18"/>
          <w:vertAlign w:val="subscript"/>
        </w:rPr>
        <w:t>5</w:t>
      </w:r>
      <w:r w:rsidRPr="00D005B1">
        <w:t>.</w:t>
      </w:r>
    </w:p>
    <w:p w:rsidR="00521C0D" w:rsidRPr="00F16B23" w:rsidRDefault="00521C0D" w:rsidP="00521C0D">
      <w:pPr>
        <w:pStyle w:val="SingleTxtG"/>
        <w:spacing w:after="240"/>
        <w:ind w:firstLine="170"/>
        <w:rPr>
          <w:b/>
          <w:bCs/>
          <w:lang w:val="fr-FR"/>
        </w:rPr>
      </w:pPr>
      <w:r w:rsidRPr="00D005B1">
        <w:rPr>
          <w:sz w:val="18"/>
          <w:szCs w:val="18"/>
        </w:rPr>
        <w:t>*****</w:t>
      </w:r>
      <w:r w:rsidRPr="00D005B1">
        <w:rPr>
          <w:rFonts w:asciiTheme="majorBidi" w:hAnsiTheme="majorBidi" w:cstheme="majorBidi"/>
        </w:rPr>
        <w:t xml:space="preserve"> </w:t>
      </w:r>
      <w:r w:rsidRPr="00D005B1">
        <w:rPr>
          <w:sz w:val="18"/>
          <w:szCs w:val="18"/>
        </w:rPr>
        <w:t>Variation sur l’alésage de centrage, le cas échéant, en raison du procédé de fabrication.</w:t>
      </w:r>
      <w:r w:rsidRPr="00D005B1">
        <w:rPr>
          <w:rFonts w:asciiTheme="majorBidi" w:hAnsiTheme="majorBidi" w:cstheme="majorBidi"/>
        </w:rPr>
        <w:t> »</w:t>
      </w:r>
      <w:r w:rsidR="0059017E">
        <w:rPr>
          <w:rFonts w:asciiTheme="majorBidi" w:hAnsiTheme="majorBidi" w:cstheme="majorBidi"/>
        </w:rPr>
        <w:t>.</w:t>
      </w:r>
    </w:p>
    <w:p w:rsidR="00521C0D" w:rsidRPr="00F16B23" w:rsidRDefault="00521C0D" w:rsidP="00521C0D">
      <w:pPr>
        <w:pStyle w:val="SingleTxtG"/>
        <w:keepNext/>
        <w:rPr>
          <w:lang w:val="fr-FR"/>
        </w:rPr>
      </w:pPr>
      <w:r w:rsidRPr="00F16B23">
        <w:rPr>
          <w:i/>
          <w:lang w:val="fr-FR"/>
        </w:rPr>
        <w:t xml:space="preserve">Paragraphe 6.2.2 et </w:t>
      </w:r>
      <w:r>
        <w:rPr>
          <w:i/>
          <w:lang w:val="fr-FR"/>
        </w:rPr>
        <w:t xml:space="preserve">ses </w:t>
      </w:r>
      <w:r w:rsidRPr="00F16B23">
        <w:rPr>
          <w:i/>
          <w:lang w:val="fr-FR"/>
        </w:rPr>
        <w:t>sous-paragraphes</w:t>
      </w:r>
      <w:r w:rsidRPr="00F16B23">
        <w:rPr>
          <w:lang w:val="fr-FR"/>
        </w:rPr>
        <w:t xml:space="preserve">, </w:t>
      </w:r>
      <w:r w:rsidRPr="00F16B23">
        <w:rPr>
          <w:iCs/>
          <w:lang w:val="fr-FR"/>
        </w:rPr>
        <w:t>lire :</w:t>
      </w:r>
    </w:p>
    <w:p w:rsidR="00521C0D" w:rsidRPr="00F16B23" w:rsidRDefault="00521C0D" w:rsidP="00521C0D">
      <w:pPr>
        <w:pStyle w:val="SingleTxtG"/>
        <w:keepNext/>
        <w:tabs>
          <w:tab w:val="left" w:pos="2268"/>
        </w:tabs>
        <w:ind w:left="2268" w:hanging="1134"/>
        <w:rPr>
          <w:lang w:val="fr-FR"/>
        </w:rPr>
      </w:pPr>
      <w:r w:rsidRPr="00F16B23">
        <w:rPr>
          <w:lang w:val="fr-FR"/>
        </w:rPr>
        <w:t>« </w:t>
      </w:r>
      <w:bookmarkStart w:id="0" w:name="_Hlk34219242"/>
      <w:r w:rsidRPr="00F16B23">
        <w:rPr>
          <w:lang w:val="fr-FR"/>
        </w:rPr>
        <w:t>6.2.2</w:t>
      </w:r>
      <w:bookmarkEnd w:id="0"/>
      <w:r w:rsidRPr="00F16B23">
        <w:rPr>
          <w:lang w:val="fr-FR"/>
        </w:rPr>
        <w:tab/>
        <w:t>Marquage</w:t>
      </w:r>
    </w:p>
    <w:p w:rsidR="00521C0D" w:rsidRPr="00F16B23" w:rsidRDefault="00521C0D" w:rsidP="00521C0D">
      <w:pPr>
        <w:pStyle w:val="SingleTxtG"/>
        <w:keepNext/>
        <w:ind w:left="2268"/>
        <w:rPr>
          <w:lang w:val="fr-FR"/>
        </w:rPr>
      </w:pPr>
      <w:r w:rsidRPr="00F16B23">
        <w:rPr>
          <w:lang w:val="fr-FR"/>
        </w:rPr>
        <w:tab/>
        <w:t>Chaque disque/tambour de frein homologué conformément au présent Règlement doit porter un marquage durable comprenant au moins les informations suivantes :</w:t>
      </w:r>
    </w:p>
    <w:p w:rsidR="00521C0D" w:rsidRPr="00F16B23" w:rsidRDefault="00521C0D" w:rsidP="00521C0D">
      <w:pPr>
        <w:pStyle w:val="SingleTxtG"/>
        <w:tabs>
          <w:tab w:val="left" w:pos="2268"/>
        </w:tabs>
        <w:ind w:left="2268" w:hanging="1134"/>
        <w:rPr>
          <w:lang w:val="fr-FR"/>
        </w:rPr>
      </w:pPr>
      <w:r w:rsidRPr="00F16B23">
        <w:rPr>
          <w:lang w:val="fr-FR"/>
        </w:rPr>
        <w:t>6.2.2.1</w:t>
      </w:r>
      <w:r w:rsidRPr="00F16B23">
        <w:rPr>
          <w:lang w:val="fr-FR"/>
        </w:rPr>
        <w:tab/>
        <w:t>Nom du constructeur ou désignation commerciale ;</w:t>
      </w:r>
    </w:p>
    <w:p w:rsidR="00521C0D" w:rsidRPr="00F16B23" w:rsidRDefault="00521C0D" w:rsidP="00521C0D">
      <w:pPr>
        <w:pStyle w:val="SingleTxtG"/>
        <w:tabs>
          <w:tab w:val="left" w:pos="2268"/>
        </w:tabs>
        <w:ind w:left="2268" w:hanging="1134"/>
        <w:rPr>
          <w:lang w:val="fr-FR"/>
        </w:rPr>
      </w:pPr>
      <w:r w:rsidRPr="00F16B23">
        <w:rPr>
          <w:lang w:val="fr-FR"/>
        </w:rPr>
        <w:t>6.2.2.2</w:t>
      </w:r>
      <w:r w:rsidRPr="00F16B23">
        <w:rPr>
          <w:lang w:val="fr-FR"/>
        </w:rPr>
        <w:tab/>
      </w:r>
      <w:r w:rsidRPr="00A90AF6">
        <w:rPr>
          <w:lang w:val="fr-FR"/>
        </w:rPr>
        <w:t>Code</w:t>
      </w:r>
      <w:r w:rsidRPr="00F16B23">
        <w:rPr>
          <w:lang w:val="fr-FR"/>
        </w:rPr>
        <w:t xml:space="preserve"> d</w:t>
      </w:r>
      <w:r>
        <w:rPr>
          <w:lang w:val="fr-FR"/>
        </w:rPr>
        <w:t>’</w:t>
      </w:r>
      <w:r w:rsidRPr="00F16B23">
        <w:rPr>
          <w:lang w:val="fr-FR"/>
        </w:rPr>
        <w:t>homologation ;</w:t>
      </w:r>
    </w:p>
    <w:p w:rsidR="00521C0D" w:rsidRPr="00F16B23" w:rsidRDefault="00521C0D" w:rsidP="00521C0D">
      <w:pPr>
        <w:pStyle w:val="SingleTxtG"/>
        <w:spacing w:before="120"/>
        <w:ind w:left="2268" w:hanging="1134"/>
        <w:rPr>
          <w:lang w:val="fr-FR"/>
        </w:rPr>
      </w:pPr>
      <w:r w:rsidRPr="00F16B23">
        <w:rPr>
          <w:lang w:val="fr-FR"/>
        </w:rPr>
        <w:t>6.2.2.3</w:t>
      </w:r>
      <w:r w:rsidRPr="00F16B23">
        <w:rPr>
          <w:lang w:val="fr-FR"/>
        </w:rPr>
        <w:tab/>
        <w:t>… »</w:t>
      </w:r>
      <w:r w:rsidR="0059017E">
        <w:rPr>
          <w:lang w:val="fr-FR"/>
        </w:rPr>
        <w:t>.</w:t>
      </w:r>
    </w:p>
    <w:p w:rsidR="00521C0D" w:rsidRPr="00F16B23" w:rsidRDefault="00521C0D" w:rsidP="00521C0D">
      <w:pPr>
        <w:pStyle w:val="SingleTxtG"/>
        <w:rPr>
          <w:lang w:val="fr-FR"/>
        </w:rPr>
      </w:pPr>
      <w:r w:rsidRPr="00F16B23">
        <w:rPr>
          <w:i/>
          <w:lang w:val="fr-FR"/>
        </w:rPr>
        <w:t>Paragraphe</w:t>
      </w:r>
      <w:r>
        <w:rPr>
          <w:i/>
          <w:lang w:val="fr-FR"/>
        </w:rPr>
        <w:t> </w:t>
      </w:r>
      <w:r w:rsidRPr="00F16B23">
        <w:rPr>
          <w:i/>
          <w:lang w:val="fr-FR"/>
        </w:rPr>
        <w:t>12</w:t>
      </w:r>
      <w:r w:rsidRPr="00F16B23">
        <w:rPr>
          <w:lang w:val="fr-FR"/>
        </w:rPr>
        <w:t xml:space="preserve">, insérer les nouveaux </w:t>
      </w:r>
      <w:r>
        <w:rPr>
          <w:lang w:val="fr-FR"/>
        </w:rPr>
        <w:t>sous-</w:t>
      </w:r>
      <w:r w:rsidRPr="00F16B23">
        <w:rPr>
          <w:lang w:val="fr-FR"/>
        </w:rPr>
        <w:t>paragraphes</w:t>
      </w:r>
      <w:r>
        <w:rPr>
          <w:lang w:val="fr-FR"/>
        </w:rPr>
        <w:t> </w:t>
      </w:r>
      <w:r w:rsidRPr="00F16B23">
        <w:rPr>
          <w:lang w:val="fr-FR"/>
        </w:rPr>
        <w:t>12.4, 12.5 et 12.6, comme suit :</w:t>
      </w:r>
    </w:p>
    <w:p w:rsidR="00521C0D" w:rsidRPr="00A90AF6" w:rsidRDefault="00521C0D" w:rsidP="00521C0D">
      <w:pPr>
        <w:suppressAutoHyphens w:val="0"/>
        <w:spacing w:after="120" w:line="240" w:lineRule="exact"/>
        <w:ind w:left="2268" w:right="1134" w:hanging="1134"/>
        <w:jc w:val="both"/>
        <w:rPr>
          <w:rFonts w:eastAsia="MS Mincho"/>
          <w:snapToGrid w:val="0"/>
          <w:lang w:val="fr-FR" w:eastAsia="ja-JP"/>
        </w:rPr>
      </w:pPr>
      <w:r>
        <w:rPr>
          <w:rFonts w:eastAsia="MS Mincho"/>
          <w:bCs/>
          <w:snapToGrid w:val="0"/>
          <w:lang w:val="fr-FR" w:eastAsia="ja-JP"/>
        </w:rPr>
        <w:t>« </w:t>
      </w:r>
      <w:r w:rsidRPr="00A90AF6">
        <w:rPr>
          <w:rFonts w:eastAsia="MS Mincho"/>
          <w:snapToGrid w:val="0"/>
          <w:lang w:val="fr-FR" w:eastAsia="ja-JP"/>
        </w:rPr>
        <w:t>12.4</w:t>
      </w:r>
      <w:r w:rsidRPr="00A90AF6">
        <w:rPr>
          <w:rFonts w:eastAsia="MS Mincho"/>
          <w:snapToGrid w:val="0"/>
          <w:lang w:val="fr-FR" w:eastAsia="ja-JP"/>
        </w:rPr>
        <w:tab/>
      </w:r>
      <w:r w:rsidRPr="00A90AF6">
        <w:rPr>
          <w:lang w:val="fr-FR"/>
        </w:rPr>
        <w:t>À compter de la date officielle d’entrée en vigueur du complément</w:t>
      </w:r>
      <w:r>
        <w:rPr>
          <w:lang w:val="fr-FR"/>
        </w:rPr>
        <w:t> </w:t>
      </w:r>
      <w:r w:rsidRPr="00A90AF6">
        <w:rPr>
          <w:lang w:val="fr-FR"/>
        </w:rPr>
        <w:t>5 à la série</w:t>
      </w:r>
      <w:r>
        <w:rPr>
          <w:lang w:val="fr-FR"/>
        </w:rPr>
        <w:t> </w:t>
      </w:r>
      <w:r w:rsidRPr="00A90AF6">
        <w:rPr>
          <w:lang w:val="fr-FR"/>
        </w:rPr>
        <w:t>02 d’amendements, aucune Partie contractante appliquant le présent Règlement ne pourra refuser d’accorder une homologation de type ONU en vertu de ce Règlement tel que modifié par le complément</w:t>
      </w:r>
      <w:r>
        <w:rPr>
          <w:lang w:val="fr-FR"/>
        </w:rPr>
        <w:t> </w:t>
      </w:r>
      <w:r w:rsidRPr="00A90AF6">
        <w:rPr>
          <w:lang w:val="fr-FR"/>
        </w:rPr>
        <w:t>5 à la série</w:t>
      </w:r>
      <w:r>
        <w:rPr>
          <w:lang w:val="fr-FR"/>
        </w:rPr>
        <w:t> </w:t>
      </w:r>
      <w:r w:rsidRPr="00A90AF6">
        <w:rPr>
          <w:lang w:val="fr-FR"/>
        </w:rPr>
        <w:t>02 d’amendements ou refuser d’accepter une telle homologation.</w:t>
      </w:r>
    </w:p>
    <w:p w:rsidR="00521C0D" w:rsidRPr="00A90AF6" w:rsidRDefault="00521C0D" w:rsidP="00521C0D">
      <w:pPr>
        <w:keepLines/>
        <w:suppressAutoHyphens w:val="0"/>
        <w:spacing w:after="120" w:line="240" w:lineRule="exact"/>
        <w:ind w:left="2268" w:right="1134" w:hanging="1134"/>
        <w:jc w:val="both"/>
        <w:rPr>
          <w:rFonts w:eastAsia="MS Mincho"/>
          <w:snapToGrid w:val="0"/>
          <w:lang w:val="fr-FR" w:eastAsia="ja-JP"/>
        </w:rPr>
      </w:pPr>
      <w:r w:rsidRPr="00A90AF6">
        <w:rPr>
          <w:rFonts w:eastAsia="MS Mincho"/>
          <w:snapToGrid w:val="0"/>
          <w:lang w:val="fr-FR" w:eastAsia="ja-JP"/>
        </w:rPr>
        <w:t>12.5</w:t>
      </w:r>
      <w:r w:rsidRPr="00A90AF6">
        <w:rPr>
          <w:rFonts w:eastAsia="MS Mincho"/>
          <w:snapToGrid w:val="0"/>
          <w:lang w:val="fr-FR" w:eastAsia="ja-JP"/>
        </w:rPr>
        <w:tab/>
        <w:t>Jusqu’au 1</w:t>
      </w:r>
      <w:r w:rsidRPr="00A90AF6">
        <w:rPr>
          <w:rFonts w:eastAsia="MS Mincho"/>
          <w:snapToGrid w:val="0"/>
          <w:vertAlign w:val="superscript"/>
          <w:lang w:val="fr-FR" w:eastAsia="ja-JP"/>
        </w:rPr>
        <w:t>er</w:t>
      </w:r>
      <w:r w:rsidRPr="00A90AF6">
        <w:rPr>
          <w:rFonts w:eastAsia="MS Mincho"/>
          <w:snapToGrid w:val="0"/>
          <w:lang w:val="fr-FR" w:eastAsia="ja-JP"/>
        </w:rPr>
        <w:t> mars</w:t>
      </w:r>
      <w:r>
        <w:rPr>
          <w:rFonts w:eastAsia="MS Mincho"/>
          <w:snapToGrid w:val="0"/>
          <w:lang w:val="fr-FR" w:eastAsia="ja-JP"/>
        </w:rPr>
        <w:t> </w:t>
      </w:r>
      <w:r w:rsidRPr="00A90AF6">
        <w:rPr>
          <w:rFonts w:eastAsia="MS Mincho"/>
          <w:snapToGrid w:val="0"/>
          <w:lang w:val="fr-FR" w:eastAsia="ja-JP"/>
        </w:rPr>
        <w:t xml:space="preserve">2021, </w:t>
      </w:r>
      <w:r w:rsidRPr="00A90AF6">
        <w:rPr>
          <w:lang w:val="fr-FR"/>
        </w:rPr>
        <w:t>les Parties contractantes appliquant le présent Règlement peuvent continuer d’accorder des homologations</w:t>
      </w:r>
      <w:r>
        <w:rPr>
          <w:lang w:val="fr-FR"/>
        </w:rPr>
        <w:t> </w:t>
      </w:r>
      <w:r w:rsidRPr="00A90AF6">
        <w:rPr>
          <w:lang w:val="fr-FR"/>
        </w:rPr>
        <w:t>ONU conformément à la série</w:t>
      </w:r>
      <w:r>
        <w:rPr>
          <w:lang w:val="fr-FR"/>
        </w:rPr>
        <w:t> </w:t>
      </w:r>
      <w:r w:rsidRPr="00A90AF6">
        <w:rPr>
          <w:lang w:val="fr-FR"/>
        </w:rPr>
        <w:t>02 d’amendements à ce Règlement sans tenir compte des dispositions du complément</w:t>
      </w:r>
      <w:r>
        <w:rPr>
          <w:lang w:val="fr-FR"/>
        </w:rPr>
        <w:t> </w:t>
      </w:r>
      <w:r w:rsidRPr="00A90AF6">
        <w:rPr>
          <w:lang w:val="fr-FR"/>
        </w:rPr>
        <w:t>5.</w:t>
      </w:r>
    </w:p>
    <w:p w:rsidR="00521C0D" w:rsidRPr="00F16B23" w:rsidRDefault="00521C0D" w:rsidP="00521C0D">
      <w:pPr>
        <w:suppressAutoHyphens w:val="0"/>
        <w:spacing w:after="120" w:line="240" w:lineRule="exact"/>
        <w:ind w:left="2268" w:right="1134" w:hanging="1134"/>
        <w:jc w:val="both"/>
        <w:rPr>
          <w:rFonts w:eastAsia="MS Mincho"/>
          <w:b/>
          <w:snapToGrid w:val="0"/>
          <w:lang w:val="fr-FR" w:eastAsia="ja-JP"/>
        </w:rPr>
      </w:pPr>
      <w:r w:rsidRPr="00A90AF6">
        <w:rPr>
          <w:rFonts w:eastAsia="MS Mincho"/>
          <w:snapToGrid w:val="0"/>
          <w:lang w:val="fr-FR" w:eastAsia="ja-JP"/>
        </w:rPr>
        <w:t>12.6</w:t>
      </w:r>
      <w:r w:rsidRPr="00A90AF6">
        <w:rPr>
          <w:rFonts w:eastAsia="MS Mincho"/>
          <w:snapToGrid w:val="0"/>
          <w:lang w:val="fr-FR" w:eastAsia="ja-JP"/>
        </w:rPr>
        <w:tab/>
      </w:r>
      <w:r w:rsidRPr="00A90AF6">
        <w:rPr>
          <w:lang w:val="fr-FR"/>
        </w:rPr>
        <w:t>Les Parties contractantes appliquant le présent Règlement peuvent continuer d’accorder des extensions pour des homologations de type ONU existantes délivrées conformément à la série</w:t>
      </w:r>
      <w:r>
        <w:rPr>
          <w:lang w:val="fr-FR"/>
        </w:rPr>
        <w:t> </w:t>
      </w:r>
      <w:r w:rsidRPr="00A90AF6">
        <w:rPr>
          <w:lang w:val="fr-FR"/>
        </w:rPr>
        <w:t>02 d’amendements à ce Règlement, sans tenir compte des dispositions du complément</w:t>
      </w:r>
      <w:r>
        <w:rPr>
          <w:lang w:val="fr-FR"/>
        </w:rPr>
        <w:t> </w:t>
      </w:r>
      <w:r w:rsidRPr="00A90AF6">
        <w:rPr>
          <w:lang w:val="fr-FR"/>
        </w:rPr>
        <w:t>5. »</w:t>
      </w:r>
      <w:r w:rsidR="0059017E">
        <w:rPr>
          <w:lang w:val="fr-FR"/>
        </w:rPr>
        <w:t>.</w:t>
      </w:r>
    </w:p>
    <w:p w:rsidR="00521C0D" w:rsidRPr="00CF0F4B" w:rsidRDefault="00521C0D" w:rsidP="00521C0D">
      <w:pPr>
        <w:pStyle w:val="SingleTxtG"/>
        <w:keepNext/>
        <w:keepLines/>
        <w:rPr>
          <w:lang w:val="fr-FR"/>
        </w:rPr>
      </w:pPr>
      <w:r w:rsidRPr="00F16B23">
        <w:rPr>
          <w:i/>
          <w:lang w:val="fr-FR"/>
        </w:rPr>
        <w:lastRenderedPageBreak/>
        <w:t>Annexe</w:t>
      </w:r>
      <w:r>
        <w:rPr>
          <w:i/>
          <w:lang w:val="fr-FR"/>
        </w:rPr>
        <w:t> </w:t>
      </w:r>
      <w:r w:rsidRPr="00F16B23">
        <w:rPr>
          <w:i/>
          <w:lang w:val="fr-FR"/>
        </w:rPr>
        <w:t xml:space="preserve">1A, </w:t>
      </w:r>
      <w:r w:rsidRPr="00A90AF6">
        <w:rPr>
          <w:lang w:val="fr-FR"/>
        </w:rPr>
        <w:t>« </w:t>
      </w:r>
      <w:r w:rsidRPr="00F16B23">
        <w:rPr>
          <w:i/>
          <w:lang w:val="fr-FR"/>
        </w:rPr>
        <w:t>Communication</w:t>
      </w:r>
      <w:r w:rsidRPr="00A90AF6">
        <w:rPr>
          <w:lang w:val="fr-FR"/>
        </w:rPr>
        <w:t> »</w:t>
      </w:r>
      <w:r w:rsidRPr="00D005B1">
        <w:t>,</w:t>
      </w:r>
      <w:r w:rsidRPr="00F16B23">
        <w:rPr>
          <w:lang w:val="fr-FR"/>
        </w:rPr>
        <w:t xml:space="preserve"> modifier comme suit, y compris </w:t>
      </w:r>
      <w:r w:rsidRPr="00CF0F4B">
        <w:rPr>
          <w:lang w:val="fr-FR"/>
        </w:rPr>
        <w:t>l’ajout des deux nouvelles notes de bas de page 3 et 4 :</w:t>
      </w:r>
    </w:p>
    <w:p w:rsidR="00521C0D" w:rsidRPr="00D005B1" w:rsidRDefault="00521C0D" w:rsidP="00521C0D">
      <w:pPr>
        <w:pStyle w:val="HChG"/>
      </w:pPr>
      <w:r w:rsidRPr="00D005B1">
        <w:tab/>
      </w:r>
      <w:r w:rsidRPr="00D005B1">
        <w:rPr>
          <w:b w:val="0"/>
          <w:sz w:val="20"/>
        </w:rPr>
        <w:t>« </w:t>
      </w:r>
      <w:r w:rsidRPr="00D005B1">
        <w:rPr>
          <w:bCs/>
        </w:rPr>
        <w:t xml:space="preserve">Annexe </w:t>
      </w:r>
      <w:r w:rsidRPr="00D005B1">
        <w:t>1</w:t>
      </w:r>
      <w:r w:rsidRPr="007B0713">
        <w:rPr>
          <w:lang w:val="fr-FR"/>
        </w:rPr>
        <w:t>A</w:t>
      </w:r>
    </w:p>
    <w:p w:rsidR="00521C0D" w:rsidRPr="00D005B1" w:rsidRDefault="00521C0D" w:rsidP="00521C0D">
      <w:pPr>
        <w:pStyle w:val="HChG"/>
        <w:spacing w:after="120"/>
      </w:pPr>
      <w:r w:rsidRPr="00D005B1">
        <w:tab/>
      </w:r>
      <w:r w:rsidRPr="00D005B1">
        <w:tab/>
      </w:r>
      <w:r w:rsidRPr="00E31B9F">
        <w:rPr>
          <w:bCs/>
          <w:lang w:val="ru-RU"/>
        </w:rPr>
        <w:t>С</w:t>
      </w:r>
      <w:proofErr w:type="spellStart"/>
      <w:r w:rsidRPr="00D005B1">
        <w:rPr>
          <w:bCs/>
        </w:rPr>
        <w:t>ommunication</w:t>
      </w:r>
      <w:proofErr w:type="spellEnd"/>
    </w:p>
    <w:p w:rsidR="00521C0D" w:rsidRPr="00D005B1" w:rsidRDefault="00521C0D" w:rsidP="00521C0D">
      <w:pPr>
        <w:pStyle w:val="SingleTxtG"/>
      </w:pPr>
      <w:r w:rsidRPr="00D005B1">
        <w:t>(F</w:t>
      </w:r>
      <w:proofErr w:type="spellStart"/>
      <w:r w:rsidRPr="00F16B23">
        <w:rPr>
          <w:lang w:val="fr-FR"/>
        </w:rPr>
        <w:t>ormat</w:t>
      </w:r>
      <w:proofErr w:type="spellEnd"/>
      <w:r w:rsidRPr="00F16B23">
        <w:rPr>
          <w:lang w:val="fr-FR"/>
        </w:rPr>
        <w:t xml:space="preserve"> maximal</w:t>
      </w:r>
      <w:r>
        <w:rPr>
          <w:lang w:val="fr-FR"/>
        </w:rPr>
        <w:t> </w:t>
      </w:r>
      <w:r w:rsidRPr="00F16B23">
        <w:rPr>
          <w:lang w:val="fr-FR"/>
        </w:rPr>
        <w:t>: A4 (210 x 297 mm</w:t>
      </w:r>
      <w:r>
        <w:rPr>
          <w:lang w:val="fr-FR"/>
        </w:rPr>
        <w:t> )</w:t>
      </w:r>
      <w:r w:rsidRPr="00D005B1">
        <w:t>)</w:t>
      </w:r>
    </w:p>
    <w:p w:rsidR="00521C0D" w:rsidRPr="007B0713" w:rsidRDefault="00521C0D" w:rsidP="00521C0D">
      <w:pPr>
        <w:pStyle w:val="SingleTxtG"/>
      </w:pPr>
      <w:r w:rsidRPr="007B0713">
        <w:rPr>
          <w:noProof/>
          <w:lang w:eastAsia="fr-CH"/>
        </w:rPr>
        <mc:AlternateContent>
          <mc:Choice Requires="wps">
            <w:drawing>
              <wp:anchor distT="0" distB="0" distL="114300" distR="114300" simplePos="0" relativeHeight="251660288" behindDoc="0" locked="0" layoutInCell="1" allowOverlap="1" wp14:anchorId="39DD1CC2" wp14:editId="72A50881">
                <wp:simplePos x="0" y="0"/>
                <wp:positionH relativeFrom="column">
                  <wp:posOffset>2628228</wp:posOffset>
                </wp:positionH>
                <wp:positionV relativeFrom="paragraph">
                  <wp:posOffset>13298</wp:posOffset>
                </wp:positionV>
                <wp:extent cx="2661920" cy="662305"/>
                <wp:effectExtent l="0" t="0" r="508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0D" w:rsidRPr="00D005B1" w:rsidRDefault="00521C0D" w:rsidP="00521C0D">
                            <w:pPr>
                              <w:ind w:left="1701" w:hanging="1701"/>
                            </w:pPr>
                            <w:r w:rsidRPr="00D005B1">
                              <w:t>Émanant de :</w:t>
                            </w:r>
                            <w:r w:rsidRPr="00D005B1">
                              <w:tab/>
                              <w:t>Nom de l’administration :</w:t>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1CC2" id="Text Box 2" o:spid="_x0000_s1027" type="#_x0000_t202" style="position:absolute;left:0;text-align:left;margin-left:206.95pt;margin-top:1.05pt;width:209.6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" stroked="f">
                <v:textbox inset="0,0,0,0">
                  <w:txbxContent>
                    <w:p w:rsidR="00521C0D" w:rsidRPr="00D005B1" w:rsidRDefault="00521C0D" w:rsidP="00521C0D">
                      <w:pPr>
                        <w:ind w:left="1701" w:hanging="1701"/>
                      </w:pPr>
                      <w:r w:rsidRPr="00D005B1">
                        <w:t>Émanant de :</w:t>
                      </w:r>
                      <w:r w:rsidRPr="00D005B1">
                        <w:tab/>
                        <w:t>Nom de l’administration :</w:t>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txbxContent>
                </v:textbox>
              </v:shape>
            </w:pict>
          </mc:Fallback>
        </mc:AlternateContent>
      </w:r>
      <w:r w:rsidRPr="007B0713">
        <w:rPr>
          <w:noProof/>
          <w:lang w:eastAsia="fr-CH"/>
        </w:rPr>
        <mc:AlternateContent>
          <mc:Choice Requires="wps">
            <w:drawing>
              <wp:anchor distT="0" distB="0" distL="114300" distR="114300" simplePos="0" relativeHeight="251661312" behindDoc="0" locked="0" layoutInCell="1" allowOverlap="1" wp14:anchorId="40442863" wp14:editId="11CE2A9F">
                <wp:simplePos x="0" y="0"/>
                <wp:positionH relativeFrom="column">
                  <wp:posOffset>1674159</wp:posOffset>
                </wp:positionH>
                <wp:positionV relativeFrom="paragraph">
                  <wp:posOffset>271183</wp:posOffset>
                </wp:positionV>
                <wp:extent cx="317500" cy="342900"/>
                <wp:effectExtent l="5715" t="13335" r="10160" b="57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521C0D" w:rsidRPr="004215B6" w:rsidRDefault="00521C0D" w:rsidP="00521C0D">
                            <w:pPr>
                              <w:rPr>
                                <w:rFonts w:ascii="Arial Unicode MS" w:eastAsia="Arial Unicode MS" w:hAnsi="Arial Unicode MS" w:cs="Arial Unicode MS"/>
                                <w:b/>
                                <w:sz w:val="18"/>
                                <w:szCs w:val="18"/>
                              </w:rPr>
                            </w:pPr>
                            <w:r w:rsidRPr="004215B6">
                              <w:rPr>
                                <w:b/>
                                <w:bCs/>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2863" id="Text Box 3" o:spid="_x0000_s1028" type="#_x0000_t202" style="position:absolute;left:0;text-align:left;margin-left:131.8pt;margin-top:21.35pt;width: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" strokecolor="white">
                <v:textbox>
                  <w:txbxContent>
                    <w:p w:rsidR="00521C0D" w:rsidRPr="004215B6" w:rsidRDefault="00521C0D" w:rsidP="00521C0D">
                      <w:pPr>
                        <w:rPr>
                          <w:rFonts w:ascii="Arial Unicode MS" w:eastAsia="Arial Unicode MS" w:hAnsi="Arial Unicode MS" w:cs="Arial Unicode MS"/>
                          <w:b/>
                          <w:sz w:val="18"/>
                          <w:szCs w:val="18"/>
                        </w:rPr>
                      </w:pPr>
                      <w:r w:rsidRPr="004215B6">
                        <w:rPr>
                          <w:b/>
                          <w:bCs/>
                          <w:sz w:val="18"/>
                          <w:szCs w:val="18"/>
                        </w:rPr>
                        <w:t>1</w:t>
                      </w:r>
                    </w:p>
                  </w:txbxContent>
                </v:textbox>
              </v:shape>
            </w:pict>
          </mc:Fallback>
        </mc:AlternateContent>
      </w:r>
      <w:r w:rsidRPr="00D005B1">
        <w:tab/>
      </w:r>
      <w:r w:rsidRPr="007B0713">
        <w:rPr>
          <w:noProof/>
          <w:lang w:eastAsia="fr-CH"/>
        </w:rPr>
        <w:drawing>
          <wp:inline distT="0" distB="0" distL="0" distR="0" wp14:anchorId="2D45C245" wp14:editId="683AA6DB">
            <wp:extent cx="1069975" cy="10090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521C0D" w:rsidRDefault="00521C0D" w:rsidP="00521C0D">
      <w:pPr>
        <w:pStyle w:val="SingleTxtG"/>
        <w:spacing w:before="240"/>
        <w:ind w:left="2552" w:hanging="1418"/>
        <w:jc w:val="left"/>
        <w:rPr>
          <w:lang w:val="fr-FR"/>
        </w:rPr>
      </w:pPr>
      <w:r w:rsidRPr="00D005B1">
        <w:t>concernant</w:t>
      </w:r>
      <w:r w:rsidRPr="00D005B1">
        <w:rPr>
          <w:sz w:val="18"/>
          <w:szCs w:val="18"/>
          <w:vertAlign w:val="superscript"/>
        </w:rPr>
        <w:t>2</w:t>
      </w:r>
      <w:r w:rsidRPr="00D005B1">
        <w:rPr>
          <w:sz w:val="18"/>
          <w:szCs w:val="18"/>
        </w:rPr>
        <w:t> </w:t>
      </w:r>
      <w:r w:rsidRPr="00D005B1">
        <w:t>:</w:t>
      </w:r>
      <w:r w:rsidRPr="00D005B1">
        <w:tab/>
      </w:r>
      <w:r w:rsidRPr="00F16B23">
        <w:rPr>
          <w:lang w:val="fr-FR"/>
        </w:rPr>
        <w:t>Délivrance d</w:t>
      </w:r>
      <w:r>
        <w:rPr>
          <w:lang w:val="fr-FR"/>
        </w:rPr>
        <w:t>’</w:t>
      </w:r>
      <w:r w:rsidRPr="00F16B23">
        <w:rPr>
          <w:lang w:val="fr-FR"/>
        </w:rPr>
        <w:t>une homologation</w:t>
      </w:r>
      <w:r w:rsidRPr="00D005B1">
        <w:br/>
      </w:r>
      <w:r w:rsidRPr="00F16B23">
        <w:rPr>
          <w:lang w:val="fr-FR"/>
        </w:rPr>
        <w:t>Extension d</w:t>
      </w:r>
      <w:r>
        <w:rPr>
          <w:lang w:val="fr-FR"/>
        </w:rPr>
        <w:t>’</w:t>
      </w:r>
      <w:r w:rsidRPr="00F16B23">
        <w:rPr>
          <w:lang w:val="fr-FR"/>
        </w:rPr>
        <w:t>homologation</w:t>
      </w:r>
      <w:r>
        <w:rPr>
          <w:lang w:val="fr-FR"/>
        </w:rPr>
        <w:br/>
      </w:r>
      <w:r w:rsidRPr="00F16B23">
        <w:rPr>
          <w:lang w:val="fr-FR"/>
        </w:rPr>
        <w:t>Refus d</w:t>
      </w:r>
      <w:r>
        <w:rPr>
          <w:lang w:val="fr-FR"/>
        </w:rPr>
        <w:t>’</w:t>
      </w:r>
      <w:r w:rsidRPr="00F16B23">
        <w:rPr>
          <w:lang w:val="fr-FR"/>
        </w:rPr>
        <w:t>homologation</w:t>
      </w:r>
      <w:r>
        <w:rPr>
          <w:lang w:val="fr-FR"/>
        </w:rPr>
        <w:br/>
      </w:r>
      <w:r w:rsidRPr="00F16B23">
        <w:rPr>
          <w:lang w:val="fr-FR"/>
        </w:rPr>
        <w:t>Retrait d</w:t>
      </w:r>
      <w:r>
        <w:rPr>
          <w:lang w:val="fr-FR"/>
        </w:rPr>
        <w:t>’</w:t>
      </w:r>
      <w:r w:rsidRPr="00F16B23">
        <w:rPr>
          <w:lang w:val="fr-FR"/>
        </w:rPr>
        <w:t>homologation</w:t>
      </w:r>
      <w:r>
        <w:rPr>
          <w:lang w:val="fr-FR"/>
        </w:rPr>
        <w:br/>
      </w:r>
      <w:r w:rsidRPr="00F16B23">
        <w:rPr>
          <w:lang w:val="fr-FR"/>
        </w:rPr>
        <w:t>Arrêt définitif de la production</w:t>
      </w:r>
    </w:p>
    <w:p w:rsidR="00521C0D" w:rsidRPr="00D005B1" w:rsidRDefault="00521C0D" w:rsidP="00521C0D">
      <w:pPr>
        <w:pStyle w:val="SingleTxtG"/>
      </w:pPr>
      <w:r w:rsidRPr="00605E32">
        <w:rPr>
          <w:lang w:val="fr-FR"/>
        </w:rPr>
        <w:t xml:space="preserve">de garnitures de frein assemblées de rechange ou de garnitures de frein à tambour de rechange, en application du Règlement </w:t>
      </w:r>
      <w:r>
        <w:rPr>
          <w:lang w:val="fr-FR"/>
        </w:rPr>
        <w:t xml:space="preserve">ONU </w:t>
      </w:r>
      <w:r w:rsidRPr="00605E32">
        <w:rPr>
          <w:rFonts w:eastAsia="MS Mincho"/>
          <w:szCs w:val="22"/>
          <w:lang w:val="fr-FR"/>
        </w:rPr>
        <w:t>n</w:t>
      </w:r>
      <w:r w:rsidRPr="00605E32">
        <w:rPr>
          <w:rFonts w:eastAsia="MS Mincho"/>
          <w:szCs w:val="22"/>
          <w:vertAlign w:val="superscript"/>
          <w:lang w:val="fr-FR"/>
        </w:rPr>
        <w:t>o</w:t>
      </w:r>
      <w:r>
        <w:rPr>
          <w:lang w:val="fr-FR"/>
        </w:rPr>
        <w:t> </w:t>
      </w:r>
      <w:r w:rsidRPr="00605E32">
        <w:rPr>
          <w:lang w:val="fr-FR"/>
        </w:rPr>
        <w:t>90</w:t>
      </w:r>
      <w:r w:rsidRPr="00D005B1">
        <w:t>.</w:t>
      </w:r>
    </w:p>
    <w:p w:rsidR="00521C0D" w:rsidRPr="00D005B1" w:rsidRDefault="00521C0D" w:rsidP="00521C0D">
      <w:pPr>
        <w:pStyle w:val="SingleTxtG"/>
        <w:tabs>
          <w:tab w:val="right" w:leader="dot" w:pos="4253"/>
          <w:tab w:val="left" w:pos="4962"/>
          <w:tab w:val="right" w:leader="dot" w:pos="8505"/>
        </w:tabs>
        <w:jc w:val="left"/>
      </w:pPr>
      <w:r w:rsidRPr="00D005B1">
        <w:t xml:space="preserve">Code </w:t>
      </w:r>
      <w:r w:rsidRPr="00A90AF6">
        <w:rPr>
          <w:lang w:val="fr-FR"/>
        </w:rPr>
        <w:t>d</w:t>
      </w:r>
      <w:r w:rsidRPr="00D005B1">
        <w:t>’homologation</w:t>
      </w:r>
      <w:r w:rsidRPr="00D005B1">
        <w:rPr>
          <w:rFonts w:eastAsia="MS Mincho"/>
          <w:vertAlign w:val="superscript"/>
        </w:rPr>
        <w:t>3</w:t>
      </w:r>
      <w:r w:rsidRPr="00D005B1">
        <w:rPr>
          <w:rFonts w:eastAsia="MS Mincho"/>
        </w:rPr>
        <w:t xml:space="preserve"> </w:t>
      </w:r>
      <w:r w:rsidRPr="00D005B1">
        <w:tab/>
      </w:r>
      <w:r w:rsidRPr="00D005B1">
        <w:tab/>
      </w:r>
      <w:r w:rsidRPr="00A90AF6">
        <w:rPr>
          <w:lang w:val="fr-FR"/>
        </w:rPr>
        <w:t>Homologation</w:t>
      </w:r>
      <w:r>
        <w:rPr>
          <w:lang w:val="fr-FR"/>
        </w:rPr>
        <w:t xml:space="preserve"> </w:t>
      </w:r>
      <w:r w:rsidRPr="005B1145">
        <w:rPr>
          <w:rFonts w:eastAsia="MS Mincho"/>
          <w:szCs w:val="22"/>
          <w:lang w:val="fr-FR"/>
        </w:rPr>
        <w:t>n</w:t>
      </w:r>
      <w:r w:rsidRPr="005B1145">
        <w:rPr>
          <w:rFonts w:eastAsia="MS Mincho"/>
          <w:szCs w:val="22"/>
          <w:vertAlign w:val="superscript"/>
          <w:lang w:val="fr-FR"/>
        </w:rPr>
        <w:t>o</w:t>
      </w:r>
      <w:r>
        <w:rPr>
          <w:lang w:val="fr-FR"/>
        </w:rPr>
        <w:t> </w:t>
      </w:r>
      <w:r w:rsidRPr="00A90AF6">
        <w:rPr>
          <w:rFonts w:eastAsia="MS Mincho"/>
          <w:vertAlign w:val="superscript"/>
          <w:lang w:val="fr-FR"/>
        </w:rPr>
        <w:t>4</w:t>
      </w:r>
      <w:r w:rsidRPr="00A90AF6">
        <w:rPr>
          <w:rFonts w:eastAsia="MS Mincho"/>
          <w:lang w:val="fr-FR"/>
        </w:rPr>
        <w:t xml:space="preserve"> </w:t>
      </w:r>
      <w:r w:rsidRPr="00D005B1">
        <w:tab/>
      </w:r>
    </w:p>
    <w:p w:rsidR="00521C0D" w:rsidRPr="00D005B1" w:rsidRDefault="00521C0D" w:rsidP="00521C0D">
      <w:pPr>
        <w:pStyle w:val="SingleTxtG"/>
      </w:pPr>
      <w:r w:rsidRPr="00D005B1">
        <w:t>1.</w:t>
      </w:r>
      <w:r w:rsidRPr="00D005B1">
        <w:tab/>
        <w:t>… »</w:t>
      </w:r>
      <w:r w:rsidR="007654CD">
        <w:t>.</w:t>
      </w:r>
    </w:p>
    <w:p w:rsidR="00521C0D" w:rsidRPr="00D005B1" w:rsidRDefault="00521C0D" w:rsidP="00521C0D">
      <w:pPr>
        <w:pStyle w:val="SingleTxtG"/>
      </w:pPr>
      <w:r w:rsidRPr="00D005B1">
        <w:t>__________________</w:t>
      </w:r>
    </w:p>
    <w:p w:rsidR="00521C0D" w:rsidRPr="00D005B1" w:rsidRDefault="00521C0D" w:rsidP="00521C0D">
      <w:pPr>
        <w:pStyle w:val="Notedebasdepage"/>
        <w:widowControl w:val="0"/>
        <w:tabs>
          <w:tab w:val="clear" w:pos="1021"/>
          <w:tab w:val="right" w:pos="1020"/>
        </w:tabs>
      </w:pPr>
      <w:r w:rsidRPr="00D005B1">
        <w:tab/>
      </w:r>
      <w:r w:rsidRPr="00D005B1">
        <w:rPr>
          <w:sz w:val="20"/>
        </w:rPr>
        <w:t>« </w:t>
      </w:r>
      <w:r w:rsidRPr="00D005B1">
        <w:rPr>
          <w:vertAlign w:val="superscript"/>
        </w:rPr>
        <w:t>1</w:t>
      </w:r>
      <w:r w:rsidRPr="00D005B1">
        <w:tab/>
      </w:r>
      <w:r w:rsidRPr="00A90AF6">
        <w:rPr>
          <w:lang w:val="fr-FR"/>
        </w:rPr>
        <w:t>Numéro distinctif du pays qui a délivré/étendu/refusé/retiré l’homologation (voir les dispositions du Règlement relatives à l’homologation).</w:t>
      </w:r>
    </w:p>
    <w:p w:rsidR="00521C0D" w:rsidRPr="00D005B1" w:rsidRDefault="00521C0D" w:rsidP="00521C0D">
      <w:pPr>
        <w:pStyle w:val="Notedebasdepage"/>
        <w:widowControl w:val="0"/>
        <w:tabs>
          <w:tab w:val="clear" w:pos="1021"/>
          <w:tab w:val="right" w:pos="1020"/>
        </w:tabs>
      </w:pPr>
      <w:r w:rsidRPr="00D005B1">
        <w:tab/>
      </w:r>
      <w:r w:rsidRPr="00D005B1">
        <w:rPr>
          <w:rStyle w:val="Appelnotedebasdep"/>
        </w:rPr>
        <w:t>2</w:t>
      </w:r>
      <w:r w:rsidRPr="00D005B1">
        <w:tab/>
      </w:r>
      <w:r w:rsidRPr="00A90AF6">
        <w:rPr>
          <w:szCs w:val="22"/>
          <w:lang w:val="fr-FR"/>
        </w:rPr>
        <w:t>Biffer les mentions inutiles</w:t>
      </w:r>
      <w:r w:rsidRPr="00D005B1">
        <w:t>.</w:t>
      </w:r>
    </w:p>
    <w:p w:rsidR="00521C0D" w:rsidRPr="00D005B1" w:rsidRDefault="00521C0D" w:rsidP="00521C0D">
      <w:pPr>
        <w:pStyle w:val="Notedebasdepage"/>
        <w:widowControl w:val="0"/>
        <w:tabs>
          <w:tab w:val="clear" w:pos="1021"/>
          <w:tab w:val="right" w:pos="1020"/>
        </w:tabs>
      </w:pPr>
      <w:r w:rsidRPr="00D005B1">
        <w:tab/>
      </w:r>
      <w:r w:rsidRPr="00D005B1">
        <w:rPr>
          <w:vertAlign w:val="superscript"/>
        </w:rPr>
        <w:t>3</w:t>
      </w:r>
      <w:r w:rsidRPr="00D005B1">
        <w:tab/>
      </w:r>
      <w:r w:rsidRPr="00A90AF6">
        <w:rPr>
          <w:lang w:val="fr-FR"/>
        </w:rPr>
        <w:t>Conformément au paragraphe 4.2 du présent Règlement</w:t>
      </w:r>
      <w:r w:rsidRPr="00D005B1">
        <w:t>.</w:t>
      </w:r>
    </w:p>
    <w:p w:rsidR="00521C0D" w:rsidRPr="00D005B1" w:rsidRDefault="00521C0D" w:rsidP="00521C0D">
      <w:pPr>
        <w:pStyle w:val="Notedebasdepage"/>
        <w:widowControl w:val="0"/>
      </w:pPr>
      <w:r w:rsidRPr="00D005B1">
        <w:tab/>
      </w:r>
      <w:r w:rsidRPr="00D005B1">
        <w:rPr>
          <w:rStyle w:val="Appelnotedebasdep"/>
        </w:rPr>
        <w:t>4</w:t>
      </w:r>
      <w:r w:rsidRPr="00D005B1">
        <w:tab/>
      </w:r>
      <w:r w:rsidRPr="00A90AF6">
        <w:rPr>
          <w:lang w:val="fr-FR"/>
        </w:rPr>
        <w:t>Conformément</w:t>
      </w:r>
      <w:r w:rsidRPr="00D005B1">
        <w:rPr>
          <w:bCs/>
          <w:szCs w:val="18"/>
        </w:rPr>
        <w:t xml:space="preserve"> à </w:t>
      </w:r>
      <w:r w:rsidRPr="00A90AF6">
        <w:rPr>
          <w:lang w:val="fr-FR"/>
        </w:rPr>
        <w:t>l’annexe 4 de l’Accord de 1958.</w:t>
      </w:r>
      <w:r w:rsidRPr="00D005B1">
        <w:rPr>
          <w:bCs/>
          <w:szCs w:val="18"/>
        </w:rPr>
        <w:t> </w:t>
      </w:r>
      <w:r w:rsidRPr="00D005B1">
        <w:rPr>
          <w:sz w:val="20"/>
        </w:rPr>
        <w:t>»</w:t>
      </w:r>
      <w:r w:rsidR="007654CD">
        <w:rPr>
          <w:sz w:val="20"/>
        </w:rPr>
        <w:t>.</w:t>
      </w:r>
    </w:p>
    <w:p w:rsidR="00521C0D" w:rsidRPr="00D005B1" w:rsidRDefault="00521C0D" w:rsidP="00521C0D">
      <w:pPr>
        <w:pStyle w:val="SingleTxtG"/>
        <w:spacing w:before="120"/>
        <w:ind w:left="1138" w:right="1138"/>
      </w:pPr>
      <w:bookmarkStart w:id="1" w:name="_Hlk15901329"/>
      <w:r>
        <w:rPr>
          <w:rFonts w:eastAsia="Calibri"/>
          <w:i/>
          <w:lang w:val="fr-FR"/>
        </w:rPr>
        <w:br w:type="page"/>
      </w:r>
      <w:r w:rsidRPr="0078621B">
        <w:rPr>
          <w:rFonts w:eastAsia="Calibri"/>
          <w:i/>
          <w:lang w:val="fr-FR"/>
        </w:rPr>
        <w:lastRenderedPageBreak/>
        <w:t>Annexe 1</w:t>
      </w:r>
      <w:r w:rsidRPr="0078621B">
        <w:rPr>
          <w:i/>
          <w:lang w:val="fr-FR"/>
        </w:rPr>
        <w:t>B</w:t>
      </w:r>
      <w:r w:rsidRPr="0078621B">
        <w:rPr>
          <w:rFonts w:eastAsia="Calibri"/>
          <w:i/>
          <w:lang w:val="fr-FR"/>
        </w:rPr>
        <w:t>, « Communication »</w:t>
      </w:r>
      <w:r w:rsidRPr="007654CD">
        <w:rPr>
          <w:rFonts w:eastAsia="Calibri"/>
          <w:iCs/>
          <w:lang w:val="fr-FR"/>
        </w:rPr>
        <w:t>,</w:t>
      </w:r>
      <w:r w:rsidRPr="0078621B">
        <w:rPr>
          <w:rFonts w:eastAsia="Calibri"/>
          <w:i/>
          <w:lang w:val="fr-FR"/>
        </w:rPr>
        <w:t xml:space="preserve"> </w:t>
      </w:r>
      <w:r w:rsidRPr="0010429E">
        <w:rPr>
          <w:rFonts w:eastAsia="Calibri"/>
          <w:lang w:val="fr-FR"/>
        </w:rPr>
        <w:t>modifier comme suit</w:t>
      </w:r>
      <w:r w:rsidRPr="00C806F4">
        <w:rPr>
          <w:rFonts w:eastAsia="Calibri"/>
          <w:lang w:val="fr-FR"/>
        </w:rPr>
        <w:t>, y compris l’ajout des deux nouvelles notes de bas de page 3 et 4 </w:t>
      </w:r>
      <w:bookmarkEnd w:id="1"/>
      <w:r w:rsidRPr="00D005B1">
        <w:t>:</w:t>
      </w:r>
    </w:p>
    <w:p w:rsidR="00521C0D" w:rsidRPr="00D005B1" w:rsidRDefault="00521C0D" w:rsidP="00521C0D">
      <w:pPr>
        <w:pStyle w:val="HChG"/>
      </w:pPr>
      <w:r w:rsidRPr="00D005B1">
        <w:tab/>
      </w:r>
      <w:r w:rsidRPr="00D005B1">
        <w:rPr>
          <w:b w:val="0"/>
          <w:sz w:val="20"/>
        </w:rPr>
        <w:t>« </w:t>
      </w:r>
      <w:r w:rsidRPr="00D005B1">
        <w:rPr>
          <w:bCs/>
        </w:rPr>
        <w:t xml:space="preserve">Annexe </w:t>
      </w:r>
      <w:r w:rsidRPr="00D005B1">
        <w:t>1</w:t>
      </w:r>
      <w:r w:rsidRPr="007B0713">
        <w:rPr>
          <w:lang w:val="fr-FR"/>
        </w:rPr>
        <w:t>B</w:t>
      </w:r>
    </w:p>
    <w:p w:rsidR="00521C0D" w:rsidRPr="00D005B1" w:rsidRDefault="00521C0D" w:rsidP="00521C0D">
      <w:pPr>
        <w:pStyle w:val="HChG"/>
        <w:spacing w:after="120"/>
      </w:pPr>
      <w:r w:rsidRPr="00D005B1">
        <w:tab/>
      </w:r>
      <w:r w:rsidRPr="00D005B1">
        <w:tab/>
      </w:r>
      <w:r w:rsidRPr="00E31B9F">
        <w:rPr>
          <w:bCs/>
          <w:lang w:val="ru-RU"/>
        </w:rPr>
        <w:t>С</w:t>
      </w:r>
      <w:proofErr w:type="spellStart"/>
      <w:r w:rsidRPr="00D005B1">
        <w:rPr>
          <w:bCs/>
        </w:rPr>
        <w:t>ommunication</w:t>
      </w:r>
      <w:proofErr w:type="spellEnd"/>
    </w:p>
    <w:p w:rsidR="00521C0D" w:rsidRPr="00D005B1" w:rsidRDefault="00521C0D" w:rsidP="00521C0D">
      <w:pPr>
        <w:pStyle w:val="SingleTxtG"/>
      </w:pPr>
      <w:r w:rsidRPr="00D005B1">
        <w:t>(</w:t>
      </w:r>
      <w:r>
        <w:rPr>
          <w:lang w:val="fr-FR"/>
        </w:rPr>
        <w:t>F</w:t>
      </w:r>
      <w:r w:rsidRPr="00F16B23">
        <w:rPr>
          <w:lang w:val="fr-FR"/>
        </w:rPr>
        <w:t>ormat maximal</w:t>
      </w:r>
      <w:r>
        <w:rPr>
          <w:lang w:val="fr-FR"/>
        </w:rPr>
        <w:t> </w:t>
      </w:r>
      <w:r w:rsidRPr="00F16B23">
        <w:rPr>
          <w:lang w:val="fr-FR"/>
        </w:rPr>
        <w:t>: A4 (210 x 297 mm</w:t>
      </w:r>
      <w:r>
        <w:rPr>
          <w:lang w:val="fr-FR"/>
        </w:rPr>
        <w:t> )</w:t>
      </w:r>
      <w:r w:rsidRPr="00D005B1">
        <w:t>)</w:t>
      </w:r>
    </w:p>
    <w:p w:rsidR="00521C0D" w:rsidRDefault="00521C0D" w:rsidP="00521C0D">
      <w:pPr>
        <w:pStyle w:val="SingleTxtG"/>
      </w:pPr>
      <w:r w:rsidRPr="007B0713">
        <w:rPr>
          <w:noProof/>
          <w:lang w:eastAsia="fr-CH"/>
        </w:rPr>
        <mc:AlternateContent>
          <mc:Choice Requires="wps">
            <w:drawing>
              <wp:anchor distT="0" distB="0" distL="114300" distR="114300" simplePos="0" relativeHeight="251662336" behindDoc="0" locked="0" layoutInCell="1" allowOverlap="1" wp14:anchorId="2D201EF0" wp14:editId="444FAEEF">
                <wp:simplePos x="0" y="0"/>
                <wp:positionH relativeFrom="column">
                  <wp:posOffset>1668152</wp:posOffset>
                </wp:positionH>
                <wp:positionV relativeFrom="paragraph">
                  <wp:posOffset>233706</wp:posOffset>
                </wp:positionV>
                <wp:extent cx="317500" cy="342900"/>
                <wp:effectExtent l="5715" t="13335" r="10160" b="571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521C0D" w:rsidRPr="004215B6" w:rsidRDefault="00521C0D" w:rsidP="00521C0D">
                            <w:pPr>
                              <w:rPr>
                                <w:rFonts w:ascii="Arial Unicode MS" w:eastAsia="Arial Unicode MS" w:hAnsi="Arial Unicode MS" w:cs="Arial Unicode MS"/>
                                <w:b/>
                                <w:sz w:val="18"/>
                                <w:szCs w:val="18"/>
                              </w:rPr>
                            </w:pPr>
                            <w:r w:rsidRPr="004215B6">
                              <w:rPr>
                                <w:b/>
                                <w:bCs/>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1EF0" id="_x0000_s1029" type="#_x0000_t202" style="position:absolute;left:0;text-align:left;margin-left:131.35pt;margin-top:18.4pt;width: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" strokecolor="white">
                <v:textbox>
                  <w:txbxContent>
                    <w:p w:rsidR="00521C0D" w:rsidRPr="004215B6" w:rsidRDefault="00521C0D" w:rsidP="00521C0D">
                      <w:pPr>
                        <w:rPr>
                          <w:rFonts w:ascii="Arial Unicode MS" w:eastAsia="Arial Unicode MS" w:hAnsi="Arial Unicode MS" w:cs="Arial Unicode MS"/>
                          <w:b/>
                          <w:sz w:val="18"/>
                          <w:szCs w:val="18"/>
                        </w:rPr>
                      </w:pPr>
                      <w:r w:rsidRPr="004215B6">
                        <w:rPr>
                          <w:b/>
                          <w:bCs/>
                          <w:sz w:val="18"/>
                          <w:szCs w:val="18"/>
                        </w:rPr>
                        <w:t>1</w:t>
                      </w:r>
                    </w:p>
                  </w:txbxContent>
                </v:textbox>
              </v:shape>
            </w:pict>
          </mc:Fallback>
        </mc:AlternateContent>
      </w:r>
      <w:r w:rsidRPr="007B0713">
        <w:rPr>
          <w:noProof/>
          <w:lang w:eastAsia="fr-CH"/>
        </w:rPr>
        <mc:AlternateContent>
          <mc:Choice Requires="wps">
            <w:drawing>
              <wp:anchor distT="0" distB="0" distL="114300" distR="114300" simplePos="0" relativeHeight="251663360" behindDoc="0" locked="0" layoutInCell="1" allowOverlap="1" wp14:anchorId="3FF6E72F" wp14:editId="7E0FC02D">
                <wp:simplePos x="0" y="0"/>
                <wp:positionH relativeFrom="column">
                  <wp:posOffset>2818615</wp:posOffset>
                </wp:positionH>
                <wp:positionV relativeFrom="paragraph">
                  <wp:posOffset>136688</wp:posOffset>
                </wp:positionV>
                <wp:extent cx="2661920" cy="662305"/>
                <wp:effectExtent l="0" t="0" r="508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0D" w:rsidRPr="00D005B1" w:rsidRDefault="00521C0D" w:rsidP="00521C0D">
                            <w:pPr>
                              <w:ind w:left="1701" w:hanging="1701"/>
                            </w:pPr>
                            <w:r w:rsidRPr="00D005B1">
                              <w:t>Émanant de :</w:t>
                            </w:r>
                            <w:r w:rsidRPr="00D005B1">
                              <w:tab/>
                              <w:t>Nom de l’administration :</w:t>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E72F" id="_x0000_s1030" type="#_x0000_t202" style="position:absolute;left:0;text-align:left;margin-left:221.95pt;margin-top:10.75pt;width:209.6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" stroked="f">
                <v:textbox inset="0,0,0,0">
                  <w:txbxContent>
                    <w:p w:rsidR="00521C0D" w:rsidRPr="00D005B1" w:rsidRDefault="00521C0D" w:rsidP="00521C0D">
                      <w:pPr>
                        <w:ind w:left="1701" w:hanging="1701"/>
                      </w:pPr>
                      <w:r w:rsidRPr="00D005B1">
                        <w:t>Émanant de :</w:t>
                      </w:r>
                      <w:r w:rsidRPr="00D005B1">
                        <w:tab/>
                        <w:t>Nom de l’administration :</w:t>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p w:rsidR="00521C0D" w:rsidRPr="00D005B1" w:rsidRDefault="00521C0D" w:rsidP="00521C0D">
                      <w:pPr>
                        <w:pStyle w:val="SingleTxtG"/>
                        <w:tabs>
                          <w:tab w:val="right" w:leader="dot" w:pos="3686"/>
                        </w:tabs>
                        <w:spacing w:after="0"/>
                        <w:ind w:left="1701" w:right="0"/>
                      </w:pPr>
                      <w:r w:rsidRPr="00D005B1">
                        <w:tab/>
                      </w:r>
                    </w:p>
                  </w:txbxContent>
                </v:textbox>
              </v:shape>
            </w:pict>
          </mc:Fallback>
        </mc:AlternateContent>
      </w:r>
      <w:r w:rsidRPr="00D005B1">
        <w:tab/>
      </w:r>
      <w:r w:rsidRPr="007B0713">
        <w:rPr>
          <w:noProof/>
          <w:lang w:eastAsia="fr-CH"/>
        </w:rPr>
        <w:drawing>
          <wp:inline distT="0" distB="0" distL="0" distR="0" wp14:anchorId="3D4C70D7" wp14:editId="3891B090">
            <wp:extent cx="1069975" cy="10090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521C0D" w:rsidRDefault="00521C0D" w:rsidP="00521C0D">
      <w:pPr>
        <w:pStyle w:val="SingleTxtG"/>
        <w:spacing w:before="240"/>
        <w:ind w:left="2552" w:hanging="1418"/>
        <w:jc w:val="left"/>
        <w:rPr>
          <w:lang w:val="fr-FR"/>
        </w:rPr>
      </w:pPr>
      <w:r w:rsidRPr="00D005B1">
        <w:t>concernant</w:t>
      </w:r>
      <w:r w:rsidRPr="00D005B1">
        <w:rPr>
          <w:sz w:val="18"/>
          <w:szCs w:val="18"/>
          <w:vertAlign w:val="superscript"/>
        </w:rPr>
        <w:t>2</w:t>
      </w:r>
      <w:r w:rsidRPr="00D005B1">
        <w:rPr>
          <w:sz w:val="18"/>
          <w:szCs w:val="18"/>
        </w:rPr>
        <w:t> </w:t>
      </w:r>
      <w:r w:rsidRPr="00D005B1">
        <w:t>:</w:t>
      </w:r>
      <w:r w:rsidRPr="00D005B1">
        <w:tab/>
      </w:r>
      <w:r w:rsidRPr="00F16B23">
        <w:rPr>
          <w:lang w:val="fr-FR"/>
        </w:rPr>
        <w:t>Délivrance d</w:t>
      </w:r>
      <w:r>
        <w:rPr>
          <w:lang w:val="fr-FR"/>
        </w:rPr>
        <w:t>’</w:t>
      </w:r>
      <w:r w:rsidRPr="00F16B23">
        <w:rPr>
          <w:lang w:val="fr-FR"/>
        </w:rPr>
        <w:t>une homologation</w:t>
      </w:r>
      <w:r w:rsidRPr="00D005B1">
        <w:br/>
      </w:r>
      <w:r w:rsidRPr="00F16B23">
        <w:rPr>
          <w:lang w:val="fr-FR"/>
        </w:rPr>
        <w:t>Extension d</w:t>
      </w:r>
      <w:r>
        <w:rPr>
          <w:lang w:val="fr-FR"/>
        </w:rPr>
        <w:t>’</w:t>
      </w:r>
      <w:r w:rsidRPr="00F16B23">
        <w:rPr>
          <w:lang w:val="fr-FR"/>
        </w:rPr>
        <w:t>homologation</w:t>
      </w:r>
      <w:r>
        <w:rPr>
          <w:lang w:val="fr-FR"/>
        </w:rPr>
        <w:br/>
      </w:r>
      <w:r w:rsidRPr="00F16B23">
        <w:rPr>
          <w:lang w:val="fr-FR"/>
        </w:rPr>
        <w:t>Refus d</w:t>
      </w:r>
      <w:r>
        <w:rPr>
          <w:lang w:val="fr-FR"/>
        </w:rPr>
        <w:t>’</w:t>
      </w:r>
      <w:r w:rsidRPr="00F16B23">
        <w:rPr>
          <w:lang w:val="fr-FR"/>
        </w:rPr>
        <w:t>homologation</w:t>
      </w:r>
      <w:r>
        <w:rPr>
          <w:lang w:val="fr-FR"/>
        </w:rPr>
        <w:br/>
      </w:r>
      <w:r w:rsidRPr="00F16B23">
        <w:rPr>
          <w:lang w:val="fr-FR"/>
        </w:rPr>
        <w:t>Retrait d</w:t>
      </w:r>
      <w:r>
        <w:rPr>
          <w:lang w:val="fr-FR"/>
        </w:rPr>
        <w:t>’</w:t>
      </w:r>
      <w:r w:rsidRPr="00F16B23">
        <w:rPr>
          <w:lang w:val="fr-FR"/>
        </w:rPr>
        <w:t>homologation</w:t>
      </w:r>
      <w:r>
        <w:rPr>
          <w:lang w:val="fr-FR"/>
        </w:rPr>
        <w:br/>
      </w:r>
      <w:r w:rsidRPr="00F16B23">
        <w:rPr>
          <w:lang w:val="fr-FR"/>
        </w:rPr>
        <w:t>Arrêt définitif de la production</w:t>
      </w:r>
    </w:p>
    <w:p w:rsidR="00521C0D" w:rsidRPr="00D005B1" w:rsidRDefault="00521C0D" w:rsidP="00521C0D">
      <w:pPr>
        <w:pStyle w:val="SingleTxtG"/>
      </w:pPr>
      <w:r w:rsidRPr="00F16B23">
        <w:rPr>
          <w:lang w:val="fr-FR"/>
        </w:rPr>
        <w:t>d</w:t>
      </w:r>
      <w:r>
        <w:rPr>
          <w:lang w:val="fr-FR"/>
        </w:rPr>
        <w:t>’</w:t>
      </w:r>
      <w:r w:rsidRPr="00F16B23">
        <w:rPr>
          <w:lang w:val="fr-FR"/>
        </w:rPr>
        <w:t>un disque de frein de rechange ou d</w:t>
      </w:r>
      <w:r>
        <w:rPr>
          <w:lang w:val="fr-FR"/>
        </w:rPr>
        <w:t>’</w:t>
      </w:r>
      <w:r w:rsidRPr="00F16B23">
        <w:rPr>
          <w:lang w:val="fr-FR"/>
        </w:rPr>
        <w:t xml:space="preserve">un tambour de frein de rechange en application du Règlement </w:t>
      </w:r>
      <w:r>
        <w:rPr>
          <w:lang w:val="fr-FR"/>
        </w:rPr>
        <w:t xml:space="preserve">ONU </w:t>
      </w:r>
      <w:r w:rsidRPr="004215B6">
        <w:rPr>
          <w:rFonts w:eastAsia="MS Mincho"/>
          <w:szCs w:val="22"/>
          <w:lang w:val="fr-FR"/>
        </w:rPr>
        <w:t>n</w:t>
      </w:r>
      <w:r w:rsidRPr="004215B6">
        <w:rPr>
          <w:rFonts w:eastAsia="MS Mincho"/>
          <w:szCs w:val="22"/>
          <w:vertAlign w:val="superscript"/>
          <w:lang w:val="fr-FR"/>
        </w:rPr>
        <w:t>o</w:t>
      </w:r>
      <w:r>
        <w:rPr>
          <w:szCs w:val="24"/>
          <w:lang w:val="fr-FR"/>
        </w:rPr>
        <w:t> </w:t>
      </w:r>
      <w:r w:rsidRPr="00F16B23">
        <w:rPr>
          <w:lang w:val="fr-FR"/>
        </w:rPr>
        <w:t>90</w:t>
      </w:r>
      <w:r w:rsidRPr="00D005B1">
        <w:t>.</w:t>
      </w:r>
    </w:p>
    <w:p w:rsidR="00521C0D" w:rsidRPr="00D005B1" w:rsidRDefault="00521C0D" w:rsidP="00521C0D">
      <w:pPr>
        <w:pStyle w:val="SingleTxtG"/>
        <w:tabs>
          <w:tab w:val="right" w:leader="dot" w:pos="4253"/>
          <w:tab w:val="left" w:pos="4962"/>
          <w:tab w:val="right" w:leader="dot" w:pos="8505"/>
        </w:tabs>
        <w:jc w:val="left"/>
      </w:pPr>
      <w:r w:rsidRPr="00D005B1">
        <w:t xml:space="preserve">Code </w:t>
      </w:r>
      <w:r w:rsidRPr="009531D3">
        <w:rPr>
          <w:lang w:val="fr-FR"/>
        </w:rPr>
        <w:t>d</w:t>
      </w:r>
      <w:r w:rsidRPr="00D005B1">
        <w:t>’homologation</w:t>
      </w:r>
      <w:r w:rsidRPr="00D005B1">
        <w:rPr>
          <w:rFonts w:eastAsia="MS Mincho"/>
          <w:vertAlign w:val="superscript"/>
        </w:rPr>
        <w:t>3</w:t>
      </w:r>
      <w:r w:rsidRPr="00D005B1">
        <w:rPr>
          <w:rFonts w:eastAsia="MS Mincho"/>
        </w:rPr>
        <w:t xml:space="preserve"> </w:t>
      </w:r>
      <w:r w:rsidRPr="00D005B1">
        <w:tab/>
      </w:r>
      <w:r w:rsidRPr="00D005B1">
        <w:tab/>
      </w:r>
      <w:r w:rsidRPr="009531D3">
        <w:rPr>
          <w:lang w:val="fr-FR"/>
        </w:rPr>
        <w:t>Homologation</w:t>
      </w:r>
      <w:r w:rsidRPr="00380D3D">
        <w:rPr>
          <w:lang w:val="fr-FR"/>
        </w:rPr>
        <w:t xml:space="preserve"> </w:t>
      </w:r>
      <w:r w:rsidRPr="00380D3D">
        <w:rPr>
          <w:rFonts w:eastAsia="MS Mincho"/>
          <w:szCs w:val="22"/>
          <w:lang w:val="fr-FR"/>
        </w:rPr>
        <w:t>n</w:t>
      </w:r>
      <w:r w:rsidRPr="00380D3D">
        <w:rPr>
          <w:rFonts w:eastAsia="MS Mincho"/>
          <w:szCs w:val="22"/>
          <w:vertAlign w:val="superscript"/>
          <w:lang w:val="fr-FR"/>
        </w:rPr>
        <w:t>o</w:t>
      </w:r>
      <w:r w:rsidRPr="00380D3D">
        <w:rPr>
          <w:rFonts w:eastAsia="MS Mincho"/>
          <w:lang w:val="fr-FR"/>
        </w:rPr>
        <w:t> </w:t>
      </w:r>
      <w:r w:rsidRPr="009531D3">
        <w:rPr>
          <w:rFonts w:eastAsia="MS Mincho"/>
          <w:vertAlign w:val="superscript"/>
          <w:lang w:val="fr-FR"/>
        </w:rPr>
        <w:t>4</w:t>
      </w:r>
      <w:r w:rsidRPr="009531D3">
        <w:rPr>
          <w:rFonts w:eastAsia="MS Mincho"/>
          <w:lang w:val="fr-FR"/>
        </w:rPr>
        <w:t xml:space="preserve"> </w:t>
      </w:r>
      <w:r w:rsidRPr="00D005B1">
        <w:tab/>
      </w:r>
    </w:p>
    <w:p w:rsidR="00521C0D" w:rsidRPr="00D005B1" w:rsidRDefault="00521C0D" w:rsidP="00521C0D">
      <w:pPr>
        <w:pStyle w:val="SingleTxtG"/>
      </w:pPr>
      <w:r w:rsidRPr="00D005B1">
        <w:t>1.</w:t>
      </w:r>
      <w:r w:rsidRPr="00D005B1">
        <w:tab/>
        <w:t>… »</w:t>
      </w:r>
      <w:r w:rsidR="007654CD">
        <w:t>.</w:t>
      </w:r>
    </w:p>
    <w:p w:rsidR="00521C0D" w:rsidRPr="00D005B1" w:rsidRDefault="00521C0D" w:rsidP="00521C0D">
      <w:pPr>
        <w:pStyle w:val="SingleTxtG"/>
      </w:pPr>
      <w:r w:rsidRPr="00D005B1">
        <w:t>__________________</w:t>
      </w:r>
    </w:p>
    <w:p w:rsidR="00521C0D" w:rsidRPr="00D005B1" w:rsidRDefault="00521C0D" w:rsidP="00521C0D">
      <w:pPr>
        <w:pStyle w:val="Notedebasdepage"/>
        <w:widowControl w:val="0"/>
        <w:tabs>
          <w:tab w:val="clear" w:pos="1021"/>
          <w:tab w:val="right" w:pos="1020"/>
        </w:tabs>
        <w:rPr>
          <w:szCs w:val="18"/>
        </w:rPr>
      </w:pPr>
      <w:r w:rsidRPr="00D005B1">
        <w:tab/>
      </w:r>
      <w:r w:rsidRPr="00D005B1">
        <w:rPr>
          <w:szCs w:val="18"/>
        </w:rPr>
        <w:t>« </w:t>
      </w:r>
      <w:r w:rsidRPr="00D005B1">
        <w:rPr>
          <w:szCs w:val="18"/>
          <w:vertAlign w:val="superscript"/>
        </w:rPr>
        <w:t>1</w:t>
      </w:r>
      <w:r w:rsidRPr="00D005B1">
        <w:rPr>
          <w:szCs w:val="18"/>
        </w:rPr>
        <w:tab/>
      </w:r>
      <w:bookmarkStart w:id="2" w:name="_Hlk15900779"/>
      <w:r w:rsidRPr="009531D3">
        <w:rPr>
          <w:szCs w:val="18"/>
          <w:lang w:val="fr-FR"/>
        </w:rPr>
        <w:t>Numéro distinctif du pays qui a délivré/étendu/refusé/retiré l’homologation (voir les dispositions du Règlement relatives à l’homologation).</w:t>
      </w:r>
      <w:bookmarkEnd w:id="2"/>
    </w:p>
    <w:p w:rsidR="00521C0D" w:rsidRPr="00D005B1" w:rsidRDefault="00521C0D" w:rsidP="00521C0D">
      <w:pPr>
        <w:pStyle w:val="Notedebasdepage"/>
        <w:widowControl w:val="0"/>
        <w:tabs>
          <w:tab w:val="clear" w:pos="1021"/>
          <w:tab w:val="right" w:pos="1020"/>
        </w:tabs>
        <w:rPr>
          <w:szCs w:val="18"/>
        </w:rPr>
      </w:pPr>
      <w:r w:rsidRPr="00D005B1">
        <w:rPr>
          <w:szCs w:val="18"/>
        </w:rPr>
        <w:tab/>
      </w:r>
      <w:r w:rsidRPr="00D005B1">
        <w:rPr>
          <w:rStyle w:val="Appelnotedebasdep"/>
          <w:szCs w:val="18"/>
        </w:rPr>
        <w:t>2</w:t>
      </w:r>
      <w:r w:rsidRPr="00D005B1">
        <w:rPr>
          <w:szCs w:val="18"/>
        </w:rPr>
        <w:tab/>
      </w:r>
      <w:bookmarkStart w:id="3" w:name="_Hlk15900791"/>
      <w:r w:rsidRPr="009531D3">
        <w:rPr>
          <w:szCs w:val="18"/>
          <w:lang w:val="fr-FR"/>
        </w:rPr>
        <w:t>Biffer les mentions inutiles</w:t>
      </w:r>
      <w:bookmarkEnd w:id="3"/>
      <w:r w:rsidRPr="009531D3">
        <w:rPr>
          <w:szCs w:val="18"/>
          <w:lang w:val="fr-FR"/>
        </w:rPr>
        <w:t>.</w:t>
      </w:r>
    </w:p>
    <w:p w:rsidR="00521C0D" w:rsidRPr="00D005B1" w:rsidRDefault="00521C0D" w:rsidP="00521C0D">
      <w:pPr>
        <w:pStyle w:val="Notedebasdepage"/>
        <w:widowControl w:val="0"/>
        <w:tabs>
          <w:tab w:val="clear" w:pos="1021"/>
          <w:tab w:val="right" w:pos="1020"/>
        </w:tabs>
        <w:rPr>
          <w:szCs w:val="18"/>
        </w:rPr>
      </w:pPr>
      <w:r w:rsidRPr="00D005B1">
        <w:rPr>
          <w:szCs w:val="18"/>
        </w:rPr>
        <w:tab/>
      </w:r>
      <w:r w:rsidRPr="00D005B1">
        <w:rPr>
          <w:szCs w:val="18"/>
          <w:vertAlign w:val="superscript"/>
        </w:rPr>
        <w:t>3</w:t>
      </w:r>
      <w:r w:rsidRPr="00D005B1">
        <w:rPr>
          <w:szCs w:val="18"/>
        </w:rPr>
        <w:tab/>
      </w:r>
      <w:bookmarkStart w:id="4" w:name="_Hlk15900808"/>
      <w:r w:rsidRPr="009531D3">
        <w:rPr>
          <w:szCs w:val="18"/>
          <w:lang w:val="fr-FR"/>
        </w:rPr>
        <w:t>Conformément au paragraphe 4.2 du présent Règlement</w:t>
      </w:r>
      <w:bookmarkEnd w:id="4"/>
      <w:r w:rsidRPr="009531D3">
        <w:rPr>
          <w:szCs w:val="18"/>
          <w:lang w:val="fr-FR"/>
        </w:rPr>
        <w:t>.</w:t>
      </w:r>
    </w:p>
    <w:p w:rsidR="00521C0D" w:rsidRPr="00D005B1" w:rsidRDefault="00521C0D" w:rsidP="00521C0D">
      <w:pPr>
        <w:pStyle w:val="Notedebasdepage"/>
        <w:widowControl w:val="0"/>
        <w:rPr>
          <w:szCs w:val="18"/>
        </w:rPr>
      </w:pPr>
      <w:r w:rsidRPr="00D005B1">
        <w:rPr>
          <w:szCs w:val="18"/>
        </w:rPr>
        <w:tab/>
      </w:r>
      <w:r w:rsidRPr="00D005B1">
        <w:rPr>
          <w:rStyle w:val="Appelnotedebasdep"/>
          <w:szCs w:val="18"/>
        </w:rPr>
        <w:t>4</w:t>
      </w:r>
      <w:r w:rsidRPr="00D005B1">
        <w:rPr>
          <w:szCs w:val="18"/>
        </w:rPr>
        <w:tab/>
      </w:r>
      <w:bookmarkStart w:id="5" w:name="_Hlk15900822"/>
      <w:r w:rsidRPr="009531D3">
        <w:rPr>
          <w:szCs w:val="18"/>
          <w:lang w:val="fr-FR"/>
        </w:rPr>
        <w:t>Conformément</w:t>
      </w:r>
      <w:bookmarkEnd w:id="5"/>
      <w:r w:rsidRPr="009531D3">
        <w:rPr>
          <w:szCs w:val="18"/>
          <w:lang w:val="fr-FR"/>
        </w:rPr>
        <w:t xml:space="preserve"> à </w:t>
      </w:r>
      <w:bookmarkStart w:id="6" w:name="_Hlk15900833"/>
      <w:r w:rsidRPr="009531D3">
        <w:rPr>
          <w:szCs w:val="18"/>
          <w:lang w:val="fr-FR"/>
        </w:rPr>
        <w:t>l’annexe 4 de l’Accord de 1958</w:t>
      </w:r>
      <w:bookmarkEnd w:id="6"/>
      <w:r w:rsidRPr="009531D3">
        <w:rPr>
          <w:szCs w:val="18"/>
          <w:lang w:val="fr-FR"/>
        </w:rPr>
        <w:t>. </w:t>
      </w:r>
      <w:r w:rsidRPr="00D005B1">
        <w:rPr>
          <w:szCs w:val="18"/>
        </w:rPr>
        <w:t>»</w:t>
      </w:r>
      <w:r w:rsidR="007654CD">
        <w:rPr>
          <w:szCs w:val="18"/>
        </w:rPr>
        <w:t>.</w:t>
      </w:r>
      <w:bookmarkStart w:id="7" w:name="_GoBack"/>
      <w:bookmarkEnd w:id="7"/>
    </w:p>
    <w:p w:rsidR="005F0207" w:rsidRPr="00521C0D" w:rsidRDefault="00521C0D" w:rsidP="00521C0D">
      <w:pPr>
        <w:pStyle w:val="SingleTxtG"/>
        <w:spacing w:before="240" w:after="0"/>
        <w:jc w:val="center"/>
        <w:rPr>
          <w:u w:val="single"/>
        </w:rPr>
      </w:pPr>
      <w:r>
        <w:rPr>
          <w:u w:val="single"/>
        </w:rPr>
        <w:tab/>
      </w:r>
      <w:r>
        <w:rPr>
          <w:u w:val="single"/>
        </w:rPr>
        <w:tab/>
      </w:r>
      <w:r>
        <w:rPr>
          <w:u w:val="single"/>
        </w:rPr>
        <w:tab/>
      </w:r>
      <w:r>
        <w:rPr>
          <w:u w:val="single"/>
        </w:rPr>
        <w:tab/>
      </w:r>
    </w:p>
    <w:sectPr w:rsidR="005F0207" w:rsidRPr="00521C0D" w:rsidSect="00C332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B3" w:rsidRDefault="004926B3"/>
  </w:endnote>
  <w:endnote w:type="continuationSeparator" w:id="0">
    <w:p w:rsidR="004926B3" w:rsidRDefault="004926B3">
      <w:pPr>
        <w:pStyle w:val="Pieddepage"/>
      </w:pPr>
    </w:p>
  </w:endnote>
  <w:endnote w:type="continuationNotice" w:id="1">
    <w:p w:rsidR="004926B3" w:rsidRPr="00C451B9" w:rsidRDefault="004926B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2F0" w:rsidRPr="00C332F0" w:rsidRDefault="00C332F0" w:rsidP="00C332F0">
    <w:pPr>
      <w:pStyle w:val="Pieddepage"/>
      <w:tabs>
        <w:tab w:val="right" w:pos="9638"/>
      </w:tabs>
    </w:pPr>
    <w:r w:rsidRPr="00C332F0">
      <w:rPr>
        <w:b/>
        <w:sz w:val="18"/>
      </w:rPr>
      <w:fldChar w:fldCharType="begin"/>
    </w:r>
    <w:r w:rsidRPr="00C332F0">
      <w:rPr>
        <w:b/>
        <w:sz w:val="18"/>
      </w:rPr>
      <w:instrText xml:space="preserve"> PAGE  \* MERGEFORMAT </w:instrText>
    </w:r>
    <w:r w:rsidRPr="00C332F0">
      <w:rPr>
        <w:b/>
        <w:sz w:val="18"/>
      </w:rPr>
      <w:fldChar w:fldCharType="separate"/>
    </w:r>
    <w:r w:rsidRPr="00C332F0">
      <w:rPr>
        <w:b/>
        <w:noProof/>
        <w:sz w:val="18"/>
      </w:rPr>
      <w:t>2</w:t>
    </w:r>
    <w:r w:rsidRPr="00C332F0">
      <w:rPr>
        <w:b/>
        <w:sz w:val="18"/>
      </w:rPr>
      <w:fldChar w:fldCharType="end"/>
    </w:r>
    <w:r>
      <w:rPr>
        <w:b/>
        <w:sz w:val="18"/>
      </w:rPr>
      <w:tab/>
    </w:r>
    <w:r>
      <w:t>GE.20-14487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2F0" w:rsidRPr="00C332F0" w:rsidRDefault="00C332F0" w:rsidP="00C332F0">
    <w:pPr>
      <w:pStyle w:val="Pieddepage"/>
      <w:tabs>
        <w:tab w:val="right" w:pos="9638"/>
      </w:tabs>
      <w:rPr>
        <w:b/>
        <w:sz w:val="18"/>
      </w:rPr>
    </w:pPr>
    <w:r>
      <w:t>GE.20-14487</w:t>
    </w:r>
    <w:r>
      <w:tab/>
    </w:r>
    <w:r w:rsidRPr="00C332F0">
      <w:rPr>
        <w:b/>
        <w:sz w:val="18"/>
      </w:rPr>
      <w:fldChar w:fldCharType="begin"/>
    </w:r>
    <w:r w:rsidRPr="00C332F0">
      <w:rPr>
        <w:b/>
        <w:sz w:val="18"/>
      </w:rPr>
      <w:instrText xml:space="preserve"> PAGE  \* MERGEFORMAT </w:instrText>
    </w:r>
    <w:r w:rsidRPr="00C332F0">
      <w:rPr>
        <w:b/>
        <w:sz w:val="18"/>
      </w:rPr>
      <w:fldChar w:fldCharType="separate"/>
    </w:r>
    <w:r w:rsidRPr="00C332F0">
      <w:rPr>
        <w:b/>
        <w:noProof/>
        <w:sz w:val="18"/>
      </w:rPr>
      <w:t>3</w:t>
    </w:r>
    <w:r w:rsidRPr="00C332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C332F0" w:rsidRDefault="00C332F0" w:rsidP="00C332F0">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20-14487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C0D">
      <w:rPr>
        <w:sz w:val="20"/>
      </w:rPr>
      <w:t xml:space="preserve">    171220    171220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B3" w:rsidRPr="00D27D5E" w:rsidRDefault="004926B3" w:rsidP="00D27D5E">
      <w:pPr>
        <w:tabs>
          <w:tab w:val="right" w:pos="2155"/>
        </w:tabs>
        <w:spacing w:after="80"/>
        <w:ind w:left="680"/>
        <w:rPr>
          <w:u w:val="single"/>
        </w:rPr>
      </w:pPr>
      <w:r>
        <w:rPr>
          <w:u w:val="single"/>
        </w:rPr>
        <w:tab/>
      </w:r>
    </w:p>
  </w:footnote>
  <w:footnote w:type="continuationSeparator" w:id="0">
    <w:p w:rsidR="004926B3" w:rsidRPr="00D171D4" w:rsidRDefault="004926B3" w:rsidP="00D171D4">
      <w:pPr>
        <w:tabs>
          <w:tab w:val="right" w:pos="2155"/>
        </w:tabs>
        <w:spacing w:after="80"/>
        <w:ind w:left="680"/>
        <w:rPr>
          <w:u w:val="single"/>
        </w:rPr>
      </w:pPr>
      <w:r w:rsidRPr="00D171D4">
        <w:rPr>
          <w:u w:val="single"/>
        </w:rPr>
        <w:tab/>
      </w:r>
    </w:p>
  </w:footnote>
  <w:footnote w:type="continuationNotice" w:id="1">
    <w:p w:rsidR="004926B3" w:rsidRPr="00C451B9" w:rsidRDefault="004926B3"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2F0" w:rsidRPr="00C332F0" w:rsidRDefault="00E45E5A">
    <w:pPr>
      <w:pStyle w:val="En-tte"/>
    </w:pPr>
    <w:r>
      <w:fldChar w:fldCharType="begin"/>
    </w:r>
    <w:r>
      <w:instrText xml:space="preserve"> TITLE  \* MERGEFORMAT </w:instrText>
    </w:r>
    <w:r>
      <w:fldChar w:fldCharType="separate"/>
    </w:r>
    <w:r w:rsidR="00C332F0">
      <w:t>E/ECE/324/Rev.1/Add.89/Rev.3/Amend.6</w:t>
    </w:r>
    <w:r>
      <w:fldChar w:fldCharType="end"/>
    </w:r>
    <w:r w:rsidR="00C332F0">
      <w:br/>
    </w:r>
    <w:r>
      <w:fldChar w:fldCharType="begin"/>
    </w:r>
    <w:r>
      <w:instrText xml:space="preserve"> KEYWORDS  \* MERGEFORMAT </w:instrText>
    </w:r>
    <w:r>
      <w:fldChar w:fldCharType="separate"/>
    </w:r>
    <w:r w:rsidR="00C332F0">
      <w:t>E/ECE/TRANS/505/Rev.1/Add.89/Rev.3/Amend.6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2F0" w:rsidRPr="00C332F0" w:rsidRDefault="00E45E5A" w:rsidP="00C332F0">
    <w:pPr>
      <w:pStyle w:val="En-tte"/>
      <w:jc w:val="right"/>
    </w:pPr>
    <w:r>
      <w:fldChar w:fldCharType="begin"/>
    </w:r>
    <w:r>
      <w:instrText xml:space="preserve"> TITLE  \* MERGEFORMAT </w:instrText>
    </w:r>
    <w:r>
      <w:fldChar w:fldCharType="separate"/>
    </w:r>
    <w:r w:rsidR="00C332F0">
      <w:t>E/ECE/324/Rev.1/Add.89/Rev.3/Amend.6</w:t>
    </w:r>
    <w:r>
      <w:fldChar w:fldCharType="end"/>
    </w:r>
    <w:r w:rsidR="00C332F0">
      <w:br/>
    </w:r>
    <w:r>
      <w:fldChar w:fldCharType="begin"/>
    </w:r>
    <w:r>
      <w:instrText xml:space="preserve"> KEYWORDS  \* MERGEFORMAT </w:instrText>
    </w:r>
    <w:r>
      <w:fldChar w:fldCharType="separate"/>
    </w:r>
    <w:r w:rsidR="00C332F0">
      <w:t>E/ECE/TRANS/505/Rev.1/Add.89/Rev.3/Amend.6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B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7F6"/>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26B3"/>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1C0D"/>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17E"/>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54CD"/>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32F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37958C"/>
  <w15:docId w15:val="{FAC4BA1A-3A20-432C-8622-598248DA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521C0D"/>
    <w:rPr>
      <w:rFonts w:eastAsiaTheme="minorHAnsi"/>
      <w:b/>
      <w:sz w:val="28"/>
      <w:lang w:val="fr-CH"/>
    </w:rPr>
  </w:style>
  <w:style w:type="paragraph" w:customStyle="1" w:styleId="SingleTxtGR">
    <w:name w:val="_ Single Txt_GR"/>
    <w:basedOn w:val="Normal"/>
    <w:link w:val="SingleTxtGR0"/>
    <w:qFormat/>
    <w:rsid w:val="00521C0D"/>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link w:val="SingleTxtGR"/>
    <w:rsid w:val="00521C0D"/>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FF2A4-9383-40E2-B297-1C08696B3B4D}"/>
</file>

<file path=customXml/itemProps2.xml><?xml version="1.0" encoding="utf-8"?>
<ds:datastoreItem xmlns:ds="http://schemas.openxmlformats.org/officeDocument/2006/customXml" ds:itemID="{98C9BB62-E3EF-430B-8E78-6FF26867A079}"/>
</file>

<file path=customXml/itemProps3.xml><?xml version="1.0" encoding="utf-8"?>
<ds:datastoreItem xmlns:ds="http://schemas.openxmlformats.org/officeDocument/2006/customXml" ds:itemID="{1A0B8B32-5C5B-4B3C-B753-DA8F8626BAD2}"/>
</file>

<file path=docProps/app.xml><?xml version="1.0" encoding="utf-8"?>
<Properties xmlns="http://schemas.openxmlformats.org/officeDocument/2006/extended-properties" xmlns:vt="http://schemas.openxmlformats.org/officeDocument/2006/docPropsVTypes">
  <Template>E_ECE_324.dotm</Template>
  <TotalTime>1</TotalTime>
  <Pages>6</Pages>
  <Words>1481</Words>
  <Characters>8446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E/ECE/324/Rev.1/Add.89/Rev.3/Amend.6</vt:lpstr>
    </vt:vector>
  </TitlesOfParts>
  <Company>CSD</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E/ECE/324/Rev.1/Add.89/Rev.3/Amend.6</dc:title>
  <dc:creator>Fabienne CRELIER</dc:creator>
  <cp:keywords>E/ECE/TRANS/505/Rev.1/Add.89/Rev.3/Amend.6</cp:keywords>
  <cp:lastModifiedBy>Fabienne Crelier</cp:lastModifiedBy>
  <cp:revision>2</cp:revision>
  <cp:lastPrinted>2008-11-04T15:54:00Z</cp:lastPrinted>
  <dcterms:created xsi:type="dcterms:W3CDTF">2020-12-17T15:35:00Z</dcterms:created>
  <dcterms:modified xsi:type="dcterms:W3CDTF">2020-12-17T15:35:00Z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