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63096" w14:paraId="043B4FF8" w14:textId="77777777" w:rsidTr="00A27C92">
        <w:trPr>
          <w:trHeight w:hRule="exact" w:val="851"/>
        </w:trPr>
        <w:tc>
          <w:tcPr>
            <w:tcW w:w="9639" w:type="dxa"/>
            <w:gridSpan w:val="2"/>
            <w:tcBorders>
              <w:bottom w:val="single" w:sz="4" w:space="0" w:color="auto"/>
            </w:tcBorders>
            <w:shd w:val="clear" w:color="auto" w:fill="auto"/>
            <w:vAlign w:val="bottom"/>
          </w:tcPr>
          <w:p w14:paraId="610E7F6D" w14:textId="77777777" w:rsidR="00D63096" w:rsidRPr="00D63096" w:rsidRDefault="00D63096" w:rsidP="00D63096">
            <w:pPr>
              <w:jc w:val="right"/>
              <w:rPr>
                <w:lang w:val="en-US"/>
              </w:rPr>
            </w:pPr>
            <w:r w:rsidRPr="00D63096">
              <w:rPr>
                <w:sz w:val="40"/>
                <w:lang w:val="en-US"/>
              </w:rPr>
              <w:t>E</w:t>
            </w:r>
            <w:r w:rsidRPr="00D63096">
              <w:rPr>
                <w:lang w:val="en-US"/>
              </w:rPr>
              <w:t>/ECE/324/Rev.1/Add.93/Rev.3/Amend.2−</w:t>
            </w:r>
            <w:r w:rsidRPr="00D63096">
              <w:rPr>
                <w:sz w:val="40"/>
                <w:lang w:val="en-US"/>
              </w:rPr>
              <w:t>E</w:t>
            </w:r>
            <w:r w:rsidRPr="00D63096">
              <w:rPr>
                <w:lang w:val="en-US"/>
              </w:rPr>
              <w:t>/ECE/TRANS/505/Rev.1/Add.93/Rev.3/Amend.2</w:t>
            </w:r>
          </w:p>
        </w:tc>
      </w:tr>
      <w:tr w:rsidR="00421A10" w:rsidRPr="00DB58B5" w14:paraId="0937011A" w14:textId="77777777" w:rsidTr="00A27C92">
        <w:trPr>
          <w:trHeight w:hRule="exact" w:val="2835"/>
        </w:trPr>
        <w:tc>
          <w:tcPr>
            <w:tcW w:w="6804" w:type="dxa"/>
            <w:tcBorders>
              <w:top w:val="single" w:sz="4" w:space="0" w:color="auto"/>
              <w:bottom w:val="single" w:sz="12" w:space="0" w:color="auto"/>
            </w:tcBorders>
            <w:shd w:val="clear" w:color="auto" w:fill="auto"/>
          </w:tcPr>
          <w:p w14:paraId="727788A0" w14:textId="77777777" w:rsidR="00421A10" w:rsidRPr="00D6309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EC1506B" w14:textId="77777777" w:rsidR="00421A10" w:rsidRPr="00DB58B5" w:rsidRDefault="00D63096" w:rsidP="00A27C92">
            <w:pPr>
              <w:spacing w:before="480" w:line="240" w:lineRule="exact"/>
            </w:pPr>
            <w:r>
              <w:t>2 février 2021</w:t>
            </w:r>
          </w:p>
        </w:tc>
      </w:tr>
    </w:tbl>
    <w:p w14:paraId="1E31E909" w14:textId="77777777" w:rsidR="00421A10" w:rsidRPr="006549FF" w:rsidRDefault="0029791D" w:rsidP="0029791D">
      <w:pPr>
        <w:pStyle w:val="HChG"/>
      </w:pPr>
      <w:r>
        <w:tab/>
      </w:r>
      <w:r>
        <w:tab/>
      </w:r>
      <w:r w:rsidR="00421A10" w:rsidRPr="006549FF">
        <w:t>Accord</w:t>
      </w:r>
    </w:p>
    <w:p w14:paraId="7BC5C6A6" w14:textId="77777777" w:rsidR="00421A10" w:rsidRPr="00583D68" w:rsidRDefault="0029791D" w:rsidP="0029791D">
      <w:pPr>
        <w:pStyle w:val="H1G"/>
      </w:pPr>
      <w:r>
        <w:tab/>
      </w:r>
      <w:r>
        <w:tab/>
      </w:r>
      <w:r w:rsidR="00421A10" w:rsidRPr="00583D68">
        <w:t xml:space="preserve">Concernant l’adoption </w:t>
      </w:r>
      <w:r w:rsidR="002E5513" w:rsidRPr="009F02C1">
        <w:rPr>
          <w:lang w:val="fr-FR"/>
        </w:rPr>
        <w:t xml:space="preserve">de Règlements techniques harmonisés </w:t>
      </w:r>
      <w:r w:rsidR="002E5513">
        <w:rPr>
          <w:lang w:val="fr-FR"/>
        </w:rPr>
        <w:br/>
      </w:r>
      <w:r w:rsidR="002E5513" w:rsidRPr="009F02C1">
        <w:rPr>
          <w:lang w:val="fr-FR"/>
        </w:rPr>
        <w:t>de l</w:t>
      </w:r>
      <w:r w:rsidR="002E5513">
        <w:rPr>
          <w:lang w:val="fr-FR"/>
        </w:rPr>
        <w:t>’</w:t>
      </w:r>
      <w:r w:rsidR="002E5513" w:rsidRPr="009F02C1">
        <w:rPr>
          <w:lang w:val="fr-FR"/>
        </w:rPr>
        <w:t xml:space="preserve">ONU applicables aux véhicules à roues et aux équipements </w:t>
      </w:r>
      <w:r w:rsidR="002E5513">
        <w:rPr>
          <w:lang w:val="fr-FR"/>
        </w:rPr>
        <w:br/>
      </w:r>
      <w:r w:rsidR="002E5513" w:rsidRPr="009F02C1">
        <w:rPr>
          <w:lang w:val="fr-FR"/>
        </w:rPr>
        <w:t>et pièces susceptibles d</w:t>
      </w:r>
      <w:r w:rsidR="002E5513">
        <w:rPr>
          <w:lang w:val="fr-FR"/>
        </w:rPr>
        <w:t>’</w:t>
      </w:r>
      <w:r w:rsidR="002E5513" w:rsidRPr="009F02C1">
        <w:rPr>
          <w:lang w:val="fr-FR"/>
        </w:rPr>
        <w:t xml:space="preserve">être montés ou utilisés sur les véhicules </w:t>
      </w:r>
      <w:r w:rsidR="002E5513">
        <w:rPr>
          <w:lang w:val="fr-FR"/>
        </w:rPr>
        <w:br/>
      </w:r>
      <w:r w:rsidR="002E5513" w:rsidRPr="009F02C1">
        <w:rPr>
          <w:lang w:val="fr-FR"/>
        </w:rPr>
        <w:t>à roues et les conditions de reconnaissance réciproque des homologations délivrées conformément à ces Règlements</w:t>
      </w:r>
      <w:r w:rsidR="00442E31" w:rsidRPr="002E5513">
        <w:rPr>
          <w:rStyle w:val="Appelnotedebasdep"/>
          <w:b w:val="0"/>
          <w:bCs/>
          <w:sz w:val="20"/>
          <w:vertAlign w:val="baseline"/>
        </w:rPr>
        <w:footnoteReference w:customMarkFollows="1" w:id="2"/>
        <w:t>*</w:t>
      </w:r>
    </w:p>
    <w:p w14:paraId="6D62B9F9" w14:textId="77777777" w:rsidR="00421A10" w:rsidRPr="00A12483" w:rsidRDefault="00421A10" w:rsidP="0029791D">
      <w:pPr>
        <w:pStyle w:val="SingleTxtG"/>
        <w:jc w:val="left"/>
        <w:rPr>
          <w:b/>
          <w:sz w:val="24"/>
          <w:szCs w:val="24"/>
        </w:rPr>
      </w:pPr>
      <w:r w:rsidRPr="006549FF">
        <w:t xml:space="preserve">(Révision </w:t>
      </w:r>
      <w:r w:rsidR="002E5513" w:rsidRPr="009F02C1">
        <w:rPr>
          <w:lang w:val="fr-FR"/>
        </w:rPr>
        <w:t xml:space="preserve">3, comprenant les amendements entrés en vigueur le 14 </w:t>
      </w:r>
      <w:r w:rsidR="002E5513">
        <w:rPr>
          <w:lang w:val="fr-FR"/>
        </w:rPr>
        <w:t xml:space="preserve">septembre </w:t>
      </w:r>
      <w:r w:rsidR="002E5513" w:rsidRPr="009F02C1">
        <w:rPr>
          <w:lang w:val="fr-FR"/>
        </w:rPr>
        <w:t>2017</w:t>
      </w:r>
      <w:r w:rsidRPr="006549FF">
        <w:t>)</w:t>
      </w:r>
    </w:p>
    <w:p w14:paraId="7F858668" w14:textId="77777777" w:rsidR="00421A10" w:rsidRPr="006549FF" w:rsidRDefault="0029791D" w:rsidP="0029791D">
      <w:pPr>
        <w:jc w:val="center"/>
      </w:pPr>
      <w:r>
        <w:t>_______________</w:t>
      </w:r>
    </w:p>
    <w:p w14:paraId="408234D9" w14:textId="77777777" w:rsidR="00421A10" w:rsidRPr="006549FF" w:rsidRDefault="0029791D" w:rsidP="0029791D">
      <w:pPr>
        <w:pStyle w:val="HChG"/>
      </w:pPr>
      <w:r>
        <w:tab/>
      </w:r>
      <w:r>
        <w:tab/>
      </w:r>
      <w:r w:rsidR="00421A10" w:rsidRPr="006549FF">
        <w:t xml:space="preserve">Additif </w:t>
      </w:r>
      <w:r w:rsidR="002E5513">
        <w:t>93 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E5513">
        <w:t>94</w:t>
      </w:r>
    </w:p>
    <w:p w14:paraId="5E32466A" w14:textId="77777777" w:rsidR="00421A10" w:rsidRPr="006549FF" w:rsidRDefault="0029791D" w:rsidP="0029791D">
      <w:pPr>
        <w:pStyle w:val="H1G"/>
      </w:pPr>
      <w:r>
        <w:tab/>
      </w:r>
      <w:r>
        <w:tab/>
      </w:r>
      <w:r w:rsidR="00421A10" w:rsidRPr="006549FF">
        <w:t xml:space="preserve">Révision </w:t>
      </w:r>
      <w:r w:rsidR="002E5513">
        <w:t>3 − Amendement 2</w:t>
      </w:r>
    </w:p>
    <w:p w14:paraId="49C44BB1" w14:textId="77777777" w:rsidR="00421A10" w:rsidRPr="004A7E44" w:rsidRDefault="002E5513" w:rsidP="0029791D">
      <w:pPr>
        <w:pStyle w:val="SingleTxtG"/>
        <w:spacing w:after="0"/>
      </w:pPr>
      <w:r>
        <w:rPr>
          <w:spacing w:val="-2"/>
          <w:lang w:val="fr-FR"/>
        </w:rPr>
        <w:t>Complément 2 à la s</w:t>
      </w:r>
      <w:r w:rsidRPr="009F02C1">
        <w:rPr>
          <w:spacing w:val="-2"/>
          <w:lang w:val="fr-FR"/>
        </w:rPr>
        <w:t>érie 0</w:t>
      </w:r>
      <w:r>
        <w:rPr>
          <w:spacing w:val="-2"/>
          <w:lang w:val="fr-FR"/>
        </w:rPr>
        <w:t>3</w:t>
      </w:r>
      <w:r w:rsidRPr="009F02C1">
        <w:rPr>
          <w:spacing w:val="-2"/>
          <w:lang w:val="fr-FR"/>
        </w:rPr>
        <w:t xml:space="preserve"> d</w:t>
      </w:r>
      <w:r>
        <w:rPr>
          <w:spacing w:val="-2"/>
          <w:lang w:val="fr-FR"/>
        </w:rPr>
        <w:t>’</w:t>
      </w:r>
      <w:r w:rsidRPr="009F02C1">
        <w:rPr>
          <w:spacing w:val="-2"/>
          <w:lang w:val="fr-FR"/>
        </w:rPr>
        <w:t xml:space="preserve">amendements </w:t>
      </w:r>
      <w:r>
        <w:rPr>
          <w:spacing w:val="-2"/>
          <w:lang w:val="fr-FR"/>
        </w:rPr>
        <w:t>−</w:t>
      </w:r>
      <w:r w:rsidRPr="00F93FCA">
        <w:rPr>
          <w:spacing w:val="-2"/>
          <w:lang w:val="fr-FR"/>
        </w:rPr>
        <w:t xml:space="preserve"> Date d</w:t>
      </w:r>
      <w:r>
        <w:rPr>
          <w:spacing w:val="-2"/>
          <w:lang w:val="fr-FR"/>
        </w:rPr>
        <w:t>’</w:t>
      </w:r>
      <w:r w:rsidRPr="00F93FCA">
        <w:rPr>
          <w:spacing w:val="-2"/>
          <w:lang w:val="fr-FR"/>
        </w:rPr>
        <w:t>entrée en vigueu</w:t>
      </w:r>
      <w:r>
        <w:rPr>
          <w:spacing w:val="-2"/>
          <w:lang w:val="fr-FR"/>
        </w:rPr>
        <w:t>r </w:t>
      </w:r>
      <w:r w:rsidRPr="00F93FCA">
        <w:rPr>
          <w:spacing w:val="-2"/>
          <w:lang w:val="fr-FR"/>
        </w:rPr>
        <w:t xml:space="preserve">: </w:t>
      </w:r>
      <w:r>
        <w:rPr>
          <w:lang w:val="fr-FR"/>
        </w:rPr>
        <w:t>3 janvier 2021</w:t>
      </w:r>
    </w:p>
    <w:p w14:paraId="0A989075" w14:textId="77777777" w:rsidR="00421A10" w:rsidRPr="0029791D" w:rsidRDefault="00421A10" w:rsidP="0029791D">
      <w:pPr>
        <w:pStyle w:val="SingleTxtG"/>
      </w:pPr>
    </w:p>
    <w:p w14:paraId="19EA931A" w14:textId="77777777" w:rsidR="00421A10" w:rsidRDefault="0029791D" w:rsidP="0029791D">
      <w:pPr>
        <w:pStyle w:val="H1G"/>
      </w:pPr>
      <w:r>
        <w:tab/>
      </w:r>
      <w:r>
        <w:tab/>
      </w:r>
      <w:r w:rsidR="00421A10" w:rsidRPr="007619D3">
        <w:t xml:space="preserve">Prescriptions </w:t>
      </w:r>
      <w:r w:rsidR="002E5513" w:rsidRPr="00D005B1">
        <w:t>uniformes relatives à l</w:t>
      </w:r>
      <w:r w:rsidR="002E5513">
        <w:t>’</w:t>
      </w:r>
      <w:r w:rsidR="002E5513" w:rsidRPr="00D005B1">
        <w:t xml:space="preserve">homologation </w:t>
      </w:r>
      <w:r w:rsidR="002E5513" w:rsidRPr="00531E53">
        <w:t>de</w:t>
      </w:r>
      <w:r w:rsidR="002E5513" w:rsidRPr="009D7027">
        <w:t xml:space="preserve">s </w:t>
      </w:r>
      <w:r w:rsidR="002E5513" w:rsidRPr="00633A95">
        <w:t>véhicules en ce qui concerne la protection des occupants en cas de collision frontale</w:t>
      </w:r>
    </w:p>
    <w:p w14:paraId="571A0192" w14:textId="108A559C" w:rsidR="00D63096" w:rsidRDefault="002E5513" w:rsidP="002E5513">
      <w:pPr>
        <w:pStyle w:val="SingleTxtG"/>
      </w:pPr>
      <w:r w:rsidRPr="00F93FCA">
        <w:rPr>
          <w:spacing w:val="-4"/>
          <w:lang w:val="fr-FR" w:eastAsia="en-GB"/>
        </w:rPr>
        <w:t>Le présent document est communiqué uniquement à titre d</w:t>
      </w:r>
      <w:r>
        <w:rPr>
          <w:spacing w:val="-4"/>
          <w:lang w:val="fr-FR" w:eastAsia="en-GB"/>
        </w:rPr>
        <w:t>’</w:t>
      </w:r>
      <w:r w:rsidRPr="00F93FCA">
        <w:rPr>
          <w:spacing w:val="-4"/>
          <w:lang w:val="fr-FR" w:eastAsia="en-GB"/>
        </w:rPr>
        <w:t xml:space="preserve">information. </w:t>
      </w:r>
      <w:r w:rsidRPr="001432BD">
        <w:rPr>
          <w:spacing w:val="-4"/>
          <w:lang w:val="fr-FR" w:eastAsia="en-GB"/>
        </w:rPr>
        <w:t xml:space="preserve">Le texte authentique, juridiquement contraignant, est celui du </w:t>
      </w:r>
      <w:r w:rsidRPr="00A13805">
        <w:rPr>
          <w:spacing w:val="-4"/>
          <w:lang w:val="fr-FR" w:eastAsia="en-GB"/>
        </w:rPr>
        <w:t>document</w:t>
      </w:r>
      <w:r w:rsidRPr="00A13805">
        <w:rPr>
          <w:lang w:val="fr-FR" w:eastAsia="en-GB"/>
        </w:rPr>
        <w:t xml:space="preserve"> </w:t>
      </w:r>
      <w:r w:rsidRPr="00D005B1">
        <w:rPr>
          <w:spacing w:val="-6"/>
          <w:lang w:eastAsia="en-GB"/>
        </w:rPr>
        <w:t>ECE/TRANS/WP.29/2020/</w:t>
      </w:r>
      <w:r>
        <w:rPr>
          <w:spacing w:val="-6"/>
          <w:lang w:eastAsia="en-GB"/>
        </w:rPr>
        <w:t>54</w:t>
      </w:r>
      <w:r>
        <w:rPr>
          <w:spacing w:val="-6"/>
          <w:lang w:eastAsia="en-GB"/>
        </w:rPr>
        <w:t>.</w:t>
      </w:r>
    </w:p>
    <w:p w14:paraId="1BBB0F90" w14:textId="26030868" w:rsidR="00D63096" w:rsidRDefault="0045619B">
      <w:pPr>
        <w:suppressAutoHyphens w:val="0"/>
        <w:kinsoku/>
        <w:overflowPunct/>
        <w:autoSpaceDE/>
        <w:autoSpaceDN/>
        <w:adjustRightInd/>
        <w:snapToGrid/>
        <w:spacing w:line="240" w:lineRule="auto"/>
      </w:pPr>
      <w:r>
        <w:rPr>
          <w:noProof/>
          <w:lang w:eastAsia="fr-CH"/>
        </w:rPr>
        <mc:AlternateContent>
          <mc:Choice Requires="wps">
            <w:drawing>
              <wp:anchor distT="0" distB="0" distL="114300" distR="114300" simplePos="0" relativeHeight="251658240" behindDoc="0" locked="0" layoutInCell="1" allowOverlap="1" wp14:anchorId="1FBD0DB0" wp14:editId="673D77E2">
                <wp:simplePos x="0" y="0"/>
                <wp:positionH relativeFrom="margin">
                  <wp:posOffset>530</wp:posOffset>
                </wp:positionH>
                <wp:positionV relativeFrom="margin">
                  <wp:posOffset>6300348</wp:posOffset>
                </wp:positionV>
                <wp:extent cx="6119495" cy="1274710"/>
                <wp:effectExtent l="0" t="0" r="0" b="190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74710"/>
                        </a:xfrm>
                        <a:prstGeom prst="rect">
                          <a:avLst/>
                        </a:prstGeom>
                        <a:solidFill>
                          <a:srgbClr val="FFFFFF"/>
                        </a:solidFill>
                        <a:ln w="9525">
                          <a:noFill/>
                          <a:miter lim="800000"/>
                          <a:headEnd/>
                          <a:tailEnd/>
                        </a:ln>
                      </wps:spPr>
                      <wps:txbx>
                        <w:txbxContent>
                          <w:p w14:paraId="492AC2D8" w14:textId="77777777" w:rsidR="00442E31" w:rsidRPr="0029791D" w:rsidRDefault="00442E31" w:rsidP="0045619B">
                            <w:pPr>
                              <w:spacing w:after="120"/>
                              <w:ind w:left="1134" w:right="1134"/>
                              <w:jc w:val="center"/>
                            </w:pPr>
                            <w:r>
                              <w:t>_______________</w:t>
                            </w:r>
                          </w:p>
                          <w:p w14:paraId="0881C605" w14:textId="77777777" w:rsidR="00442E31" w:rsidRDefault="00442E31" w:rsidP="00C9521D">
                            <w:pPr>
                              <w:jc w:val="center"/>
                              <w:rPr>
                                <w:b/>
                                <w:bCs/>
                                <w:sz w:val="22"/>
                              </w:rPr>
                            </w:pPr>
                            <w:r>
                              <w:rPr>
                                <w:noProof/>
                                <w:lang w:eastAsia="fr-CH"/>
                              </w:rPr>
                              <w:drawing>
                                <wp:inline distT="0" distB="0" distL="0" distR="0" wp14:anchorId="7F4B8856" wp14:editId="0FBA52A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596505B"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D0DB0" id="_x0000_t202" coordsize="21600,21600" o:spt="202" path="m,l,21600r21600,l21600,xe">
                <v:stroke joinstyle="miter"/>
                <v:path gradientshapeok="t" o:connecttype="rect"/>
              </v:shapetype>
              <v:shape id="Zone de texte 4" o:spid="_x0000_s1026" type="#_x0000_t202" style="position:absolute;margin-left:.05pt;margin-top:496.1pt;width:481.85pt;height:10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" stroked="f">
                <v:textbox inset="0,0,0,0">
                  <w:txbxContent>
                    <w:p w14:paraId="492AC2D8" w14:textId="77777777" w:rsidR="00442E31" w:rsidRPr="0029791D" w:rsidRDefault="00442E31" w:rsidP="0045619B">
                      <w:pPr>
                        <w:spacing w:after="120"/>
                        <w:ind w:left="1134" w:right="1134"/>
                        <w:jc w:val="center"/>
                      </w:pPr>
                      <w:r>
                        <w:t>_______________</w:t>
                      </w:r>
                    </w:p>
                    <w:p w14:paraId="0881C605" w14:textId="77777777" w:rsidR="00442E31" w:rsidRDefault="00442E31" w:rsidP="00C9521D">
                      <w:pPr>
                        <w:jc w:val="center"/>
                        <w:rPr>
                          <w:b/>
                          <w:bCs/>
                          <w:sz w:val="22"/>
                        </w:rPr>
                      </w:pPr>
                      <w:r>
                        <w:rPr>
                          <w:noProof/>
                          <w:lang w:eastAsia="fr-CH"/>
                        </w:rPr>
                        <w:drawing>
                          <wp:inline distT="0" distB="0" distL="0" distR="0" wp14:anchorId="7F4B8856" wp14:editId="0FBA52A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596505B"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D63096">
        <w:br w:type="page"/>
      </w:r>
    </w:p>
    <w:p w14:paraId="7250D2C3" w14:textId="77777777" w:rsidR="002E5513" w:rsidRPr="00C05D45" w:rsidRDefault="002E5513" w:rsidP="002E5513">
      <w:pPr>
        <w:pStyle w:val="SingleTxtG"/>
        <w:keepNext/>
      </w:pPr>
      <w:r w:rsidRPr="00C57943">
        <w:rPr>
          <w:i/>
          <w:lang w:val="fr-FR"/>
        </w:rPr>
        <w:lastRenderedPageBreak/>
        <w:t>Paragraphe 1</w:t>
      </w:r>
      <w:r>
        <w:rPr>
          <w:lang w:val="fr-FR"/>
        </w:rPr>
        <w:t>, lire :</w:t>
      </w:r>
    </w:p>
    <w:p w14:paraId="21B27FAC" w14:textId="77777777" w:rsidR="002E5513" w:rsidRPr="00C05D45" w:rsidRDefault="002E5513" w:rsidP="002E5513">
      <w:pPr>
        <w:pStyle w:val="HChG"/>
        <w:ind w:left="2268"/>
      </w:pPr>
      <w:r w:rsidRPr="005B37E4">
        <w:rPr>
          <w:b w:val="0"/>
          <w:sz w:val="20"/>
          <w:lang w:val="fr-FR"/>
        </w:rPr>
        <w:t>« </w:t>
      </w:r>
      <w:r>
        <w:rPr>
          <w:lang w:val="fr-FR"/>
        </w:rPr>
        <w:t>1.</w:t>
      </w:r>
      <w:r>
        <w:rPr>
          <w:lang w:val="fr-FR"/>
        </w:rPr>
        <w:tab/>
      </w:r>
      <w:r>
        <w:rPr>
          <w:lang w:val="fr-FR"/>
        </w:rPr>
        <w:tab/>
        <w:t>Domaine d’application</w:t>
      </w:r>
      <w:bookmarkStart w:id="1" w:name="_Toc355617304"/>
      <w:bookmarkEnd w:id="1"/>
    </w:p>
    <w:p w14:paraId="57D8B4A3" w14:textId="77777777" w:rsidR="002E5513" w:rsidRPr="00C05D45" w:rsidRDefault="002E5513" w:rsidP="002E5513">
      <w:pPr>
        <w:pStyle w:val="SingleTxtG"/>
        <w:ind w:left="2268"/>
        <w:rPr>
          <w:bCs/>
        </w:rPr>
      </w:pPr>
      <w:r>
        <w:rPr>
          <w:lang w:val="fr-FR"/>
        </w:rPr>
        <w:tab/>
        <w:t>Le présent Règlement s’applique aux véhicules de la catégorie M</w:t>
      </w:r>
      <w:r>
        <w:rPr>
          <w:vertAlign w:val="subscript"/>
          <w:lang w:val="fr-FR"/>
        </w:rPr>
        <w:t>1</w:t>
      </w:r>
      <w:r w:rsidRPr="005623C8">
        <w:rPr>
          <w:rStyle w:val="Appelnotedebasdep"/>
        </w:rPr>
        <w:footnoteReference w:id="3"/>
      </w:r>
      <w:r>
        <w:rPr>
          <w:lang w:val="fr-FR"/>
        </w:rPr>
        <w:t xml:space="preserve"> dont la masse totale autorisée n’excède pas 3 500 kg et aux véhicules de la catégorie N</w:t>
      </w:r>
      <w:r>
        <w:rPr>
          <w:vertAlign w:val="subscript"/>
          <w:lang w:val="fr-FR"/>
        </w:rPr>
        <w:t>1</w:t>
      </w:r>
      <w:r>
        <w:rPr>
          <w:lang w:val="fr-FR"/>
        </w:rPr>
        <w:t xml:space="preserve"> dont la masse totale autorisée n’excède pas 2 500 kg ; d’autres véhicules peuvent être homologués à la demande du constructeur. ».</w:t>
      </w:r>
    </w:p>
    <w:p w14:paraId="2F96B22C" w14:textId="77777777" w:rsidR="002E5513" w:rsidRPr="00C05D45" w:rsidRDefault="002E5513" w:rsidP="002E5513">
      <w:pPr>
        <w:pStyle w:val="SingleTxtG"/>
        <w:keepNext/>
        <w:rPr>
          <w:bCs/>
        </w:rPr>
      </w:pPr>
      <w:r w:rsidRPr="00C57943">
        <w:rPr>
          <w:i/>
          <w:lang w:val="fr-FR"/>
        </w:rPr>
        <w:t>Ajouter les nouveaux paragraphes</w:t>
      </w:r>
      <w:r>
        <w:rPr>
          <w:i/>
          <w:lang w:val="fr-FR"/>
        </w:rPr>
        <w:t> </w:t>
      </w:r>
      <w:r w:rsidRPr="00C57943">
        <w:rPr>
          <w:i/>
          <w:lang w:val="fr-FR"/>
        </w:rPr>
        <w:t>2.36 et 2.37</w:t>
      </w:r>
      <w:r>
        <w:rPr>
          <w:lang w:val="fr-FR"/>
        </w:rPr>
        <w:t>, comme suit :</w:t>
      </w:r>
    </w:p>
    <w:p w14:paraId="433E1D79" w14:textId="77777777" w:rsidR="002E5513" w:rsidRPr="00C05D45" w:rsidRDefault="002E5513" w:rsidP="002E5513">
      <w:pPr>
        <w:pStyle w:val="SingleTxtG"/>
        <w:ind w:left="2268" w:hanging="1134"/>
        <w:rPr>
          <w:rFonts w:cs="Courier New"/>
          <w:bCs/>
          <w:szCs w:val="18"/>
        </w:rPr>
      </w:pPr>
      <w:r>
        <w:rPr>
          <w:lang w:val="fr-FR"/>
        </w:rPr>
        <w:t>« 2.36</w:t>
      </w:r>
      <w:r>
        <w:rPr>
          <w:lang w:val="fr-FR"/>
        </w:rPr>
        <w:tab/>
        <w:t>Par “</w:t>
      </w:r>
      <w:r w:rsidRPr="005B37E4">
        <w:rPr>
          <w:i/>
          <w:lang w:val="fr-FR"/>
        </w:rPr>
        <w:t>dispositif de déplacement</w:t>
      </w:r>
      <w:r>
        <w:rPr>
          <w:lang w:val="fr-FR"/>
        </w:rPr>
        <w:t>”, un dispositif permettant une translation et/ou une rotation, sans position intermédiaire fixe, du siège ou de l’une de ses parties, pour faciliter l’accès des occupants à l’espace derrière le siège déplacé et leur sortie de cet espace.</w:t>
      </w:r>
    </w:p>
    <w:p w14:paraId="40FD7C7B" w14:textId="77777777" w:rsidR="002E5513" w:rsidRPr="00C05D45" w:rsidRDefault="002E5513" w:rsidP="002E5513">
      <w:pPr>
        <w:pStyle w:val="SingleTxtG"/>
        <w:ind w:left="2268" w:hanging="1134"/>
        <w:rPr>
          <w:bCs/>
        </w:rPr>
      </w:pPr>
      <w:r>
        <w:rPr>
          <w:lang w:val="fr-FR"/>
        </w:rPr>
        <w:t>2.37</w:t>
      </w:r>
      <w:r>
        <w:rPr>
          <w:lang w:val="fr-FR"/>
        </w:rPr>
        <w:tab/>
        <w:t>Par “</w:t>
      </w:r>
      <w:r w:rsidRPr="005B37E4">
        <w:rPr>
          <w:i/>
          <w:lang w:val="fr-FR"/>
        </w:rPr>
        <w:t>châssis en échelle</w:t>
      </w:r>
      <w:r>
        <w:rPr>
          <w:lang w:val="fr-FR"/>
        </w:rPr>
        <w:t>”, un châssis composé de deux longerons longitudinaux reliés transversalement par des entretoises et sur lequel la cabine, composée de panneaux, est reliée à ces longerons. ».</w:t>
      </w:r>
    </w:p>
    <w:p w14:paraId="579D4623" w14:textId="77777777" w:rsidR="002E5513" w:rsidRPr="00C05D45" w:rsidRDefault="002E5513" w:rsidP="002E5513">
      <w:pPr>
        <w:pStyle w:val="SingleTxtG"/>
        <w:keepNext/>
        <w:rPr>
          <w:bCs/>
        </w:rPr>
      </w:pPr>
      <w:r w:rsidRPr="00C57943">
        <w:rPr>
          <w:i/>
          <w:lang w:val="fr-FR"/>
        </w:rPr>
        <w:t>Paragraphe</w:t>
      </w:r>
      <w:r>
        <w:rPr>
          <w:i/>
          <w:lang w:val="fr-FR"/>
        </w:rPr>
        <w:t> </w:t>
      </w:r>
      <w:r w:rsidRPr="00C57943">
        <w:rPr>
          <w:i/>
          <w:lang w:val="fr-FR"/>
        </w:rPr>
        <w:t>5.2.5.1</w:t>
      </w:r>
      <w:r>
        <w:rPr>
          <w:lang w:val="fr-FR"/>
        </w:rPr>
        <w:t>, lire :</w:t>
      </w:r>
    </w:p>
    <w:p w14:paraId="4798832F" w14:textId="77777777" w:rsidR="002E5513" w:rsidRPr="00C05D45" w:rsidRDefault="002E5513" w:rsidP="002E5513">
      <w:pPr>
        <w:pStyle w:val="SingleTxtG"/>
        <w:ind w:left="2268" w:hanging="1134"/>
        <w:rPr>
          <w:bCs/>
        </w:rPr>
      </w:pPr>
      <w:r>
        <w:rPr>
          <w:lang w:val="fr-FR"/>
        </w:rPr>
        <w:t>« 5.2.5.1</w:t>
      </w:r>
      <w:r>
        <w:rPr>
          <w:lang w:val="fr-FR"/>
        </w:rPr>
        <w:tab/>
        <w:t>D’ouvrir au moins une porte par rangée de sièges. Lorsqu’il n’y a pas de porte, il doit être possible d’évacuer tous les occupants en activant le dispositif de déplacement des sièges, si nécessaire. Cette mesure n’est pas applicable aux cabriolets, dont le toit peut être facilement ouvert pour permettre l’évacuation des occupants.</w:t>
      </w:r>
    </w:p>
    <w:p w14:paraId="40ED6D14" w14:textId="77777777" w:rsidR="002E5513" w:rsidRPr="00C05D45" w:rsidRDefault="002E5513" w:rsidP="002E5513">
      <w:pPr>
        <w:pStyle w:val="SingleTxtG"/>
        <w:ind w:left="2268"/>
        <w:rPr>
          <w:bCs/>
        </w:rPr>
      </w:pPr>
      <w:r>
        <w:rPr>
          <w:lang w:val="fr-FR"/>
        </w:rPr>
        <w:tab/>
        <w:t>Cette possibilité doit être évaluée pour toutes les configurations ou pour la configuration la plus défavorable pour ce qui est du nombre de portes de chaque côté du véhicule, et pour les véhicules à conduite à gauche tout comme pour les véhicules à conduite à droite, selon le cas. ».</w:t>
      </w:r>
    </w:p>
    <w:p w14:paraId="6F7E6B49" w14:textId="77777777" w:rsidR="002E5513" w:rsidRPr="00C05D45" w:rsidRDefault="002E5513" w:rsidP="002E5513">
      <w:pPr>
        <w:pStyle w:val="SingleTxtG"/>
        <w:keepNext/>
        <w:rPr>
          <w:bCs/>
        </w:rPr>
      </w:pPr>
      <w:r w:rsidRPr="00C57943">
        <w:rPr>
          <w:i/>
          <w:lang w:val="fr-FR"/>
        </w:rPr>
        <w:t>Ajouter les nouveaux paragraphes</w:t>
      </w:r>
      <w:r>
        <w:rPr>
          <w:i/>
          <w:lang w:val="fr-FR"/>
        </w:rPr>
        <w:t> </w:t>
      </w:r>
      <w:r w:rsidRPr="00C57943">
        <w:rPr>
          <w:i/>
          <w:lang w:val="fr-FR"/>
        </w:rPr>
        <w:t>5.3 à 5.3.2</w:t>
      </w:r>
      <w:r>
        <w:rPr>
          <w:lang w:val="fr-FR"/>
        </w:rPr>
        <w:t>, comme suit :</w:t>
      </w:r>
    </w:p>
    <w:p w14:paraId="5FE6B33F" w14:textId="77777777" w:rsidR="002E5513" w:rsidRPr="00C05D45" w:rsidRDefault="002E5513" w:rsidP="002E5513">
      <w:pPr>
        <w:pStyle w:val="SingleTxtG"/>
        <w:ind w:left="2268" w:hanging="1134"/>
        <w:rPr>
          <w:bCs/>
        </w:rPr>
      </w:pPr>
      <w:r>
        <w:rPr>
          <w:lang w:val="fr-FR"/>
        </w:rPr>
        <w:t>« 5.3</w:t>
      </w:r>
      <w:r>
        <w:rPr>
          <w:lang w:val="fr-FR"/>
        </w:rPr>
        <w:tab/>
        <w:t>Dispositions spécifiques</w:t>
      </w:r>
    </w:p>
    <w:p w14:paraId="30776F19" w14:textId="77777777" w:rsidR="002E5513" w:rsidRPr="00C05D45" w:rsidRDefault="002E5513" w:rsidP="002E5513">
      <w:pPr>
        <w:pStyle w:val="SingleTxtG"/>
        <w:keepNext/>
        <w:ind w:left="2268" w:hanging="1134"/>
        <w:rPr>
          <w:bCs/>
          <w:sz w:val="16"/>
        </w:rPr>
      </w:pPr>
      <w:r w:rsidRPr="00591EBF">
        <w:rPr>
          <w:lang w:val="fr-FR"/>
        </w:rPr>
        <w:t>5.3.1</w:t>
      </w:r>
      <w:r w:rsidRPr="00591EBF">
        <w:rPr>
          <w:lang w:val="fr-FR"/>
        </w:rPr>
        <w:tab/>
        <w:t>Les véhicules de la catégorie M</w:t>
      </w:r>
      <w:r w:rsidRPr="00591EBF">
        <w:rPr>
          <w:vertAlign w:val="subscript"/>
          <w:lang w:val="fr-FR"/>
        </w:rPr>
        <w:t>1</w:t>
      </w:r>
      <w:r w:rsidRPr="00591EBF">
        <w:rPr>
          <w:lang w:val="fr-FR"/>
        </w:rPr>
        <w:t xml:space="preserve"> dont la masse totale autorisée excède 2</w:t>
      </w:r>
      <w:r>
        <w:rPr>
          <w:lang w:val="fr-FR"/>
        </w:rPr>
        <w:t> </w:t>
      </w:r>
      <w:r w:rsidRPr="00591EBF">
        <w:rPr>
          <w:lang w:val="fr-FR"/>
        </w:rPr>
        <w:t>500</w:t>
      </w:r>
      <w:r>
        <w:rPr>
          <w:lang w:val="fr-FR"/>
        </w:rPr>
        <w:t> </w:t>
      </w:r>
      <w:r w:rsidRPr="00591EBF">
        <w:rPr>
          <w:lang w:val="fr-FR"/>
        </w:rPr>
        <w:t>kg, basés sur des types de véhicules de la catégorie N</w:t>
      </w:r>
      <w:r w:rsidRPr="00591EBF">
        <w:rPr>
          <w:vertAlign w:val="subscript"/>
          <w:lang w:val="fr-FR"/>
        </w:rPr>
        <w:t>1</w:t>
      </w:r>
      <w:r w:rsidRPr="00591EBF">
        <w:rPr>
          <w:lang w:val="fr-FR"/>
        </w:rPr>
        <w:t xml:space="preserve"> dont la masse totale autorisée excède 2</w:t>
      </w:r>
      <w:r>
        <w:rPr>
          <w:lang w:val="fr-FR"/>
        </w:rPr>
        <w:t> </w:t>
      </w:r>
      <w:r w:rsidRPr="00591EBF">
        <w:rPr>
          <w:lang w:val="fr-FR"/>
        </w:rPr>
        <w:t>500</w:t>
      </w:r>
      <w:r>
        <w:rPr>
          <w:lang w:val="fr-FR"/>
        </w:rPr>
        <w:t> </w:t>
      </w:r>
      <w:r w:rsidRPr="00591EBF">
        <w:rPr>
          <w:lang w:val="fr-FR"/>
        </w:rPr>
        <w:t>kg, sont réputés satisfaire aux prescriptions du paragraphe</w:t>
      </w:r>
      <w:r>
        <w:rPr>
          <w:lang w:val="fr-FR"/>
        </w:rPr>
        <w:t> </w:t>
      </w:r>
      <w:r w:rsidRPr="00591EBF">
        <w:rPr>
          <w:lang w:val="fr-FR"/>
        </w:rPr>
        <w:t>5 lorsque les prescriptions du Règlement ONU n</w:t>
      </w:r>
      <w:r w:rsidRPr="00C57943">
        <w:rPr>
          <w:vertAlign w:val="superscript"/>
          <w:lang w:val="fr-FR"/>
        </w:rPr>
        <w:t>o</w:t>
      </w:r>
      <w:r>
        <w:rPr>
          <w:lang w:val="fr-FR"/>
        </w:rPr>
        <w:t> </w:t>
      </w:r>
      <w:r w:rsidRPr="00591EBF">
        <w:rPr>
          <w:lang w:val="fr-FR"/>
        </w:rPr>
        <w:t>137 sont pleinement respectées et que l</w:t>
      </w:r>
      <w:r>
        <w:rPr>
          <w:lang w:val="fr-FR"/>
        </w:rPr>
        <w:t>’</w:t>
      </w:r>
      <w:r w:rsidRPr="00591EBF">
        <w:rPr>
          <w:lang w:val="fr-FR"/>
        </w:rPr>
        <w:t>une au moins des conditions suivantes est remplie</w:t>
      </w:r>
      <w:r>
        <w:rPr>
          <w:lang w:val="fr-FR"/>
        </w:rPr>
        <w:t> </w:t>
      </w:r>
      <w:r w:rsidRPr="00591EBF">
        <w:rPr>
          <w:lang w:val="fr-FR"/>
        </w:rPr>
        <w:t>:</w:t>
      </w:r>
    </w:p>
    <w:p w14:paraId="70EDEB8B" w14:textId="77777777" w:rsidR="002E5513" w:rsidRDefault="002E5513" w:rsidP="002E5513">
      <w:pPr>
        <w:pStyle w:val="SingleTxtG"/>
        <w:ind w:left="2835" w:hanging="567"/>
        <w:rPr>
          <w:lang w:val="fr-FR"/>
        </w:rPr>
      </w:pPr>
      <w:r w:rsidRPr="00591EBF">
        <w:rPr>
          <w:lang w:val="fr-FR"/>
        </w:rPr>
        <w:t>a)</w:t>
      </w:r>
      <w:r w:rsidRPr="00591EBF">
        <w:rPr>
          <w:lang w:val="fr-FR"/>
        </w:rPr>
        <w:tab/>
        <w:t>L</w:t>
      </w:r>
      <w:r>
        <w:rPr>
          <w:lang w:val="fr-FR"/>
        </w:rPr>
        <w:t>’</w:t>
      </w:r>
      <w:r w:rsidRPr="00591EBF">
        <w:rPr>
          <w:lang w:val="fr-FR"/>
        </w:rPr>
        <w:t>angle aigu alpha (α), mesuré entre un plan horizontal passant par le centre de l</w:t>
      </w:r>
      <w:r>
        <w:rPr>
          <w:lang w:val="fr-FR"/>
        </w:rPr>
        <w:t>’</w:t>
      </w:r>
      <w:r w:rsidRPr="00591EBF">
        <w:rPr>
          <w:lang w:val="fr-FR"/>
        </w:rPr>
        <w:t>essieu avant et un plan transversal angulaire passant par le centre de l</w:t>
      </w:r>
      <w:r>
        <w:rPr>
          <w:lang w:val="fr-FR"/>
        </w:rPr>
        <w:t>’</w:t>
      </w:r>
      <w:r w:rsidRPr="00591EBF">
        <w:rPr>
          <w:lang w:val="fr-FR"/>
        </w:rPr>
        <w:t>essieu avant et le point</w:t>
      </w:r>
      <w:r>
        <w:rPr>
          <w:lang w:val="fr-FR"/>
        </w:rPr>
        <w:t> </w:t>
      </w:r>
      <w:r w:rsidRPr="00591EBF">
        <w:rPr>
          <w:lang w:val="fr-FR"/>
        </w:rPr>
        <w:t>R du siège du conducteur (voir fig.</w:t>
      </w:r>
      <w:r>
        <w:rPr>
          <w:lang w:val="fr-FR"/>
        </w:rPr>
        <w:t> </w:t>
      </w:r>
      <w:r w:rsidRPr="00591EBF">
        <w:rPr>
          <w:lang w:val="fr-FR"/>
        </w:rPr>
        <w:t>4 ci-après), est supérieur à 22</w:t>
      </w:r>
      <w:r>
        <w:rPr>
          <w:lang w:val="fr-FR"/>
        </w:rPr>
        <w:t> ;</w:t>
      </w:r>
    </w:p>
    <w:p w14:paraId="72722F0D" w14:textId="77777777" w:rsidR="002E5513" w:rsidRPr="00C05D45" w:rsidRDefault="002E5513" w:rsidP="002E5513">
      <w:pPr>
        <w:pStyle w:val="SingleTxtG"/>
        <w:ind w:left="2835" w:hanging="567"/>
        <w:rPr>
          <w:bCs/>
          <w:sz w:val="16"/>
        </w:rPr>
      </w:pPr>
      <w:r w:rsidRPr="00591EBF">
        <w:rPr>
          <w:lang w:val="fr-FR"/>
        </w:rPr>
        <w:t>b)</w:t>
      </w:r>
      <w:r w:rsidRPr="00591EBF">
        <w:rPr>
          <w:lang w:val="fr-FR"/>
        </w:rPr>
        <w:tab/>
        <w:t>Ou le rapport entre les distances séparant le point</w:t>
      </w:r>
      <w:r>
        <w:rPr>
          <w:lang w:val="fr-FR"/>
        </w:rPr>
        <w:t> </w:t>
      </w:r>
      <w:r w:rsidRPr="00591EBF">
        <w:rPr>
          <w:lang w:val="fr-FR"/>
        </w:rPr>
        <w:t>R du conducteur du centre de l</w:t>
      </w:r>
      <w:r>
        <w:rPr>
          <w:lang w:val="fr-FR"/>
        </w:rPr>
        <w:t>’</w:t>
      </w:r>
      <w:r w:rsidRPr="00591EBF">
        <w:rPr>
          <w:lang w:val="fr-FR"/>
        </w:rPr>
        <w:t>essieu arrière (L101-L114) et le centre de l</w:t>
      </w:r>
      <w:r>
        <w:rPr>
          <w:lang w:val="fr-FR"/>
        </w:rPr>
        <w:t>’</w:t>
      </w:r>
      <w:r w:rsidRPr="00591EBF">
        <w:rPr>
          <w:lang w:val="fr-FR"/>
        </w:rPr>
        <w:t xml:space="preserve">essieu avant du </w:t>
      </w:r>
      <w:r w:rsidRPr="00C57943">
        <w:rPr>
          <w:spacing w:val="-1"/>
          <w:lang w:val="fr-FR"/>
        </w:rPr>
        <w:t>point R du conducteur (L114) est supérieur à 1,30 (voir fig. 4 ci-après).</w:t>
      </w:r>
    </w:p>
    <w:p w14:paraId="2183F3CB" w14:textId="77777777" w:rsidR="002E5513" w:rsidRPr="00C05D45" w:rsidRDefault="002E5513" w:rsidP="002E5513">
      <w:pPr>
        <w:pStyle w:val="SingleTxtG"/>
        <w:ind w:left="2268"/>
        <w:rPr>
          <w:bCs/>
        </w:rPr>
      </w:pPr>
      <w:r>
        <w:rPr>
          <w:lang w:val="fr-FR"/>
        </w:rPr>
        <w:t>Ces paramètres sont vérifiés par le service technique, soumis à l’autorité d’homologation de type pour décision, et déclarés au titre du point 8.2 de l’annexe 1 portant sur la communication de l’homologation.</w:t>
      </w:r>
    </w:p>
    <w:p w14:paraId="5E2C8624" w14:textId="77777777" w:rsidR="002E5513" w:rsidRPr="00C05D45" w:rsidRDefault="002E5513" w:rsidP="002E5513">
      <w:pPr>
        <w:pStyle w:val="SingleTxtG"/>
        <w:keepNext/>
        <w:ind w:left="2268" w:hanging="1134"/>
        <w:rPr>
          <w:bCs/>
          <w:sz w:val="16"/>
        </w:rPr>
      </w:pPr>
      <w:r w:rsidRPr="00700D87">
        <w:rPr>
          <w:lang w:val="fr-FR"/>
        </w:rPr>
        <w:t>5.3.2</w:t>
      </w:r>
      <w:r w:rsidRPr="00700D87">
        <w:rPr>
          <w:lang w:val="fr-FR"/>
        </w:rPr>
        <w:tab/>
        <w:t>Les véhicules de la catégorie N</w:t>
      </w:r>
      <w:r w:rsidRPr="00700D87">
        <w:rPr>
          <w:vertAlign w:val="subscript"/>
          <w:lang w:val="fr-FR"/>
        </w:rPr>
        <w:t>1</w:t>
      </w:r>
      <w:r w:rsidRPr="00700D87">
        <w:rPr>
          <w:lang w:val="fr-FR"/>
        </w:rPr>
        <w:t xml:space="preserve"> dont la masse totale autorisée excède 2</w:t>
      </w:r>
      <w:r>
        <w:rPr>
          <w:lang w:val="fr-FR"/>
        </w:rPr>
        <w:t> </w:t>
      </w:r>
      <w:r w:rsidRPr="00700D87">
        <w:rPr>
          <w:lang w:val="fr-FR"/>
        </w:rPr>
        <w:t>250</w:t>
      </w:r>
      <w:r>
        <w:rPr>
          <w:lang w:val="fr-FR"/>
        </w:rPr>
        <w:t> </w:t>
      </w:r>
      <w:r w:rsidRPr="00700D87">
        <w:rPr>
          <w:lang w:val="fr-FR"/>
        </w:rPr>
        <w:t>kg mais n</w:t>
      </w:r>
      <w:r>
        <w:rPr>
          <w:lang w:val="fr-FR"/>
        </w:rPr>
        <w:t>’</w:t>
      </w:r>
      <w:r w:rsidRPr="00700D87">
        <w:rPr>
          <w:lang w:val="fr-FR"/>
        </w:rPr>
        <w:t>excède pas 2</w:t>
      </w:r>
      <w:r>
        <w:rPr>
          <w:lang w:val="fr-FR"/>
        </w:rPr>
        <w:t> </w:t>
      </w:r>
      <w:r w:rsidRPr="00700D87">
        <w:rPr>
          <w:lang w:val="fr-FR"/>
        </w:rPr>
        <w:t>500</w:t>
      </w:r>
      <w:r>
        <w:rPr>
          <w:lang w:val="fr-FR"/>
        </w:rPr>
        <w:t> </w:t>
      </w:r>
      <w:r w:rsidRPr="00700D87">
        <w:rPr>
          <w:lang w:val="fr-FR"/>
        </w:rPr>
        <w:t>kg sont réputés satisfaire aux prescriptions du paragraphe</w:t>
      </w:r>
      <w:r>
        <w:rPr>
          <w:lang w:val="fr-FR"/>
        </w:rPr>
        <w:t> </w:t>
      </w:r>
      <w:r w:rsidRPr="00700D87">
        <w:rPr>
          <w:lang w:val="fr-FR"/>
        </w:rPr>
        <w:t xml:space="preserve">5 lorsque leur base structurelle est un châssis en échelle, que les </w:t>
      </w:r>
      <w:r w:rsidRPr="00700D87">
        <w:rPr>
          <w:lang w:val="fr-FR"/>
        </w:rPr>
        <w:lastRenderedPageBreak/>
        <w:t>critères du Règlement ONU n</w:t>
      </w:r>
      <w:r w:rsidRPr="00C57943">
        <w:rPr>
          <w:vertAlign w:val="superscript"/>
          <w:lang w:val="fr-FR"/>
        </w:rPr>
        <w:t>o</w:t>
      </w:r>
      <w:r>
        <w:rPr>
          <w:lang w:val="fr-FR"/>
        </w:rPr>
        <w:t> </w:t>
      </w:r>
      <w:r w:rsidRPr="00700D87">
        <w:rPr>
          <w:lang w:val="fr-FR"/>
        </w:rPr>
        <w:t>137 sont pleinement respectés et que l</w:t>
      </w:r>
      <w:r>
        <w:rPr>
          <w:lang w:val="fr-FR"/>
        </w:rPr>
        <w:t>’</w:t>
      </w:r>
      <w:r w:rsidRPr="00700D87">
        <w:rPr>
          <w:lang w:val="fr-FR"/>
        </w:rPr>
        <w:t>une au moins des conditions suivantes est remplie</w:t>
      </w:r>
      <w:r>
        <w:rPr>
          <w:lang w:val="fr-FR"/>
        </w:rPr>
        <w:t> </w:t>
      </w:r>
      <w:r w:rsidRPr="00700D87">
        <w:rPr>
          <w:lang w:val="fr-FR"/>
        </w:rPr>
        <w:t>:</w:t>
      </w:r>
    </w:p>
    <w:p w14:paraId="6D22F349" w14:textId="77777777" w:rsidR="002E5513" w:rsidRPr="00C05D45" w:rsidRDefault="002E5513" w:rsidP="002E5513">
      <w:pPr>
        <w:pStyle w:val="SingleTxtG"/>
        <w:ind w:left="2835" w:hanging="567"/>
        <w:rPr>
          <w:bCs/>
          <w:sz w:val="16"/>
        </w:rPr>
      </w:pPr>
      <w:r w:rsidRPr="00700D87">
        <w:rPr>
          <w:lang w:val="fr-FR"/>
        </w:rPr>
        <w:t>a)</w:t>
      </w:r>
      <w:r w:rsidRPr="00700D87">
        <w:rPr>
          <w:lang w:val="fr-FR"/>
        </w:rPr>
        <w:tab/>
        <w:t>L</w:t>
      </w:r>
      <w:r>
        <w:rPr>
          <w:lang w:val="fr-FR"/>
        </w:rPr>
        <w:t>’</w:t>
      </w:r>
      <w:r w:rsidRPr="00700D87">
        <w:rPr>
          <w:lang w:val="fr-FR"/>
        </w:rPr>
        <w:t>angle aigu alpha (α), mesuré entre un plan horizontal passant par le centre de l</w:t>
      </w:r>
      <w:r>
        <w:rPr>
          <w:lang w:val="fr-FR"/>
        </w:rPr>
        <w:t>’</w:t>
      </w:r>
      <w:r w:rsidRPr="00700D87">
        <w:rPr>
          <w:lang w:val="fr-FR"/>
        </w:rPr>
        <w:t>essieu avant et un plan transversal angulaire passant par le centre de l</w:t>
      </w:r>
      <w:r>
        <w:rPr>
          <w:lang w:val="fr-FR"/>
        </w:rPr>
        <w:t>’</w:t>
      </w:r>
      <w:r w:rsidRPr="00700D87">
        <w:rPr>
          <w:lang w:val="fr-FR"/>
        </w:rPr>
        <w:t xml:space="preserve">essieu </w:t>
      </w:r>
      <w:r w:rsidRPr="00C57943">
        <w:rPr>
          <w:spacing w:val="-1"/>
          <w:lang w:val="fr-FR"/>
        </w:rPr>
        <w:t>avant</w:t>
      </w:r>
      <w:r w:rsidRPr="00700D87">
        <w:rPr>
          <w:lang w:val="fr-FR"/>
        </w:rPr>
        <w:t xml:space="preserve"> et le point</w:t>
      </w:r>
      <w:r>
        <w:rPr>
          <w:lang w:val="fr-FR"/>
        </w:rPr>
        <w:t> </w:t>
      </w:r>
      <w:r w:rsidRPr="00700D87">
        <w:rPr>
          <w:lang w:val="fr-FR"/>
        </w:rPr>
        <w:t>R du siège du conducteur (voir fig.</w:t>
      </w:r>
      <w:r>
        <w:rPr>
          <w:lang w:val="fr-FR"/>
        </w:rPr>
        <w:t> </w:t>
      </w:r>
      <w:r w:rsidRPr="00700D87">
        <w:rPr>
          <w:lang w:val="fr-FR"/>
        </w:rPr>
        <w:t>4 ci-après), est supérieur à 22°;</w:t>
      </w:r>
    </w:p>
    <w:p w14:paraId="70DC1A0C" w14:textId="77777777" w:rsidR="002E5513" w:rsidRPr="00C05D45" w:rsidRDefault="002E5513" w:rsidP="002E5513">
      <w:pPr>
        <w:pStyle w:val="SingleTxtG"/>
        <w:ind w:left="2835" w:hanging="567"/>
        <w:rPr>
          <w:bCs/>
          <w:sz w:val="16"/>
        </w:rPr>
      </w:pPr>
      <w:r w:rsidRPr="00700D87">
        <w:rPr>
          <w:lang w:val="fr-FR"/>
        </w:rPr>
        <w:t>b)</w:t>
      </w:r>
      <w:r w:rsidRPr="00700D87">
        <w:rPr>
          <w:lang w:val="fr-FR"/>
        </w:rPr>
        <w:tab/>
        <w:t xml:space="preserve">Ou le rapport entre les distances séparant le point R du conducteur du centre de </w:t>
      </w:r>
      <w:r w:rsidRPr="00C57943">
        <w:rPr>
          <w:spacing w:val="-1"/>
          <w:lang w:val="fr-FR"/>
        </w:rPr>
        <w:t>l</w:t>
      </w:r>
      <w:r>
        <w:rPr>
          <w:spacing w:val="-1"/>
          <w:lang w:val="fr-FR"/>
        </w:rPr>
        <w:t>’</w:t>
      </w:r>
      <w:r w:rsidRPr="00C57943">
        <w:rPr>
          <w:spacing w:val="-1"/>
          <w:lang w:val="fr-FR"/>
        </w:rPr>
        <w:t>essieu</w:t>
      </w:r>
      <w:r w:rsidRPr="00700D87">
        <w:rPr>
          <w:lang w:val="fr-FR"/>
        </w:rPr>
        <w:t xml:space="preserve"> arrière (L101-L114) et le centre de l</w:t>
      </w:r>
      <w:r>
        <w:rPr>
          <w:lang w:val="fr-FR"/>
        </w:rPr>
        <w:t>’</w:t>
      </w:r>
      <w:r w:rsidRPr="00700D87">
        <w:rPr>
          <w:lang w:val="fr-FR"/>
        </w:rPr>
        <w:t xml:space="preserve">essieu avant du </w:t>
      </w:r>
      <w:r w:rsidRPr="00C57943">
        <w:rPr>
          <w:spacing w:val="-1"/>
          <w:lang w:val="fr-FR"/>
        </w:rPr>
        <w:t>point</w:t>
      </w:r>
      <w:r>
        <w:rPr>
          <w:spacing w:val="-1"/>
          <w:lang w:val="fr-FR"/>
        </w:rPr>
        <w:t> </w:t>
      </w:r>
      <w:r w:rsidRPr="00C57943">
        <w:rPr>
          <w:spacing w:val="-1"/>
          <w:lang w:val="fr-FR"/>
        </w:rPr>
        <w:t>R du conducteur (L114) est supérieur à 1,30 (voir fig. 4 ci-après).</w:t>
      </w:r>
    </w:p>
    <w:p w14:paraId="46E0392B" w14:textId="77777777" w:rsidR="002E5513" w:rsidRPr="00C05D45" w:rsidRDefault="002E5513" w:rsidP="002E5513">
      <w:pPr>
        <w:pStyle w:val="SingleTxtG"/>
        <w:ind w:left="2268"/>
        <w:rPr>
          <w:bCs/>
          <w:sz w:val="16"/>
        </w:rPr>
      </w:pPr>
      <w:r w:rsidRPr="00700D87">
        <w:rPr>
          <w:lang w:val="fr-FR"/>
        </w:rPr>
        <w:t>Ces paramètres sont vérifiés par le service technique, soumis à l</w:t>
      </w:r>
      <w:r>
        <w:rPr>
          <w:lang w:val="fr-FR"/>
        </w:rPr>
        <w:t>’</w:t>
      </w:r>
      <w:r w:rsidRPr="00700D87">
        <w:rPr>
          <w:lang w:val="fr-FR"/>
        </w:rPr>
        <w:t>autorité d</w:t>
      </w:r>
      <w:r>
        <w:rPr>
          <w:lang w:val="fr-FR"/>
        </w:rPr>
        <w:t>’</w:t>
      </w:r>
      <w:r w:rsidRPr="00700D87">
        <w:rPr>
          <w:lang w:val="fr-FR"/>
        </w:rPr>
        <w:t>homologation de type pour décision, et déclarés au titre du point</w:t>
      </w:r>
      <w:r>
        <w:rPr>
          <w:lang w:val="fr-FR"/>
        </w:rPr>
        <w:t> </w:t>
      </w:r>
      <w:r w:rsidRPr="00700D87">
        <w:rPr>
          <w:lang w:val="fr-FR"/>
        </w:rPr>
        <w:t>8.2 de l</w:t>
      </w:r>
      <w:r>
        <w:rPr>
          <w:lang w:val="fr-FR"/>
        </w:rPr>
        <w:t>’</w:t>
      </w:r>
      <w:r w:rsidRPr="00700D87">
        <w:rPr>
          <w:lang w:val="fr-FR"/>
        </w:rPr>
        <w:t>annexe</w:t>
      </w:r>
      <w:r>
        <w:rPr>
          <w:lang w:val="fr-FR"/>
        </w:rPr>
        <w:t> </w:t>
      </w:r>
      <w:r w:rsidRPr="00700D87">
        <w:rPr>
          <w:lang w:val="fr-FR"/>
        </w:rPr>
        <w:t>1 portant sur la communication de l</w:t>
      </w:r>
      <w:r>
        <w:rPr>
          <w:lang w:val="fr-FR"/>
        </w:rPr>
        <w:t>’</w:t>
      </w:r>
      <w:r w:rsidRPr="00700D87">
        <w:rPr>
          <w:lang w:val="fr-FR"/>
        </w:rPr>
        <w:t>homologation.</w:t>
      </w:r>
    </w:p>
    <w:p w14:paraId="22FDF55F" w14:textId="77777777" w:rsidR="002E5513" w:rsidRDefault="002E5513" w:rsidP="002E5513">
      <w:pPr>
        <w:pStyle w:val="SingleTxtG"/>
        <w:ind w:left="2268"/>
        <w:rPr>
          <w:b/>
        </w:rPr>
      </w:pPr>
      <w:r>
        <w:rPr>
          <w:b/>
          <w:bCs/>
          <w:lang w:val="fr-FR"/>
        </w:rPr>
        <w:t>Figure 4</w:t>
      </w:r>
    </w:p>
    <w:p w14:paraId="03BB13AF" w14:textId="77777777" w:rsidR="002E5513" w:rsidRPr="00C671A6" w:rsidRDefault="002E5513" w:rsidP="002E5513">
      <w:pPr>
        <w:pStyle w:val="SingleTxtG"/>
        <w:ind w:left="2268"/>
        <w:rPr>
          <w:b/>
          <w:lang w:eastAsia="ar-SA"/>
        </w:rPr>
      </w:pPr>
      <w:r w:rsidRPr="00C671A6">
        <w:rPr>
          <w:b/>
          <w:noProof/>
          <w:lang w:eastAsia="zh-CN"/>
        </w:rPr>
        <w:drawing>
          <wp:inline distT="0" distB="0" distL="0" distR="0" wp14:anchorId="75CFB430" wp14:editId="3C407B7E">
            <wp:extent cx="3357136" cy="1655023"/>
            <wp:effectExtent l="0" t="0" r="0" b="254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3329" cy="1663006"/>
                    </a:xfrm>
                    <a:prstGeom prst="rect">
                      <a:avLst/>
                    </a:prstGeom>
                    <a:noFill/>
                    <a:ln>
                      <a:noFill/>
                    </a:ln>
                  </pic:spPr>
                </pic:pic>
              </a:graphicData>
            </a:graphic>
          </wp:inline>
        </w:drawing>
      </w:r>
    </w:p>
    <w:p w14:paraId="3AEECFB4" w14:textId="77777777" w:rsidR="002E5513" w:rsidRPr="00C05D45" w:rsidRDefault="002E5513" w:rsidP="002E5513">
      <w:pPr>
        <w:pStyle w:val="SingleTxtG"/>
        <w:jc w:val="right"/>
        <w:rPr>
          <w:lang w:eastAsia="ar-SA"/>
        </w:rPr>
      </w:pPr>
      <w:r w:rsidRPr="00C05D45">
        <w:rPr>
          <w:lang w:eastAsia="ar-SA"/>
        </w:rPr>
        <w:t> ».</w:t>
      </w:r>
    </w:p>
    <w:p w14:paraId="76A30FE4" w14:textId="77777777" w:rsidR="002E5513" w:rsidRPr="00C05D45" w:rsidRDefault="002E5513" w:rsidP="002E5513">
      <w:pPr>
        <w:pStyle w:val="SingleTxtG"/>
        <w:keepNext/>
      </w:pPr>
      <w:r w:rsidRPr="00C57943">
        <w:rPr>
          <w:i/>
          <w:lang w:val="fr-FR"/>
        </w:rPr>
        <w:t>Annexe 1, point 8</w:t>
      </w:r>
      <w:r>
        <w:rPr>
          <w:lang w:val="fr-FR"/>
        </w:rPr>
        <w:t>, lire :</w:t>
      </w:r>
    </w:p>
    <w:p w14:paraId="68A5A66C" w14:textId="77777777" w:rsidR="002E5513" w:rsidRPr="00C05D45" w:rsidRDefault="002E5513" w:rsidP="002E5513">
      <w:pPr>
        <w:pStyle w:val="SingleTxtG"/>
        <w:keepNext/>
        <w:ind w:left="2268" w:hanging="1134"/>
      </w:pPr>
      <w:r>
        <w:rPr>
          <w:lang w:val="fr-FR"/>
        </w:rPr>
        <w:t>« 8.</w:t>
      </w:r>
      <w:r>
        <w:rPr>
          <w:lang w:val="fr-FR"/>
        </w:rPr>
        <w:tab/>
        <w:t>Masse du véhicule</w:t>
      </w:r>
    </w:p>
    <w:p w14:paraId="35EE5C2B" w14:textId="77777777" w:rsidR="002E5513" w:rsidRPr="00C05D45" w:rsidRDefault="002E5513" w:rsidP="002E5513">
      <w:pPr>
        <w:pStyle w:val="SingleTxtG"/>
        <w:ind w:left="2268" w:hanging="1134"/>
      </w:pPr>
      <w:r>
        <w:rPr>
          <w:lang w:val="fr-FR"/>
        </w:rPr>
        <w:t>8.1</w:t>
      </w:r>
      <w:r>
        <w:rPr>
          <w:lang w:val="fr-FR"/>
        </w:rPr>
        <w:tab/>
        <w:t>Masse du véhicule soumis aux essais :</w:t>
      </w:r>
    </w:p>
    <w:p w14:paraId="1452BCC8" w14:textId="77777777" w:rsidR="002E5513" w:rsidRPr="00C05D45" w:rsidRDefault="002E5513" w:rsidP="002E5513">
      <w:pPr>
        <w:pStyle w:val="SingleTxtG"/>
        <w:tabs>
          <w:tab w:val="right" w:leader="dot" w:pos="8505"/>
        </w:tabs>
        <w:ind w:left="2268"/>
      </w:pPr>
      <w:r>
        <w:rPr>
          <w:lang w:val="fr-FR"/>
        </w:rPr>
        <w:t>Essieu avant :</w:t>
      </w:r>
      <w:r>
        <w:rPr>
          <w:lang w:val="fr-FR"/>
        </w:rPr>
        <w:tab/>
      </w:r>
    </w:p>
    <w:p w14:paraId="4521125B" w14:textId="77777777" w:rsidR="002E5513" w:rsidRPr="00C05D45" w:rsidRDefault="002E5513" w:rsidP="002E5513">
      <w:pPr>
        <w:pStyle w:val="SingleTxtG"/>
        <w:tabs>
          <w:tab w:val="right" w:leader="dot" w:pos="8505"/>
        </w:tabs>
        <w:ind w:left="2268"/>
      </w:pPr>
      <w:r>
        <w:rPr>
          <w:lang w:val="fr-FR"/>
        </w:rPr>
        <w:t>Essieu arrière :</w:t>
      </w:r>
      <w:r>
        <w:rPr>
          <w:lang w:val="fr-FR"/>
        </w:rPr>
        <w:tab/>
      </w:r>
    </w:p>
    <w:p w14:paraId="20CA14C3" w14:textId="77777777" w:rsidR="002E5513" w:rsidRPr="00C05D45" w:rsidRDefault="002E5513" w:rsidP="002E5513">
      <w:pPr>
        <w:pStyle w:val="SingleTxtG"/>
        <w:tabs>
          <w:tab w:val="right" w:leader="dot" w:pos="8505"/>
        </w:tabs>
        <w:ind w:left="2268"/>
      </w:pPr>
      <w:r>
        <w:rPr>
          <w:lang w:val="fr-FR"/>
        </w:rPr>
        <w:t>Total :</w:t>
      </w:r>
      <w:r>
        <w:rPr>
          <w:lang w:val="fr-FR"/>
        </w:rPr>
        <w:tab/>
      </w:r>
    </w:p>
    <w:p w14:paraId="038B3F4E" w14:textId="77777777" w:rsidR="002E5513" w:rsidRPr="00C05D45" w:rsidRDefault="002E5513" w:rsidP="002E5513">
      <w:pPr>
        <w:pStyle w:val="SingleTxtG"/>
        <w:ind w:left="2268" w:hanging="1134"/>
      </w:pPr>
      <w:r>
        <w:rPr>
          <w:lang w:val="fr-FR"/>
        </w:rPr>
        <w:t>8.2</w:t>
      </w:r>
      <w:r>
        <w:rPr>
          <w:lang w:val="fr-FR"/>
        </w:rPr>
        <w:tab/>
        <w:t>Lorsque le paragraphe 5.3.1 ou 5.3.2 s’applique :</w:t>
      </w:r>
    </w:p>
    <w:p w14:paraId="10084B3C" w14:textId="77777777" w:rsidR="002E5513" w:rsidRPr="00C05D45" w:rsidRDefault="002E5513" w:rsidP="002E5513">
      <w:pPr>
        <w:pStyle w:val="SingleTxtG"/>
        <w:tabs>
          <w:tab w:val="right" w:leader="dot" w:pos="8505"/>
        </w:tabs>
        <w:ind w:left="2268"/>
      </w:pPr>
      <w:r>
        <w:rPr>
          <w:lang w:val="fr-FR"/>
        </w:rPr>
        <w:t>Masse totale autorisée</w:t>
      </w:r>
      <w:r>
        <w:rPr>
          <w:lang w:val="fr-FR"/>
        </w:rPr>
        <w:tab/>
      </w:r>
    </w:p>
    <w:p w14:paraId="293B039B" w14:textId="77777777" w:rsidR="002E5513" w:rsidRDefault="002E5513" w:rsidP="002E5513">
      <w:pPr>
        <w:pStyle w:val="SingleTxtG"/>
        <w:ind w:left="2268"/>
        <w:rPr>
          <w:lang w:val="fr-FR"/>
        </w:rPr>
      </w:pPr>
      <w:r>
        <w:rPr>
          <w:lang w:val="fr-FR"/>
        </w:rPr>
        <w:t>Preuve de conformité avec le Règlement ONU n</w:t>
      </w:r>
      <w:r w:rsidRPr="00C57943">
        <w:rPr>
          <w:vertAlign w:val="superscript"/>
          <w:lang w:val="fr-FR"/>
        </w:rPr>
        <w:t>o</w:t>
      </w:r>
      <w:r>
        <w:rPr>
          <w:lang w:val="fr-FR"/>
        </w:rPr>
        <w:t> 137 (numéro d’homologation de type ou procès-verbal d’essai) : ».</w:t>
      </w:r>
    </w:p>
    <w:p w14:paraId="58061DBC" w14:textId="77777777" w:rsidR="002E5513" w:rsidRPr="002E5513" w:rsidRDefault="002E5513" w:rsidP="002E5513">
      <w:pPr>
        <w:pStyle w:val="SingleTxtG"/>
        <w:spacing w:before="240" w:after="0"/>
        <w:jc w:val="center"/>
        <w:rPr>
          <w:u w:val="single"/>
          <w:lang w:val="fr-FR"/>
        </w:rPr>
      </w:pPr>
      <w:r>
        <w:rPr>
          <w:u w:val="single"/>
          <w:lang w:val="fr-FR"/>
        </w:rPr>
        <w:tab/>
      </w:r>
      <w:r>
        <w:rPr>
          <w:u w:val="single"/>
          <w:lang w:val="fr-FR"/>
        </w:rPr>
        <w:tab/>
      </w:r>
      <w:r>
        <w:rPr>
          <w:u w:val="single"/>
          <w:lang w:val="fr-FR"/>
        </w:rPr>
        <w:tab/>
      </w:r>
      <w:r w:rsidR="00A07F3A">
        <w:rPr>
          <w:u w:val="single"/>
          <w:lang w:val="fr-FR"/>
        </w:rPr>
        <w:tab/>
      </w:r>
    </w:p>
    <w:sectPr w:rsidR="002E5513" w:rsidRPr="002E5513" w:rsidSect="00D63096">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D201" w14:textId="77777777" w:rsidR="003E2137" w:rsidRDefault="003E2137"/>
  </w:endnote>
  <w:endnote w:type="continuationSeparator" w:id="0">
    <w:p w14:paraId="6DA0CF6E" w14:textId="77777777" w:rsidR="003E2137" w:rsidRDefault="003E2137">
      <w:pPr>
        <w:pStyle w:val="Pieddepage"/>
      </w:pPr>
    </w:p>
  </w:endnote>
  <w:endnote w:type="continuationNotice" w:id="1">
    <w:p w14:paraId="0EF0F67E" w14:textId="77777777" w:rsidR="003E2137" w:rsidRPr="00C451B9" w:rsidRDefault="003E213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63FF" w14:textId="77777777" w:rsidR="00D63096" w:rsidRPr="00D63096" w:rsidRDefault="00D63096" w:rsidP="00D63096">
    <w:pPr>
      <w:pStyle w:val="Pieddepage"/>
      <w:tabs>
        <w:tab w:val="right" w:pos="9638"/>
      </w:tabs>
    </w:pPr>
    <w:r w:rsidRPr="00D63096">
      <w:rPr>
        <w:b/>
        <w:sz w:val="18"/>
      </w:rPr>
      <w:fldChar w:fldCharType="begin"/>
    </w:r>
    <w:r w:rsidRPr="00D63096">
      <w:rPr>
        <w:b/>
        <w:sz w:val="18"/>
      </w:rPr>
      <w:instrText xml:space="preserve"> PAGE  \* MERGEFORMAT </w:instrText>
    </w:r>
    <w:r w:rsidRPr="00D63096">
      <w:rPr>
        <w:b/>
        <w:sz w:val="18"/>
      </w:rPr>
      <w:fldChar w:fldCharType="separate"/>
    </w:r>
    <w:r w:rsidRPr="00D63096">
      <w:rPr>
        <w:b/>
        <w:noProof/>
        <w:sz w:val="18"/>
      </w:rPr>
      <w:t>2</w:t>
    </w:r>
    <w:r w:rsidRPr="00D63096">
      <w:rPr>
        <w:b/>
        <w:sz w:val="18"/>
      </w:rPr>
      <w:fldChar w:fldCharType="end"/>
    </w:r>
    <w:r>
      <w:rPr>
        <w:b/>
        <w:sz w:val="18"/>
      </w:rPr>
      <w:tab/>
    </w:r>
    <w:r>
      <w:t>GE.21-01319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5E95" w14:textId="77777777" w:rsidR="00D63096" w:rsidRPr="00D63096" w:rsidRDefault="00D63096" w:rsidP="00D63096">
    <w:pPr>
      <w:pStyle w:val="Pieddepage"/>
      <w:tabs>
        <w:tab w:val="right" w:pos="9638"/>
      </w:tabs>
      <w:rPr>
        <w:b/>
        <w:sz w:val="18"/>
      </w:rPr>
    </w:pPr>
    <w:r>
      <w:t>GE.21-01319</w:t>
    </w:r>
    <w:r>
      <w:tab/>
    </w:r>
    <w:r w:rsidRPr="00D63096">
      <w:rPr>
        <w:b/>
        <w:sz w:val="18"/>
      </w:rPr>
      <w:fldChar w:fldCharType="begin"/>
    </w:r>
    <w:r w:rsidRPr="00D63096">
      <w:rPr>
        <w:b/>
        <w:sz w:val="18"/>
      </w:rPr>
      <w:instrText xml:space="preserve"> PAGE  \* MERGEFORMAT </w:instrText>
    </w:r>
    <w:r w:rsidRPr="00D63096">
      <w:rPr>
        <w:b/>
        <w:sz w:val="18"/>
      </w:rPr>
      <w:fldChar w:fldCharType="separate"/>
    </w:r>
    <w:r w:rsidRPr="00D63096">
      <w:rPr>
        <w:b/>
        <w:noProof/>
        <w:sz w:val="18"/>
      </w:rPr>
      <w:t>3</w:t>
    </w:r>
    <w:r w:rsidRPr="00D630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BD35" w14:textId="77777777" w:rsidR="00467F2C" w:rsidRPr="00D63096" w:rsidRDefault="00D63096" w:rsidP="00D63096">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47573BA" wp14:editId="78E5673B">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21-01319  (F)</w:t>
    </w:r>
    <w:r>
      <w:rPr>
        <w:noProof/>
        <w:sz w:val="20"/>
      </w:rPr>
      <w:drawing>
        <wp:anchor distT="0" distB="0" distL="114300" distR="114300" simplePos="0" relativeHeight="251660288" behindDoc="0" locked="0" layoutInCell="1" allowOverlap="1" wp14:anchorId="682E6BFF" wp14:editId="57F1F4A5">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513">
      <w:rPr>
        <w:sz w:val="20"/>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538A" w14:textId="77777777" w:rsidR="003E2137" w:rsidRPr="00D27D5E" w:rsidRDefault="003E2137" w:rsidP="00D27D5E">
      <w:pPr>
        <w:tabs>
          <w:tab w:val="right" w:pos="2155"/>
        </w:tabs>
        <w:spacing w:after="80"/>
        <w:ind w:left="680"/>
        <w:rPr>
          <w:u w:val="single"/>
        </w:rPr>
      </w:pPr>
      <w:r>
        <w:rPr>
          <w:u w:val="single"/>
        </w:rPr>
        <w:tab/>
      </w:r>
    </w:p>
  </w:footnote>
  <w:footnote w:type="continuationSeparator" w:id="0">
    <w:p w14:paraId="5C07C4D1" w14:textId="77777777" w:rsidR="003E2137" w:rsidRPr="00D171D4" w:rsidRDefault="003E2137" w:rsidP="00D171D4">
      <w:pPr>
        <w:tabs>
          <w:tab w:val="right" w:pos="2155"/>
        </w:tabs>
        <w:spacing w:after="80"/>
        <w:ind w:left="680"/>
        <w:rPr>
          <w:u w:val="single"/>
        </w:rPr>
      </w:pPr>
      <w:r w:rsidRPr="00D171D4">
        <w:rPr>
          <w:u w:val="single"/>
        </w:rPr>
        <w:tab/>
      </w:r>
    </w:p>
  </w:footnote>
  <w:footnote w:type="continuationNotice" w:id="1">
    <w:p w14:paraId="465B6639" w14:textId="77777777" w:rsidR="003E2137" w:rsidRPr="00C451B9" w:rsidRDefault="003E2137" w:rsidP="00C451B9">
      <w:pPr>
        <w:spacing w:line="240" w:lineRule="auto"/>
        <w:rPr>
          <w:sz w:val="2"/>
          <w:szCs w:val="2"/>
        </w:rPr>
      </w:pPr>
    </w:p>
  </w:footnote>
  <w:footnote w:id="2">
    <w:p w14:paraId="78434411"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797301E" w14:textId="77777777" w:rsidR="00591072" w:rsidRPr="00591072" w:rsidRDefault="00591072" w:rsidP="00591072">
      <w:pPr>
        <w:pStyle w:val="Notedebasdepage"/>
      </w:pPr>
      <w:r w:rsidRPr="00D63096">
        <w:tab/>
      </w:r>
      <w:r w:rsidRPr="00D63096">
        <w:tab/>
        <w:t>A</w:t>
      </w:r>
      <w:bookmarkStart w:id="0" w:name="_GoBack"/>
      <w:bookmarkEnd w:id="0"/>
      <w:r w:rsidRPr="00D63096">
        <w:t xml:space="preserve">ccord </w:t>
      </w:r>
      <w:r w:rsidRPr="00591072">
        <w:t>concernant l’adoption de conditions uniformes d’homologation et la reconnaissance réciproque de l’homologation des équipements et pièces de véhicules à moteur, en date, à Genève, du 20 mars 1958 (version originale) ;</w:t>
      </w:r>
    </w:p>
    <w:p w14:paraId="0E1DD721"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9D2B381" w14:textId="77777777" w:rsidR="00442E31" w:rsidRPr="00442E31" w:rsidRDefault="00442E31">
      <w:pPr>
        <w:pStyle w:val="Notedebasdepage"/>
      </w:pPr>
    </w:p>
  </w:footnote>
  <w:footnote w:id="3">
    <w:p w14:paraId="133D1D47" w14:textId="77777777" w:rsidR="002E5513" w:rsidRPr="00C05D45" w:rsidRDefault="002E5513" w:rsidP="002E5513">
      <w:pPr>
        <w:pStyle w:val="Notedebasdepage"/>
      </w:pPr>
      <w:r w:rsidRPr="00C927C9">
        <w:rPr>
          <w:lang w:val="fr-FR"/>
        </w:rPr>
        <w:tab/>
      </w:r>
      <w:r w:rsidRPr="005623C8">
        <w:rPr>
          <w:rStyle w:val="Appelnotedebasdep"/>
        </w:rPr>
        <w:footnoteRef/>
      </w:r>
      <w:r>
        <w:rPr>
          <w:lang w:val="fr-FR"/>
        </w:rPr>
        <w:tab/>
        <w:t>Telle qu’elle est définie dans la Résolution d’ensemble sur la construction des véhicules (R.E.3), document ECE/TRANS/WP.29/78/Rev.6, par. 2 − www.unece.org/trans/main/wp29/wp29wgs/</w:t>
      </w:r>
      <w:r>
        <w:rPr>
          <w:lang w:val="fr-FR"/>
        </w:rPr>
        <w:br/>
        <w:t>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53EFB" w14:textId="422B3137" w:rsidR="00D63096" w:rsidRPr="00D63096" w:rsidRDefault="00D63096">
    <w:pPr>
      <w:pStyle w:val="En-tte"/>
      <w:rPr>
        <w:lang w:val="en-US"/>
      </w:rPr>
    </w:pPr>
    <w:r>
      <w:fldChar w:fldCharType="begin"/>
    </w:r>
    <w:r w:rsidRPr="00D63096">
      <w:rPr>
        <w:lang w:val="en-US"/>
      </w:rPr>
      <w:instrText xml:space="preserve"> TITLE  \* MERGEFORMAT </w:instrText>
    </w:r>
    <w:r>
      <w:fldChar w:fldCharType="separate"/>
    </w:r>
    <w:r w:rsidR="00EF5CEE">
      <w:rPr>
        <w:lang w:val="en-US"/>
      </w:rPr>
      <w:t>E/ECE/324/Rev.1/Add.93/Rev.3/Amend.2</w:t>
    </w:r>
    <w:r>
      <w:fldChar w:fldCharType="end"/>
    </w:r>
    <w:r w:rsidRPr="00D63096">
      <w:rPr>
        <w:lang w:val="en-US"/>
      </w:rPr>
      <w:br/>
    </w:r>
    <w:r>
      <w:fldChar w:fldCharType="begin"/>
    </w:r>
    <w:r w:rsidRPr="00D63096">
      <w:rPr>
        <w:lang w:val="en-US"/>
      </w:rPr>
      <w:instrText xml:space="preserve"> KEYWORDS  \* MERGEFORMAT </w:instrText>
    </w:r>
    <w:r>
      <w:fldChar w:fldCharType="separate"/>
    </w:r>
    <w:r w:rsidR="00EF5CEE">
      <w:rPr>
        <w:lang w:val="en-US"/>
      </w:rPr>
      <w:t>E/ECE/TRANS/505/Rev.1/Add.93/Rev.3/Amend.2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066A" w14:textId="03EE46FD" w:rsidR="00D63096" w:rsidRPr="00D63096" w:rsidRDefault="00D63096" w:rsidP="00D63096">
    <w:pPr>
      <w:pStyle w:val="En-tte"/>
      <w:jc w:val="right"/>
      <w:rPr>
        <w:lang w:val="en-US"/>
      </w:rPr>
    </w:pPr>
    <w:r>
      <w:fldChar w:fldCharType="begin"/>
    </w:r>
    <w:r w:rsidRPr="00D63096">
      <w:rPr>
        <w:lang w:val="en-US"/>
      </w:rPr>
      <w:instrText xml:space="preserve"> TITLE  \* MERGEFORMAT </w:instrText>
    </w:r>
    <w:r>
      <w:fldChar w:fldCharType="separate"/>
    </w:r>
    <w:r w:rsidR="00EF5CEE">
      <w:rPr>
        <w:lang w:val="en-US"/>
      </w:rPr>
      <w:t>E/ECE/324/Rev.1/Add.93/Rev.3/Amend.2</w:t>
    </w:r>
    <w:r>
      <w:fldChar w:fldCharType="end"/>
    </w:r>
    <w:r w:rsidRPr="00D63096">
      <w:rPr>
        <w:lang w:val="en-US"/>
      </w:rPr>
      <w:br/>
    </w:r>
    <w:r>
      <w:fldChar w:fldCharType="begin"/>
    </w:r>
    <w:r w:rsidRPr="00D63096">
      <w:rPr>
        <w:lang w:val="en-US"/>
      </w:rPr>
      <w:instrText xml:space="preserve"> KEYWORDS  \* MERGEFORMAT </w:instrText>
    </w:r>
    <w:r>
      <w:fldChar w:fldCharType="separate"/>
    </w:r>
    <w:r w:rsidR="00EF5CEE">
      <w:rPr>
        <w:lang w:val="en-US"/>
      </w:rPr>
      <w:t>E/ECE/TRANS/505/Rev.1/Add.93/Rev.3/Amend.2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3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E5513"/>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59EB"/>
    <w:rsid w:val="0037679A"/>
    <w:rsid w:val="0038047C"/>
    <w:rsid w:val="00390EEF"/>
    <w:rsid w:val="00394410"/>
    <w:rsid w:val="003976D5"/>
    <w:rsid w:val="003B53B6"/>
    <w:rsid w:val="003D6C68"/>
    <w:rsid w:val="003E01D0"/>
    <w:rsid w:val="003E2137"/>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19B"/>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07F3A"/>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3E1A"/>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09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5CEE"/>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A0119BE"/>
  <w15:docId w15:val="{B26A5E5B-9188-4D68-82F6-0C1B63D3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Fußnotentext,5_G_6"/>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Fußnotentext Car,5_G_6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2E5513"/>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F999C-AE5D-4828-B0E4-41C17FFEE62F}"/>
</file>

<file path=customXml/itemProps2.xml><?xml version="1.0" encoding="utf-8"?>
<ds:datastoreItem xmlns:ds="http://schemas.openxmlformats.org/officeDocument/2006/customXml" ds:itemID="{4896EB4E-0F46-4432-B8EB-0BFCD5AB7555}"/>
</file>

<file path=customXml/itemProps3.xml><?xml version="1.0" encoding="utf-8"?>
<ds:datastoreItem xmlns:ds="http://schemas.openxmlformats.org/officeDocument/2006/customXml" ds:itemID="{6F540071-50C9-4E38-8A3E-FF1FAD93536D}"/>
</file>

<file path=docProps/app.xml><?xml version="1.0" encoding="utf-8"?>
<Properties xmlns="http://schemas.openxmlformats.org/officeDocument/2006/extended-properties" xmlns:vt="http://schemas.openxmlformats.org/officeDocument/2006/docPropsVTypes">
  <Template>E_ECE_324.dotm</Template>
  <TotalTime>0</TotalTime>
  <Pages>3</Pages>
  <Words>808</Words>
  <Characters>4202</Characters>
  <Application>Microsoft Office Word</Application>
  <DocSecurity>0</DocSecurity>
  <Lines>91</Lines>
  <Paragraphs>41</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E/ECE/324/Rev.1/Add.93/Rev.3/Amend.2</dc:title>
  <dc:creator>Christine CHAUTAGNAT</dc:creator>
  <cp:keywords>E/ECE/TRANS/505/Rev.1/Add.93/Rev.3/Amend.2</cp:keywords>
  <cp:lastModifiedBy>Christine Chautagnat</cp:lastModifiedBy>
  <cp:revision>3</cp:revision>
  <cp:lastPrinted>2021-03-30T15:26:00Z</cp:lastPrinted>
  <dcterms:created xsi:type="dcterms:W3CDTF">2021-03-30T15:26:00Z</dcterms:created>
  <dcterms:modified xsi:type="dcterms:W3CDTF">2021-03-30T15:26:00Z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