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C0847" w14:paraId="15EDFFB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ADF555" w14:textId="77777777" w:rsidR="002D5AAC" w:rsidRPr="008C1A9B" w:rsidRDefault="002D5AAC" w:rsidP="001C0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6A9982A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33F7EBD" w14:textId="77777777" w:rsidR="001C0847" w:rsidRPr="001C0847" w:rsidRDefault="001C0847" w:rsidP="001C0847">
            <w:pPr>
              <w:jc w:val="right"/>
              <w:rPr>
                <w:lang w:val="en-US"/>
              </w:rPr>
            </w:pPr>
            <w:r w:rsidRPr="001C0847">
              <w:rPr>
                <w:sz w:val="40"/>
                <w:lang w:val="en-US"/>
              </w:rPr>
              <w:t>E</w:t>
            </w:r>
            <w:r w:rsidRPr="001C0847">
              <w:rPr>
                <w:lang w:val="en-US"/>
              </w:rPr>
              <w:t>/ECE/324/Rev.1/Add.93/Rev.3/Amend.2</w:t>
            </w:r>
            <w:r w:rsidRPr="001C0847">
              <w:rPr>
                <w:rFonts w:cs="Times New Roman"/>
                <w:lang w:val="en-US"/>
              </w:rPr>
              <w:t>−</w:t>
            </w:r>
            <w:r w:rsidRPr="001C0847">
              <w:rPr>
                <w:sz w:val="40"/>
                <w:lang w:val="en-US"/>
              </w:rPr>
              <w:t>E</w:t>
            </w:r>
            <w:r w:rsidRPr="001C0847">
              <w:rPr>
                <w:lang w:val="en-US"/>
              </w:rPr>
              <w:t>/ECE/TRANS/505/Rev.1/Add.93/Rev.3/Amend.2</w:t>
            </w:r>
          </w:p>
        </w:tc>
      </w:tr>
      <w:tr w:rsidR="002D5AAC" w:rsidRPr="009D084C" w14:paraId="62BCDA2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676D369" w14:textId="77777777" w:rsidR="002D5AAC" w:rsidRPr="001C084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7994021" w14:textId="77777777" w:rsidR="002D5AAC" w:rsidRPr="001C084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D3E1BC9" w14:textId="77777777" w:rsidR="001C0847" w:rsidRPr="009D084C" w:rsidRDefault="001C0847" w:rsidP="001C0847">
            <w:pPr>
              <w:spacing w:before="10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0209750B" w14:textId="77777777" w:rsidR="001C0847" w:rsidRPr="003C62C7" w:rsidRDefault="001C0847" w:rsidP="001C0847">
      <w:pPr>
        <w:pStyle w:val="HChG"/>
      </w:pPr>
      <w:r w:rsidRPr="008C0B20">
        <w:tab/>
      </w:r>
      <w:r w:rsidRPr="008C0B20">
        <w:tab/>
      </w:r>
      <w:r w:rsidRPr="003C62C7">
        <w:t>Соглашение</w:t>
      </w:r>
      <w:bookmarkStart w:id="0" w:name="_Toc340666199"/>
      <w:bookmarkStart w:id="1" w:name="_Toc340745062"/>
      <w:bookmarkEnd w:id="0"/>
      <w:bookmarkEnd w:id="1"/>
    </w:p>
    <w:p w14:paraId="3FDBD1EE" w14:textId="77777777" w:rsidR="001C0847" w:rsidRDefault="001C0847" w:rsidP="001C0847">
      <w:pPr>
        <w:pStyle w:val="H1G"/>
        <w:spacing w:after="180"/>
      </w:pPr>
      <w:r w:rsidRPr="003C62C7">
        <w:tab/>
      </w:r>
      <w:r w:rsidRPr="003C62C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C0847">
        <w:rPr>
          <w:b w:val="0"/>
          <w:bCs/>
          <w:sz w:val="20"/>
        </w:rPr>
        <w:footnoteReference w:customMarkFollows="1" w:id="1"/>
        <w:t>*</w:t>
      </w:r>
    </w:p>
    <w:p w14:paraId="6F11745F" w14:textId="77777777" w:rsidR="001C0847" w:rsidRPr="002970C8" w:rsidRDefault="001C0847" w:rsidP="001C0847">
      <w:pPr>
        <w:pStyle w:val="SingleTxtG"/>
        <w:spacing w:after="0"/>
        <w:rPr>
          <w:lang w:eastAsia="ru-RU"/>
        </w:rPr>
      </w:pP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0BAA5A59" w14:textId="77777777" w:rsidR="001C0847" w:rsidRPr="002970C8" w:rsidRDefault="001C0847" w:rsidP="001C0847">
      <w:pPr>
        <w:pStyle w:val="H1G"/>
        <w:spacing w:before="0"/>
        <w:ind w:left="0" w:right="0" w:firstLine="0"/>
        <w:jc w:val="center"/>
      </w:pPr>
      <w:r w:rsidRPr="002970C8">
        <w:t>_________</w:t>
      </w:r>
    </w:p>
    <w:p w14:paraId="2158C94C" w14:textId="77777777" w:rsidR="001C0847" w:rsidRPr="00FF6645" w:rsidRDefault="001C0847" w:rsidP="001C0847">
      <w:pPr>
        <w:pStyle w:val="H1G"/>
        <w:spacing w:before="300"/>
      </w:pPr>
      <w:r w:rsidRPr="002970C8">
        <w:tab/>
      </w:r>
      <w:r w:rsidRPr="002970C8">
        <w:tab/>
      </w:r>
      <w:r>
        <w:t>Добавление</w:t>
      </w:r>
      <w:r w:rsidRPr="00FF6645">
        <w:t xml:space="preserve"> </w:t>
      </w:r>
      <w:r>
        <w:t>93</w:t>
      </w:r>
      <w:r w:rsidRPr="00FF6645">
        <w:t xml:space="preserve"> </w:t>
      </w:r>
      <w:r w:rsidRPr="001C0847">
        <w:t>—</w:t>
      </w:r>
      <w:r w:rsidRPr="00FF6645">
        <w:t xml:space="preserve"> </w:t>
      </w:r>
      <w:r>
        <w:t>Правила № 94 ООН</w:t>
      </w:r>
    </w:p>
    <w:p w14:paraId="662F2E97" w14:textId="77777777" w:rsidR="001C0847" w:rsidRPr="00FF6645" w:rsidRDefault="001C0847" w:rsidP="001C0847">
      <w:pPr>
        <w:pStyle w:val="H1G"/>
        <w:spacing w:before="300" w:after="180"/>
      </w:pPr>
      <w:r w:rsidRPr="00FF6645">
        <w:tab/>
      </w:r>
      <w:r w:rsidRPr="00FF6645">
        <w:tab/>
      </w:r>
      <w:r>
        <w:t xml:space="preserve">Пересмотр 3 </w:t>
      </w:r>
      <w:r w:rsidRPr="001C0847">
        <w:t>—</w:t>
      </w:r>
      <w:r w:rsidRPr="00FF6645">
        <w:t xml:space="preserve"> </w:t>
      </w:r>
      <w:r>
        <w:t>Поправка</w:t>
      </w:r>
      <w:r w:rsidRPr="00FF6645">
        <w:t xml:space="preserve"> 2</w:t>
      </w:r>
    </w:p>
    <w:p w14:paraId="3B1B49B9" w14:textId="77777777" w:rsidR="001C0847" w:rsidRDefault="001C0847" w:rsidP="001C0847">
      <w:pPr>
        <w:pStyle w:val="SingleTxtG"/>
        <w:spacing w:after="0"/>
      </w:pPr>
      <w:r>
        <w:rPr>
          <w:spacing w:val="-2"/>
        </w:rPr>
        <w:t>Дополнение 2 к поправкам</w:t>
      </w:r>
      <w:r w:rsidRPr="00FF6645">
        <w:rPr>
          <w:spacing w:val="-2"/>
        </w:rPr>
        <w:t xml:space="preserve"> </w:t>
      </w:r>
      <w:r>
        <w:rPr>
          <w:spacing w:val="-2"/>
        </w:rPr>
        <w:t>серии</w:t>
      </w:r>
      <w:r w:rsidRPr="00FF6645">
        <w:rPr>
          <w:spacing w:val="-2"/>
        </w:rPr>
        <w:t xml:space="preserve"> 0</w:t>
      </w:r>
      <w:r>
        <w:rPr>
          <w:spacing w:val="-2"/>
        </w:rPr>
        <w:t>3</w:t>
      </w:r>
      <w:r w:rsidRPr="00FF6645">
        <w:rPr>
          <w:spacing w:val="-2"/>
        </w:rPr>
        <w:t xml:space="preserve"> </w:t>
      </w:r>
      <w:r w:rsidR="008B1DF7">
        <w:rPr>
          <w:spacing w:val="-2"/>
        </w:rPr>
        <w:t>—</w:t>
      </w:r>
      <w:r w:rsidRPr="00FF6645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20E80325" w14:textId="77777777" w:rsidR="001C0847" w:rsidRPr="00B634BC" w:rsidRDefault="001C0847" w:rsidP="001C0847">
      <w:pPr>
        <w:pStyle w:val="H1G"/>
        <w:spacing w:before="300" w:after="180"/>
        <w:rPr>
          <w:spacing w:val="-2"/>
        </w:rPr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защиты водителя и пассажиров в случае лобового столкновения</w:t>
      </w:r>
    </w:p>
    <w:p w14:paraId="7FCD5A1C" w14:textId="77777777" w:rsidR="001C0847" w:rsidRPr="002970C8" w:rsidRDefault="001C0847" w:rsidP="001C0847">
      <w:pPr>
        <w:pStyle w:val="SingleTxtG"/>
        <w:spacing w:after="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2970C8">
        <w:rPr>
          <w:spacing w:val="-4"/>
          <w:lang w:eastAsia="en-GB"/>
        </w:rPr>
        <w:t>:</w:t>
      </w:r>
      <w:r w:rsidRPr="002970C8">
        <w:rPr>
          <w:lang w:eastAsia="en-GB"/>
        </w:rPr>
        <w:t xml:space="preserve"> </w:t>
      </w:r>
      <w:r w:rsidRPr="008C0B20">
        <w:rPr>
          <w:spacing w:val="-6"/>
          <w:lang w:eastAsia="en-GB"/>
        </w:rPr>
        <w:t>ECE</w:t>
      </w:r>
      <w:r w:rsidRPr="002970C8">
        <w:rPr>
          <w:spacing w:val="-6"/>
          <w:lang w:eastAsia="en-GB"/>
        </w:rPr>
        <w:t>/</w:t>
      </w:r>
      <w:r w:rsidRPr="008C0B20">
        <w:rPr>
          <w:spacing w:val="-6"/>
          <w:lang w:eastAsia="en-GB"/>
        </w:rPr>
        <w:t>TRANS</w:t>
      </w:r>
      <w:r w:rsidRPr="002970C8">
        <w:rPr>
          <w:spacing w:val="-6"/>
          <w:lang w:eastAsia="en-GB"/>
        </w:rPr>
        <w:t>/</w:t>
      </w:r>
      <w:r w:rsidRPr="008C0B20">
        <w:rPr>
          <w:spacing w:val="-6"/>
          <w:lang w:eastAsia="en-GB"/>
        </w:rPr>
        <w:t>WP</w:t>
      </w:r>
      <w:r w:rsidRPr="002970C8">
        <w:rPr>
          <w:spacing w:val="-6"/>
          <w:lang w:eastAsia="en-GB"/>
        </w:rPr>
        <w:t>.29/2020/54.</w:t>
      </w:r>
    </w:p>
    <w:p w14:paraId="0406E2CE" w14:textId="77777777" w:rsidR="001C0847" w:rsidRPr="002970C8" w:rsidRDefault="001C0847" w:rsidP="001C0847">
      <w:pPr>
        <w:suppressAutoHyphens w:val="0"/>
        <w:spacing w:line="240" w:lineRule="auto"/>
        <w:jc w:val="center"/>
        <w:rPr>
          <w:b/>
          <w:sz w:val="24"/>
        </w:rPr>
      </w:pPr>
      <w:r w:rsidRPr="008C0B20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5B7A093" wp14:editId="309811B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0C8">
        <w:rPr>
          <w:b/>
          <w:sz w:val="24"/>
        </w:rPr>
        <w:t>_________</w:t>
      </w:r>
    </w:p>
    <w:p w14:paraId="1737AB6A" w14:textId="77777777" w:rsidR="001C0847" w:rsidRDefault="001C0847" w:rsidP="001C0847">
      <w:pPr>
        <w:pStyle w:val="SingleTxtG"/>
        <w:spacing w:after="0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  <w:r>
        <w:rPr>
          <w:b/>
          <w:sz w:val="24"/>
        </w:rPr>
        <w:br w:type="page"/>
      </w:r>
    </w:p>
    <w:p w14:paraId="4DB7CC49" w14:textId="77777777" w:rsidR="001C0847" w:rsidRPr="002970C8" w:rsidRDefault="001C0847" w:rsidP="008B1DF7">
      <w:pPr>
        <w:pStyle w:val="SingleTxtG"/>
      </w:pPr>
      <w:r w:rsidRPr="002970C8">
        <w:rPr>
          <w:i/>
        </w:rPr>
        <w:lastRenderedPageBreak/>
        <w:t>Пункт 1</w:t>
      </w:r>
      <w:r w:rsidRPr="002970C8">
        <w:t xml:space="preserve"> изменить следующим образом:</w:t>
      </w:r>
    </w:p>
    <w:p w14:paraId="1F24F100" w14:textId="77777777" w:rsidR="001C0847" w:rsidRPr="002970C8" w:rsidRDefault="001C0847" w:rsidP="008B1DF7">
      <w:pPr>
        <w:pStyle w:val="HChG"/>
      </w:pPr>
      <w:r w:rsidRPr="002970C8">
        <w:tab/>
      </w:r>
      <w:r w:rsidRPr="002970C8">
        <w:tab/>
      </w:r>
      <w:r w:rsidRPr="002970C8">
        <w:rPr>
          <w:b w:val="0"/>
          <w:sz w:val="20"/>
        </w:rPr>
        <w:t>«</w:t>
      </w:r>
      <w:r w:rsidRPr="002970C8">
        <w:t>1.</w:t>
      </w:r>
      <w:r w:rsidRPr="002970C8">
        <w:tab/>
      </w:r>
      <w:r w:rsidRPr="002970C8">
        <w:tab/>
        <w:t>Область применения</w:t>
      </w:r>
    </w:p>
    <w:p w14:paraId="673E56BA" w14:textId="77777777" w:rsidR="001C0847" w:rsidRPr="002970C8" w:rsidRDefault="001C0847" w:rsidP="008B1DF7">
      <w:pPr>
        <w:pStyle w:val="SingleTxtG"/>
        <w:tabs>
          <w:tab w:val="clear" w:pos="1701"/>
        </w:tabs>
        <w:ind w:left="2268" w:hanging="1134"/>
      </w:pPr>
      <w:r w:rsidRPr="002970C8">
        <w:tab/>
        <w:t>Настоящие Правила применяются к транспортным средствам категории</w:t>
      </w:r>
      <w:r>
        <w:rPr>
          <w:lang w:val="en-US"/>
        </w:rPr>
        <w:t> </w:t>
      </w:r>
      <w:r w:rsidRPr="006763A4">
        <w:t>M</w:t>
      </w:r>
      <w:r w:rsidRPr="002970C8">
        <w:rPr>
          <w:vertAlign w:val="subscript"/>
        </w:rPr>
        <w:t>1</w:t>
      </w:r>
      <w:r w:rsidRPr="006763A4">
        <w:rPr>
          <w:bCs/>
          <w:sz w:val="18"/>
          <w:vertAlign w:val="superscript"/>
        </w:rPr>
        <w:footnoteReference w:id="2"/>
      </w:r>
      <w:r w:rsidRPr="002970C8">
        <w:t xml:space="preserve">, общая допустимая масса которых не превышает </w:t>
      </w:r>
      <w:r w:rsidRPr="002970C8">
        <w:rPr>
          <w:bCs/>
        </w:rPr>
        <w:t>3500 кг, и к транспортным средствам категории</w:t>
      </w:r>
      <w:r w:rsidRPr="002970C8">
        <w:t xml:space="preserve"> </w:t>
      </w:r>
      <w:r w:rsidRPr="006763A4">
        <w:t>N</w:t>
      </w:r>
      <w:r w:rsidRPr="002970C8">
        <w:rPr>
          <w:vertAlign w:val="subscript"/>
        </w:rPr>
        <w:t>1</w:t>
      </w:r>
      <w:r w:rsidRPr="002970C8">
        <w:t xml:space="preserve">, </w:t>
      </w:r>
      <w:r w:rsidRPr="002970C8">
        <w:rPr>
          <w:bCs/>
        </w:rPr>
        <w:t>общая допустимая масса которых не превышает</w:t>
      </w:r>
      <w:r w:rsidRPr="002970C8">
        <w:t xml:space="preserve"> </w:t>
      </w:r>
      <w:r w:rsidRPr="002970C8">
        <w:rPr>
          <w:bCs/>
        </w:rPr>
        <w:t>2500 кг</w:t>
      </w:r>
      <w:r w:rsidRPr="002970C8">
        <w:t>; другие транспортные средства могут официально утверждаться по просьбе изготовителя».</w:t>
      </w:r>
    </w:p>
    <w:p w14:paraId="5D921395" w14:textId="77777777" w:rsidR="001C0847" w:rsidRPr="002970C8" w:rsidRDefault="001C0847" w:rsidP="008B1DF7">
      <w:pPr>
        <w:pStyle w:val="SingleTxtG"/>
      </w:pPr>
      <w:bookmarkStart w:id="2" w:name="_Hlk21340126"/>
      <w:r w:rsidRPr="008B1DF7">
        <w:rPr>
          <w:i/>
          <w:iCs/>
        </w:rPr>
        <w:t xml:space="preserve">Включить новые пункты </w:t>
      </w:r>
      <w:bookmarkEnd w:id="2"/>
      <w:r w:rsidRPr="008B1DF7">
        <w:rPr>
          <w:i/>
          <w:iCs/>
        </w:rPr>
        <w:t>2.36 и 2.37</w:t>
      </w:r>
      <w:r w:rsidRPr="002970C8">
        <w:t xml:space="preserve"> </w:t>
      </w:r>
      <w:bookmarkStart w:id="3" w:name="_Hlk21340078"/>
      <w:r w:rsidRPr="002970C8">
        <w:t>следующего содержания</w:t>
      </w:r>
      <w:bookmarkEnd w:id="3"/>
      <w:r w:rsidRPr="002970C8">
        <w:t>:</w:t>
      </w:r>
    </w:p>
    <w:p w14:paraId="48061831" w14:textId="77777777" w:rsidR="001C0847" w:rsidRPr="002970C8" w:rsidRDefault="001C0847" w:rsidP="008B1DF7">
      <w:pPr>
        <w:pStyle w:val="SingleTxtG"/>
        <w:tabs>
          <w:tab w:val="clear" w:pos="1701"/>
        </w:tabs>
        <w:ind w:left="2268" w:hanging="1134"/>
      </w:pPr>
      <w:r w:rsidRPr="002970C8">
        <w:t>«2.36</w:t>
      </w:r>
      <w:r w:rsidRPr="002970C8">
        <w:tab/>
      </w:r>
      <w:r w:rsidR="008B1DF7" w:rsidRPr="008B1DF7">
        <w:t>“</w:t>
      </w:r>
      <w:r w:rsidRPr="002970C8">
        <w:rPr>
          <w:i/>
          <w:iCs/>
        </w:rPr>
        <w:t>Система перемещения</w:t>
      </w:r>
      <w:r w:rsidR="008B1DF7" w:rsidRPr="008B1DF7">
        <w:t>”</w:t>
      </w:r>
      <w:r w:rsidRPr="002970C8">
        <w:t xml:space="preserve"> означает устройство, позволяющее перемещать и/или поворачивать сиденье либо одну из его частей без промежуточного фиксированного положения с целью упрощения доступа пассажиров или водителя к месту, находящемуся за этим сиденьем.</w:t>
      </w:r>
    </w:p>
    <w:p w14:paraId="2CDADA35" w14:textId="77777777" w:rsidR="001C0847" w:rsidRPr="002970C8" w:rsidRDefault="001C0847" w:rsidP="008B1DF7">
      <w:pPr>
        <w:pStyle w:val="SingleTxtG"/>
        <w:tabs>
          <w:tab w:val="clear" w:pos="1701"/>
        </w:tabs>
        <w:ind w:left="2268" w:hanging="1134"/>
      </w:pPr>
      <w:r w:rsidRPr="002970C8">
        <w:t>2.37</w:t>
      </w:r>
      <w:r w:rsidRPr="002970C8">
        <w:tab/>
      </w:r>
      <w:r w:rsidR="008B1DF7" w:rsidRPr="009B01FA">
        <w:t>“</w:t>
      </w:r>
      <w:r w:rsidRPr="002970C8">
        <w:rPr>
          <w:i/>
          <w:iCs/>
        </w:rPr>
        <w:t>Рама лестничного типа</w:t>
      </w:r>
      <w:r w:rsidR="009B01FA" w:rsidRPr="009B01FA">
        <w:t>”</w:t>
      </w:r>
      <w:r w:rsidRPr="002970C8">
        <w:t xml:space="preserve"> означает шасси, состоящ</w:t>
      </w:r>
      <w:r w:rsidR="009B01FA">
        <w:t>и</w:t>
      </w:r>
      <w:r w:rsidRPr="002970C8">
        <w:t>е из двух соединенных поперечными балками продольных перевернутых лонжеронов, к которым крепится кабина, изготовленная из панелей».</w:t>
      </w:r>
    </w:p>
    <w:p w14:paraId="62F1E4E4" w14:textId="77777777" w:rsidR="001C0847" w:rsidRPr="002970C8" w:rsidRDefault="001C0847" w:rsidP="009B01FA">
      <w:pPr>
        <w:pStyle w:val="SingleTxtG"/>
      </w:pPr>
      <w:r w:rsidRPr="002970C8">
        <w:rPr>
          <w:i/>
        </w:rPr>
        <w:t xml:space="preserve">Пункт 5.2.5.1 </w:t>
      </w:r>
      <w:r w:rsidRPr="002970C8">
        <w:t>изменить следующим образом:</w:t>
      </w:r>
    </w:p>
    <w:p w14:paraId="74E6DD29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t xml:space="preserve">«5.2.5.1 </w:t>
      </w:r>
      <w:r w:rsidRPr="002970C8">
        <w:tab/>
        <w:t>открыть по крайней мере одну дверь для каждого ряда сидений</w:t>
      </w:r>
      <w:r w:rsidRPr="002970C8">
        <w:rPr>
          <w:bCs/>
        </w:rPr>
        <w:t>.</w:t>
      </w:r>
      <w:r w:rsidRPr="002970C8">
        <w:t xml:space="preserve"> </w:t>
      </w:r>
      <w:r w:rsidRPr="002970C8">
        <w:rPr>
          <w:bCs/>
        </w:rPr>
        <w:t>В</w:t>
      </w:r>
      <w:r w:rsidRPr="002970C8">
        <w:t xml:space="preserve"> случае отсутствия такой двери </w:t>
      </w:r>
      <w:r w:rsidRPr="002970C8">
        <w:rPr>
          <w:bCs/>
        </w:rPr>
        <w:t>должна обеспечиваться возможность</w:t>
      </w:r>
      <w:r w:rsidRPr="002970C8">
        <w:t xml:space="preserve"> эвакуации водителя и всех пассажиров </w:t>
      </w:r>
      <w:r w:rsidRPr="002970C8">
        <w:rPr>
          <w:bCs/>
        </w:rPr>
        <w:t>путем задействования</w:t>
      </w:r>
      <w:r w:rsidRPr="002970C8">
        <w:t xml:space="preserve"> </w:t>
      </w:r>
      <w:r w:rsidRPr="002970C8">
        <w:rPr>
          <w:bCs/>
        </w:rPr>
        <w:t>системы перемещения сидений, если это необходимо. Это требование не применяется к транспортным средствам с откидным верхом, у</w:t>
      </w:r>
      <w:r w:rsidRPr="006763A4">
        <w:rPr>
          <w:bCs/>
          <w:lang w:val="en-US"/>
        </w:rPr>
        <w:t> </w:t>
      </w:r>
      <w:r w:rsidRPr="002970C8">
        <w:rPr>
          <w:bCs/>
        </w:rPr>
        <w:t>которых верхняя часть конструкции может быть без труда открыта для обеспечения эвакуации водителя и всех пассажиров.</w:t>
      </w:r>
    </w:p>
    <w:p w14:paraId="57BF6208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tab/>
      </w:r>
      <w:bookmarkStart w:id="4" w:name="_Hlk21344814"/>
      <w:r w:rsidRPr="002970C8">
        <w:t xml:space="preserve">Оценка на этот счет </w:t>
      </w:r>
      <w:bookmarkStart w:id="5" w:name="_Hlk21344984"/>
      <w:r w:rsidRPr="002970C8">
        <w:t>должна производиться по всем конфигурациям или по конфигурации наименее благоприятного случая с учетом числа дверей с каждой стороны транспортного средства, а также левостороннего и правостороннего расположения рулевого управления, когда это применимо</w:t>
      </w:r>
      <w:bookmarkEnd w:id="4"/>
      <w:bookmarkEnd w:id="5"/>
      <w:r w:rsidRPr="002970C8">
        <w:t>».</w:t>
      </w:r>
    </w:p>
    <w:p w14:paraId="6420BBB9" w14:textId="77777777" w:rsidR="001C0847" w:rsidRPr="002970C8" w:rsidRDefault="001C0847" w:rsidP="009B01FA">
      <w:pPr>
        <w:pStyle w:val="SingleTxtG"/>
        <w:rPr>
          <w:i/>
        </w:rPr>
      </w:pPr>
      <w:r w:rsidRPr="002970C8">
        <w:rPr>
          <w:i/>
        </w:rPr>
        <w:t>Включить новые пункты 5.3–5.3.2</w:t>
      </w:r>
      <w:r w:rsidRPr="002970C8">
        <w:t xml:space="preserve"> следующего содержания: </w:t>
      </w:r>
    </w:p>
    <w:p w14:paraId="56CE9AD9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t>«5.3</w:t>
      </w:r>
      <w:r w:rsidRPr="002970C8">
        <w:tab/>
        <w:t>Специальные положения</w:t>
      </w:r>
    </w:p>
    <w:p w14:paraId="4F174D39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t>5.3.1</w:t>
      </w:r>
      <w:r w:rsidRPr="002970C8">
        <w:tab/>
        <w:t xml:space="preserve">Считается, что транспортные средства категории </w:t>
      </w:r>
      <w:r w:rsidRPr="006763A4">
        <w:t>M</w:t>
      </w:r>
      <w:r w:rsidRPr="002970C8">
        <w:rPr>
          <w:vertAlign w:val="subscript"/>
        </w:rPr>
        <w:t>1</w:t>
      </w:r>
      <w:r w:rsidRPr="002970C8">
        <w:t xml:space="preserve">, общая допустимая масса которых превышает 2500 кг и которые базируются на транспортных средствах категории </w:t>
      </w:r>
      <w:bookmarkStart w:id="6" w:name="OLE_LINK26"/>
      <w:bookmarkStart w:id="7" w:name="OLE_LINK27"/>
      <w:r w:rsidRPr="006763A4">
        <w:t>N</w:t>
      </w:r>
      <w:r w:rsidRPr="002970C8">
        <w:rPr>
          <w:vertAlign w:val="subscript"/>
        </w:rPr>
        <w:t>1</w:t>
      </w:r>
      <w:bookmarkEnd w:id="6"/>
      <w:bookmarkEnd w:id="7"/>
      <w:r w:rsidRPr="002970C8">
        <w:t>, общая допустимая масса которых превышает 2500 кг, соответствуют требованиям пункта 5, если полностью выполнены предписания Правил № 137 ООН и выполнено также не менее одного из следующих условий:</w:t>
      </w:r>
    </w:p>
    <w:p w14:paraId="4BFA6E1B" w14:textId="77777777" w:rsidR="001C0847" w:rsidRPr="002970C8" w:rsidRDefault="001C0847" w:rsidP="009B01FA">
      <w:pPr>
        <w:pStyle w:val="SingleTxtG"/>
        <w:tabs>
          <w:tab w:val="clear" w:pos="1701"/>
        </w:tabs>
        <w:ind w:left="2835" w:hanging="1701"/>
        <w:rPr>
          <w:bCs/>
        </w:rPr>
      </w:pPr>
      <w:r w:rsidRPr="002970C8">
        <w:tab/>
      </w:r>
      <w:r w:rsidRPr="006763A4">
        <w:t>a</w:t>
      </w:r>
      <w:r w:rsidRPr="002970C8">
        <w:t>)</w:t>
      </w:r>
      <w:r w:rsidRPr="002970C8">
        <w:tab/>
      </w:r>
      <w:r w:rsidRPr="002970C8">
        <w:rPr>
          <w:bCs/>
        </w:rPr>
        <w:t>острый угол альфа (</w:t>
      </w:r>
      <w:r w:rsidRPr="006763A4">
        <w:rPr>
          <w:bCs/>
        </w:rPr>
        <w:t>α</w:t>
      </w:r>
      <w:r w:rsidRPr="002970C8">
        <w:rPr>
          <w:bCs/>
        </w:rPr>
        <w:t xml:space="preserve">), измеренный между горизонтальной плоскостью, проходящей через центр передней оси, и угловой поперечной плоскостью, проходящей через центр передней оси и точкой </w:t>
      </w:r>
      <w:r w:rsidRPr="006763A4">
        <w:rPr>
          <w:bCs/>
        </w:rPr>
        <w:t>R</w:t>
      </w:r>
      <w:r w:rsidRPr="002970C8">
        <w:rPr>
          <w:bCs/>
        </w:rPr>
        <w:t xml:space="preserve"> сиденья водителя (см. рис. 4 ниже), составляет более 22º</w:t>
      </w:r>
      <w:r w:rsidRPr="002970C8">
        <w:t>;</w:t>
      </w:r>
      <w:r w:rsidRPr="002970C8">
        <w:rPr>
          <w:bCs/>
        </w:rPr>
        <w:t xml:space="preserve"> </w:t>
      </w:r>
    </w:p>
    <w:p w14:paraId="615ED8F3" w14:textId="77777777" w:rsidR="001C0847" w:rsidRPr="002970C8" w:rsidRDefault="001C0847" w:rsidP="009B01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 w:rsidRPr="002970C8">
        <w:rPr>
          <w:bCs/>
        </w:rPr>
        <w:tab/>
      </w:r>
      <w:r w:rsidRPr="006763A4">
        <w:rPr>
          <w:bCs/>
        </w:rPr>
        <w:t>b</w:t>
      </w:r>
      <w:r w:rsidRPr="002970C8">
        <w:rPr>
          <w:bCs/>
        </w:rPr>
        <w:t>)</w:t>
      </w:r>
      <w:r w:rsidRPr="002970C8">
        <w:rPr>
          <w:bCs/>
        </w:rPr>
        <w:tab/>
        <w:t xml:space="preserve">или соотношение между расстоянием от точки </w:t>
      </w:r>
      <w:r w:rsidRPr="006763A4">
        <w:rPr>
          <w:bCs/>
          <w:lang w:val="en-US"/>
        </w:rPr>
        <w:t>R</w:t>
      </w:r>
      <w:r w:rsidRPr="002970C8">
        <w:rPr>
          <w:bCs/>
        </w:rPr>
        <w:t xml:space="preserve"> сиденья водителя до центральной точки задней оси (</w:t>
      </w:r>
      <w:r w:rsidRPr="006763A4">
        <w:rPr>
          <w:bCs/>
          <w:lang w:val="en-US"/>
        </w:rPr>
        <w:t>L</w:t>
      </w:r>
      <w:r w:rsidRPr="002970C8">
        <w:rPr>
          <w:bCs/>
        </w:rPr>
        <w:t>101–</w:t>
      </w:r>
      <w:r w:rsidRPr="006763A4">
        <w:rPr>
          <w:bCs/>
          <w:lang w:val="en-US"/>
        </w:rPr>
        <w:t>L</w:t>
      </w:r>
      <w:r w:rsidRPr="002970C8">
        <w:rPr>
          <w:bCs/>
        </w:rPr>
        <w:t xml:space="preserve">114) и расстоянием между центральной точкой передней оси и точкой </w:t>
      </w:r>
      <w:r w:rsidRPr="006763A4">
        <w:rPr>
          <w:bCs/>
          <w:lang w:val="en-US"/>
        </w:rPr>
        <w:t>R</w:t>
      </w:r>
      <w:r w:rsidRPr="002970C8">
        <w:rPr>
          <w:bCs/>
        </w:rPr>
        <w:t xml:space="preserve"> сиденья водителя</w:t>
      </w:r>
      <w:r w:rsidRPr="006763A4">
        <w:rPr>
          <w:bCs/>
          <w:lang w:val="en-US"/>
        </w:rPr>
        <w:t> </w:t>
      </w:r>
      <w:r w:rsidRPr="002970C8">
        <w:rPr>
          <w:bCs/>
        </w:rPr>
        <w:t>(</w:t>
      </w:r>
      <w:r w:rsidRPr="006763A4">
        <w:rPr>
          <w:bCs/>
          <w:lang w:val="en-US"/>
        </w:rPr>
        <w:t>L</w:t>
      </w:r>
      <w:r w:rsidRPr="002970C8">
        <w:rPr>
          <w:bCs/>
        </w:rPr>
        <w:t>114) составляет более 1,3</w:t>
      </w:r>
      <w:r w:rsidRPr="002970C8">
        <w:t>0</w:t>
      </w:r>
      <w:r w:rsidRPr="002970C8">
        <w:rPr>
          <w:bCs/>
        </w:rPr>
        <w:t xml:space="preserve"> (см.</w:t>
      </w:r>
      <w:r w:rsidRPr="006763A4">
        <w:rPr>
          <w:bCs/>
          <w:lang w:val="en-US"/>
        </w:rPr>
        <w:t> </w:t>
      </w:r>
      <w:r w:rsidRPr="002970C8">
        <w:rPr>
          <w:bCs/>
        </w:rPr>
        <w:t>рис. 4 ниже).</w:t>
      </w:r>
    </w:p>
    <w:p w14:paraId="0EB5C5A3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tab/>
        <w:t xml:space="preserve">Эта проверка производится технической службой в соответствии с решением органа по официальному утверждению типа и освещается в </w:t>
      </w:r>
      <w:r w:rsidRPr="002970C8">
        <w:lastRenderedPageBreak/>
        <w:t>пункте 8.2 сообщения об официальном утверждении, содержащегося в приложении 1.</w:t>
      </w:r>
    </w:p>
    <w:p w14:paraId="6E6BAC25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  <w:rPr>
          <w:bCs/>
        </w:rPr>
      </w:pPr>
      <w:r w:rsidRPr="002970C8">
        <w:t>5.3.2</w:t>
      </w:r>
      <w:r w:rsidRPr="002970C8">
        <w:tab/>
        <w:t xml:space="preserve">Считается, что транспортные средства категории </w:t>
      </w:r>
      <w:r w:rsidRPr="006763A4">
        <w:t>N</w:t>
      </w:r>
      <w:r w:rsidRPr="002970C8">
        <w:rPr>
          <w:vertAlign w:val="subscript"/>
        </w:rPr>
        <w:t>1</w:t>
      </w:r>
      <w:r w:rsidRPr="002970C8">
        <w:t>, общая допустимая масса которых превышает 2250 кг, но не превышает 2500</w:t>
      </w:r>
      <w:r w:rsidRPr="006763A4">
        <w:rPr>
          <w:lang w:val="en-US"/>
        </w:rPr>
        <w:t> </w:t>
      </w:r>
      <w:r w:rsidRPr="002970C8">
        <w:t>кг, соответствуют требованиям пункта 5, если основой его конструкции служит рама лестничного типа и полностью выполнены предписания Правил № 137 ООН, а также выполнено не менее одного из следующих условий:</w:t>
      </w:r>
    </w:p>
    <w:p w14:paraId="33B7EE8B" w14:textId="77777777" w:rsidR="001C0847" w:rsidRPr="002970C8" w:rsidRDefault="001C0847" w:rsidP="009B01FA">
      <w:pPr>
        <w:pStyle w:val="SingleTxtG"/>
        <w:tabs>
          <w:tab w:val="clear" w:pos="1701"/>
        </w:tabs>
        <w:ind w:left="2835" w:hanging="1701"/>
      </w:pPr>
      <w:r w:rsidRPr="002970C8">
        <w:rPr>
          <w:bCs/>
        </w:rPr>
        <w:tab/>
      </w:r>
      <w:r w:rsidRPr="006763A4">
        <w:rPr>
          <w:bCs/>
        </w:rPr>
        <w:t>a</w:t>
      </w:r>
      <w:r w:rsidRPr="002970C8">
        <w:rPr>
          <w:bCs/>
        </w:rPr>
        <w:t>)</w:t>
      </w:r>
      <w:r w:rsidRPr="002970C8">
        <w:rPr>
          <w:bCs/>
        </w:rPr>
        <w:tab/>
        <w:t>острый угол альфа (</w:t>
      </w:r>
      <w:r w:rsidRPr="006763A4">
        <w:rPr>
          <w:bCs/>
          <w:lang w:val="en-US"/>
        </w:rPr>
        <w:t>α</w:t>
      </w:r>
      <w:r w:rsidRPr="002970C8">
        <w:rPr>
          <w:bCs/>
        </w:rPr>
        <w:t xml:space="preserve">), измеренный между горизонтальной плоскостью, проходящей через центр передней оси, и угловой поперечной плоскостью, проходящей через центр передней оси и точкой </w:t>
      </w:r>
      <w:r w:rsidRPr="006763A4">
        <w:rPr>
          <w:bCs/>
          <w:lang w:val="en-US"/>
        </w:rPr>
        <w:t>R</w:t>
      </w:r>
      <w:r w:rsidRPr="002970C8">
        <w:rPr>
          <w:bCs/>
        </w:rPr>
        <w:t xml:space="preserve"> сиденья водителя (см. рис. 4 ниже), составляет более 22º</w:t>
      </w:r>
      <w:r w:rsidRPr="002970C8">
        <w:t>;</w:t>
      </w:r>
    </w:p>
    <w:p w14:paraId="324721F0" w14:textId="77777777" w:rsidR="001C0847" w:rsidRPr="002970C8" w:rsidRDefault="001C0847" w:rsidP="009B01FA">
      <w:pPr>
        <w:pStyle w:val="SingleTxtG"/>
        <w:tabs>
          <w:tab w:val="clear" w:pos="1701"/>
        </w:tabs>
        <w:ind w:left="2835" w:hanging="1701"/>
        <w:rPr>
          <w:b/>
          <w:bCs/>
        </w:rPr>
      </w:pPr>
      <w:r w:rsidRPr="002970C8">
        <w:rPr>
          <w:bCs/>
        </w:rPr>
        <w:tab/>
      </w:r>
      <w:r w:rsidRPr="006763A4">
        <w:rPr>
          <w:bCs/>
        </w:rPr>
        <w:t>b</w:t>
      </w:r>
      <w:r w:rsidRPr="002970C8">
        <w:rPr>
          <w:bCs/>
        </w:rPr>
        <w:t>)</w:t>
      </w:r>
      <w:r w:rsidRPr="002970C8">
        <w:rPr>
          <w:bCs/>
        </w:rPr>
        <w:tab/>
        <w:t xml:space="preserve">или соотношение между расстоянием от точки </w:t>
      </w:r>
      <w:r w:rsidRPr="006763A4">
        <w:rPr>
          <w:bCs/>
          <w:lang w:val="en-US"/>
        </w:rPr>
        <w:t>R</w:t>
      </w:r>
      <w:r w:rsidRPr="002970C8">
        <w:rPr>
          <w:bCs/>
        </w:rPr>
        <w:t xml:space="preserve"> сиденья водителя до центральной точки задней оси (</w:t>
      </w:r>
      <w:r w:rsidRPr="006763A4">
        <w:rPr>
          <w:bCs/>
          <w:lang w:val="en-US"/>
        </w:rPr>
        <w:t>L</w:t>
      </w:r>
      <w:r w:rsidRPr="002970C8">
        <w:rPr>
          <w:bCs/>
        </w:rPr>
        <w:t>101–</w:t>
      </w:r>
      <w:r w:rsidRPr="006763A4">
        <w:rPr>
          <w:bCs/>
          <w:lang w:val="en-US"/>
        </w:rPr>
        <w:t>L</w:t>
      </w:r>
      <w:r w:rsidRPr="002970C8">
        <w:rPr>
          <w:bCs/>
        </w:rPr>
        <w:t xml:space="preserve">114) и расстоянием между центральной точкой передней оси и точкой </w:t>
      </w:r>
      <w:r w:rsidRPr="006763A4">
        <w:rPr>
          <w:bCs/>
          <w:lang w:val="en-US"/>
        </w:rPr>
        <w:t>R</w:t>
      </w:r>
      <w:r w:rsidRPr="002970C8">
        <w:rPr>
          <w:bCs/>
        </w:rPr>
        <w:t xml:space="preserve"> сиденья водителя</w:t>
      </w:r>
      <w:r w:rsidRPr="006763A4">
        <w:rPr>
          <w:bCs/>
          <w:lang w:val="en-US"/>
        </w:rPr>
        <w:t> </w:t>
      </w:r>
      <w:r w:rsidRPr="002970C8">
        <w:rPr>
          <w:bCs/>
        </w:rPr>
        <w:t>(</w:t>
      </w:r>
      <w:r w:rsidRPr="006763A4">
        <w:rPr>
          <w:bCs/>
          <w:lang w:val="en-US"/>
        </w:rPr>
        <w:t>L</w:t>
      </w:r>
      <w:r w:rsidRPr="002970C8">
        <w:rPr>
          <w:bCs/>
        </w:rPr>
        <w:t>114) составляет более 1,3</w:t>
      </w:r>
      <w:r w:rsidRPr="002970C8">
        <w:t>0</w:t>
      </w:r>
      <w:r w:rsidRPr="002970C8">
        <w:rPr>
          <w:bCs/>
        </w:rPr>
        <w:t xml:space="preserve"> (см.</w:t>
      </w:r>
      <w:r w:rsidRPr="006763A4">
        <w:rPr>
          <w:bCs/>
          <w:lang w:val="en-US"/>
        </w:rPr>
        <w:t> </w:t>
      </w:r>
      <w:r w:rsidRPr="002970C8">
        <w:rPr>
          <w:bCs/>
        </w:rPr>
        <w:t>рис. 4 ниже).</w:t>
      </w:r>
    </w:p>
    <w:p w14:paraId="6DEDCD0D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tab/>
        <w:t>Эта проверка производится технической службой в соответствии с решением органа по официальному утверждению типа и освещается в пункте 8.2 сообщения об официальном утверждении, содержащегося в приложении 1.</w:t>
      </w:r>
    </w:p>
    <w:p w14:paraId="56E055E5" w14:textId="77777777" w:rsidR="001C0847" w:rsidRPr="002A4611" w:rsidRDefault="001C0847" w:rsidP="009B01FA">
      <w:pPr>
        <w:pStyle w:val="SingleTxtG"/>
        <w:tabs>
          <w:tab w:val="clear" w:pos="1701"/>
        </w:tabs>
        <w:ind w:left="2268" w:hanging="1134"/>
        <w:rPr>
          <w:bCs/>
        </w:rPr>
      </w:pPr>
      <w:r w:rsidRPr="002970C8">
        <w:rPr>
          <w:b/>
        </w:rPr>
        <w:tab/>
      </w:r>
      <w:r w:rsidRPr="002A4611">
        <w:rPr>
          <w:bCs/>
        </w:rPr>
        <w:t>Рис. 4</w:t>
      </w:r>
    </w:p>
    <w:p w14:paraId="774C1ADD" w14:textId="77777777" w:rsidR="001C0847" w:rsidRPr="009B01FA" w:rsidRDefault="001C0847" w:rsidP="009B01FA">
      <w:pPr>
        <w:spacing w:line="240" w:lineRule="auto"/>
        <w:ind w:left="2268" w:right="1134" w:firstLine="567"/>
        <w:jc w:val="both"/>
        <w:outlineLvl w:val="1"/>
        <w:rPr>
          <w:bCs/>
          <w:lang w:eastAsia="ar-SA"/>
        </w:rPr>
      </w:pPr>
      <w:r w:rsidRPr="00C671A6">
        <w:rPr>
          <w:b/>
          <w:noProof/>
          <w:lang w:eastAsia="zh-CN"/>
        </w:rPr>
        <w:drawing>
          <wp:inline distT="0" distB="0" distL="0" distR="0" wp14:anchorId="54ECDCBE" wp14:editId="1DDD4C80">
            <wp:extent cx="3357136" cy="1655023"/>
            <wp:effectExtent l="0" t="0" r="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29" cy="166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86F9" w14:textId="77777777" w:rsidR="001C0847" w:rsidRPr="002970C8" w:rsidRDefault="001C0847" w:rsidP="001C0847">
      <w:pPr>
        <w:spacing w:after="120" w:line="240" w:lineRule="auto"/>
        <w:ind w:left="2268" w:right="1134" w:hanging="1134"/>
        <w:jc w:val="right"/>
        <w:outlineLvl w:val="1"/>
        <w:rPr>
          <w:iCs/>
          <w:lang w:eastAsia="ar-SA"/>
        </w:rPr>
      </w:pPr>
      <w:r w:rsidRPr="002970C8">
        <w:rPr>
          <w:iCs/>
          <w:lang w:eastAsia="ar-SA"/>
        </w:rPr>
        <w:t>»</w:t>
      </w:r>
    </w:p>
    <w:p w14:paraId="11D9CD82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  <w:rPr>
          <w:i/>
        </w:rPr>
      </w:pPr>
      <w:r w:rsidRPr="002970C8">
        <w:rPr>
          <w:i/>
        </w:rPr>
        <w:t>Приложение 1</w:t>
      </w:r>
    </w:p>
    <w:p w14:paraId="6BADBFE7" w14:textId="77777777" w:rsidR="001C0847" w:rsidRPr="002970C8" w:rsidRDefault="001C0847" w:rsidP="009B01FA">
      <w:pPr>
        <w:pStyle w:val="SingleTxtG"/>
        <w:tabs>
          <w:tab w:val="clear" w:pos="1701"/>
        </w:tabs>
        <w:ind w:left="2268" w:hanging="1134"/>
      </w:pPr>
      <w:r w:rsidRPr="002970C8">
        <w:rPr>
          <w:i/>
        </w:rPr>
        <w:t>Пункт 8</w:t>
      </w:r>
      <w:r w:rsidRPr="002970C8">
        <w:t xml:space="preserve"> изменить следующим образом:</w:t>
      </w:r>
    </w:p>
    <w:p w14:paraId="03A7EC4B" w14:textId="77777777" w:rsidR="001C0847" w:rsidRPr="002970C8" w:rsidRDefault="001C0847" w:rsidP="001C0847">
      <w:pPr>
        <w:widowControl w:val="0"/>
        <w:tabs>
          <w:tab w:val="left" w:pos="1701"/>
          <w:tab w:val="right" w:leader="dot" w:pos="8505"/>
          <w:tab w:val="right" w:leader="dot" w:pos="9356"/>
        </w:tabs>
        <w:spacing w:after="120"/>
        <w:ind w:left="1701" w:hanging="567"/>
      </w:pPr>
      <w:r w:rsidRPr="002970C8">
        <w:t xml:space="preserve">«8. </w:t>
      </w:r>
      <w:r w:rsidRPr="002970C8">
        <w:tab/>
      </w:r>
      <w:r w:rsidRPr="002970C8">
        <w:rPr>
          <w:rFonts w:eastAsia="Calibri"/>
        </w:rPr>
        <w:t>Масса транспортного средства</w:t>
      </w:r>
    </w:p>
    <w:p w14:paraId="5C20B7F6" w14:textId="77777777" w:rsidR="001C0847" w:rsidRPr="002970C8" w:rsidRDefault="001C0847" w:rsidP="001C0847">
      <w:pPr>
        <w:widowControl w:val="0"/>
        <w:tabs>
          <w:tab w:val="left" w:pos="1701"/>
          <w:tab w:val="right" w:leader="dot" w:pos="8505"/>
          <w:tab w:val="right" w:leader="dot" w:pos="9356"/>
        </w:tabs>
        <w:spacing w:after="120"/>
        <w:ind w:left="1701" w:hanging="567"/>
      </w:pPr>
      <w:r w:rsidRPr="002970C8">
        <w:t>8.1</w:t>
      </w:r>
      <w:r w:rsidRPr="002970C8">
        <w:tab/>
      </w:r>
      <w:bookmarkStart w:id="8" w:name="_Hlk21358572"/>
      <w:r w:rsidRPr="002970C8">
        <w:rPr>
          <w:rFonts w:eastAsia="Calibri"/>
        </w:rPr>
        <w:t xml:space="preserve">Масса транспортного средства </w:t>
      </w:r>
      <w:bookmarkEnd w:id="8"/>
      <w:r w:rsidRPr="002970C8">
        <w:rPr>
          <w:rFonts w:eastAsia="Calibri"/>
        </w:rPr>
        <w:t>при испытании</w:t>
      </w:r>
      <w:r w:rsidRPr="002970C8">
        <w:t>:</w:t>
      </w:r>
    </w:p>
    <w:p w14:paraId="6E3E337A" w14:textId="77777777" w:rsidR="001C0847" w:rsidRPr="002970C8" w:rsidRDefault="001C0847" w:rsidP="001C0847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2970C8">
        <w:rPr>
          <w:rFonts w:eastAsia="Calibri"/>
        </w:rPr>
        <w:t>Передняя ось</w:t>
      </w:r>
      <w:r w:rsidRPr="002970C8">
        <w:t>:</w:t>
      </w:r>
      <w:r w:rsidRPr="002970C8">
        <w:tab/>
      </w:r>
    </w:p>
    <w:p w14:paraId="6349CABA" w14:textId="77777777" w:rsidR="001C0847" w:rsidRPr="002970C8" w:rsidRDefault="001C0847" w:rsidP="001C0847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2970C8">
        <w:rPr>
          <w:rFonts w:eastAsia="Calibri"/>
        </w:rPr>
        <w:t>Задняя ось</w:t>
      </w:r>
      <w:r w:rsidRPr="002970C8">
        <w:t>:</w:t>
      </w:r>
      <w:r w:rsidRPr="002970C8">
        <w:tab/>
      </w:r>
    </w:p>
    <w:p w14:paraId="20F321B5" w14:textId="77777777" w:rsidR="001C0847" w:rsidRPr="002970C8" w:rsidRDefault="001C0847" w:rsidP="001C0847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2970C8">
        <w:rPr>
          <w:rFonts w:eastAsia="Calibri"/>
        </w:rPr>
        <w:t>Полная масса</w:t>
      </w:r>
      <w:r w:rsidRPr="002970C8">
        <w:t>:</w:t>
      </w:r>
      <w:r w:rsidRPr="002970C8">
        <w:tab/>
      </w:r>
    </w:p>
    <w:p w14:paraId="2A60D1F4" w14:textId="77777777" w:rsidR="001C0847" w:rsidRPr="002970C8" w:rsidRDefault="001C0847" w:rsidP="001C0847">
      <w:pPr>
        <w:keepNext/>
        <w:keepLines/>
        <w:widowControl w:val="0"/>
        <w:tabs>
          <w:tab w:val="left" w:pos="1701"/>
          <w:tab w:val="right" w:leader="dot" w:pos="8505"/>
          <w:tab w:val="right" w:leader="dot" w:pos="9356"/>
        </w:tabs>
        <w:spacing w:after="120"/>
        <w:ind w:left="1701" w:hanging="567"/>
      </w:pPr>
      <w:r w:rsidRPr="002970C8">
        <w:t xml:space="preserve">8.2 </w:t>
      </w:r>
      <w:r w:rsidRPr="002970C8">
        <w:tab/>
        <w:t>Если применяется пункт 5.3.1 или 5.3.2:</w:t>
      </w:r>
    </w:p>
    <w:p w14:paraId="5F635621" w14:textId="77777777" w:rsidR="001C0847" w:rsidRPr="002970C8" w:rsidRDefault="001C0847" w:rsidP="001C0847">
      <w:pPr>
        <w:widowControl w:val="0"/>
        <w:tabs>
          <w:tab w:val="left" w:pos="1588"/>
          <w:tab w:val="left" w:pos="1701"/>
          <w:tab w:val="right" w:leader="dot" w:pos="8505"/>
          <w:tab w:val="right" w:leader="dot" w:pos="9356"/>
        </w:tabs>
        <w:spacing w:after="120"/>
        <w:ind w:left="1701"/>
      </w:pPr>
      <w:r w:rsidRPr="002970C8">
        <w:t>Общая допустимая масса</w:t>
      </w:r>
      <w:r w:rsidRPr="002970C8">
        <w:tab/>
      </w:r>
    </w:p>
    <w:p w14:paraId="00EC1DB0" w14:textId="77777777" w:rsidR="001C0847" w:rsidRDefault="00FF7090" w:rsidP="00FF7090">
      <w:pPr>
        <w:pStyle w:val="SingleTxtG"/>
        <w:ind w:left="1701" w:hanging="567"/>
      </w:pPr>
      <w:r>
        <w:tab/>
      </w:r>
      <w:r w:rsidR="001C0847" w:rsidRPr="002970C8">
        <w:t>До</w:t>
      </w:r>
      <w:bookmarkStart w:id="9" w:name="_GoBack"/>
      <w:bookmarkEnd w:id="9"/>
      <w:r w:rsidR="001C0847" w:rsidRPr="002970C8">
        <w:t>казательство соответствия Правилам № 137 ООН (т.</w:t>
      </w:r>
      <w:r w:rsidR="001C0847" w:rsidRPr="003E6815">
        <w:rPr>
          <w:lang w:val="en-US"/>
        </w:rPr>
        <w:t> </w:t>
      </w:r>
      <w:r w:rsidR="001C0847" w:rsidRPr="002970C8">
        <w:t>е. номер официального утверждения или протокол испытания):»</w:t>
      </w:r>
    </w:p>
    <w:p w14:paraId="7D3B996A" w14:textId="77777777" w:rsidR="00381C24" w:rsidRPr="001C0847" w:rsidRDefault="001C0847" w:rsidP="001C08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C0847" w:rsidSect="001C08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0493" w14:textId="77777777" w:rsidR="000160FC" w:rsidRPr="00A312BC" w:rsidRDefault="000160FC" w:rsidP="00A312BC"/>
  </w:endnote>
  <w:endnote w:type="continuationSeparator" w:id="0">
    <w:p w14:paraId="4421788A" w14:textId="77777777" w:rsidR="000160FC" w:rsidRPr="00A312BC" w:rsidRDefault="000160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9EB8" w14:textId="77777777" w:rsidR="001C0847" w:rsidRPr="001C0847" w:rsidRDefault="001C0847">
    <w:pPr>
      <w:pStyle w:val="a8"/>
    </w:pPr>
    <w:r w:rsidRPr="001C0847">
      <w:rPr>
        <w:b/>
        <w:sz w:val="18"/>
      </w:rPr>
      <w:fldChar w:fldCharType="begin"/>
    </w:r>
    <w:r w:rsidRPr="001C0847">
      <w:rPr>
        <w:b/>
        <w:sz w:val="18"/>
      </w:rPr>
      <w:instrText xml:space="preserve"> PAGE  \* MERGEFORMAT </w:instrText>
    </w:r>
    <w:r w:rsidRPr="001C0847">
      <w:rPr>
        <w:b/>
        <w:sz w:val="18"/>
      </w:rPr>
      <w:fldChar w:fldCharType="separate"/>
    </w:r>
    <w:r w:rsidRPr="001C0847">
      <w:rPr>
        <w:b/>
        <w:noProof/>
        <w:sz w:val="18"/>
      </w:rPr>
      <w:t>2</w:t>
    </w:r>
    <w:r w:rsidRPr="001C0847">
      <w:rPr>
        <w:b/>
        <w:sz w:val="18"/>
      </w:rPr>
      <w:fldChar w:fldCharType="end"/>
    </w:r>
    <w:r>
      <w:rPr>
        <w:b/>
        <w:sz w:val="18"/>
      </w:rPr>
      <w:tab/>
    </w:r>
    <w:r>
      <w:t>GE.21-01319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8524" w14:textId="77777777" w:rsidR="001C0847" w:rsidRPr="001C0847" w:rsidRDefault="001C0847" w:rsidP="001C0847">
    <w:pPr>
      <w:pStyle w:val="a8"/>
      <w:tabs>
        <w:tab w:val="clear" w:pos="9639"/>
        <w:tab w:val="right" w:pos="9638"/>
      </w:tabs>
      <w:rPr>
        <w:b/>
        <w:sz w:val="18"/>
      </w:rPr>
    </w:pPr>
    <w:r>
      <w:t>GE.21-01319</w:t>
    </w:r>
    <w:r>
      <w:tab/>
    </w:r>
    <w:r w:rsidRPr="001C0847">
      <w:rPr>
        <w:b/>
        <w:sz w:val="18"/>
      </w:rPr>
      <w:fldChar w:fldCharType="begin"/>
    </w:r>
    <w:r w:rsidRPr="001C0847">
      <w:rPr>
        <w:b/>
        <w:sz w:val="18"/>
      </w:rPr>
      <w:instrText xml:space="preserve"> PAGE  \* MERGEFORMAT </w:instrText>
    </w:r>
    <w:r w:rsidRPr="001C0847">
      <w:rPr>
        <w:b/>
        <w:sz w:val="18"/>
      </w:rPr>
      <w:fldChar w:fldCharType="separate"/>
    </w:r>
    <w:r w:rsidRPr="001C0847">
      <w:rPr>
        <w:b/>
        <w:noProof/>
        <w:sz w:val="18"/>
      </w:rPr>
      <w:t>3</w:t>
    </w:r>
    <w:r w:rsidRPr="001C08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B8A0" w14:textId="77777777" w:rsidR="00042B72" w:rsidRPr="001C0847" w:rsidRDefault="001C0847" w:rsidP="001C084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EDB054" wp14:editId="23928B1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01319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13240F" wp14:editId="2A5B38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090">
      <w:t xml:space="preserve">  080221  110221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9E6B" w14:textId="77777777" w:rsidR="000160FC" w:rsidRPr="001075E9" w:rsidRDefault="000160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0422D2" w14:textId="77777777" w:rsidR="000160FC" w:rsidRDefault="000160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9A44E7" w14:textId="77777777" w:rsidR="001C0847" w:rsidRPr="006E47FC" w:rsidRDefault="001C0847" w:rsidP="001C0847">
      <w:pPr>
        <w:pStyle w:val="ad"/>
      </w:pPr>
      <w:r>
        <w:tab/>
      </w:r>
      <w:r w:rsidRPr="001C0847">
        <w:rPr>
          <w:sz w:val="20"/>
        </w:rPr>
        <w:t>*</w:t>
      </w:r>
      <w:r w:rsidRPr="006E47FC">
        <w:tab/>
        <w:t>Прежние названия Соглашения:</w:t>
      </w:r>
    </w:p>
    <w:p w14:paraId="215215A8" w14:textId="77777777" w:rsidR="001C0847" w:rsidRPr="006E47FC" w:rsidRDefault="001C0847" w:rsidP="001C0847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r w:rsidR="008B1DF7">
        <w:t>;</w:t>
      </w:r>
    </w:p>
    <w:p w14:paraId="6515894C" w14:textId="77777777" w:rsidR="001C0847" w:rsidRPr="006E47FC" w:rsidRDefault="001C0847" w:rsidP="001C0847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  <w:footnote w:id="2">
    <w:p w14:paraId="06411C74" w14:textId="77777777" w:rsidR="001C0847" w:rsidRPr="002970C8" w:rsidRDefault="001C0847" w:rsidP="001C0847">
      <w:pPr>
        <w:pStyle w:val="ad"/>
        <w:rPr>
          <w:lang w:eastAsia="ja-JP"/>
        </w:rPr>
      </w:pPr>
      <w:r w:rsidRPr="002970C8">
        <w:tab/>
      </w:r>
      <w:r w:rsidRPr="00D2706F">
        <w:rPr>
          <w:rStyle w:val="aa"/>
        </w:rPr>
        <w:footnoteRef/>
      </w:r>
      <w:r w:rsidRPr="002970C8">
        <w:t xml:space="preserve"> </w:t>
      </w:r>
      <w:r w:rsidRPr="002970C8">
        <w:tab/>
        <w:t xml:space="preserve">В </w:t>
      </w:r>
      <w:r w:rsidRPr="002970C8">
        <w:rPr>
          <w:szCs w:val="18"/>
        </w:rPr>
        <w:t>соответствии</w:t>
      </w:r>
      <w:r w:rsidRPr="002970C8">
        <w:t xml:space="preserve"> с определением, приведенным в Сводной резолюции о конструкции транспортных средств (СР.3), документ ЕСЕ/</w:t>
      </w:r>
      <w:r w:rsidRPr="00F27739">
        <w:t>TRANS</w:t>
      </w:r>
      <w:r w:rsidRPr="002970C8">
        <w:t>/</w:t>
      </w:r>
      <w:r w:rsidRPr="00F27739">
        <w:t>WP</w:t>
      </w:r>
      <w:r w:rsidRPr="002970C8">
        <w:t>.29/78/</w:t>
      </w:r>
      <w:r w:rsidRPr="00F27739">
        <w:t>Rev</w:t>
      </w:r>
      <w:r w:rsidRPr="002970C8">
        <w:t>.</w:t>
      </w:r>
      <w:r w:rsidRPr="002970C8">
        <w:rPr>
          <w:bCs/>
        </w:rPr>
        <w:t xml:space="preserve">6, </w:t>
      </w:r>
      <w:r w:rsidR="009B01FA">
        <w:rPr>
          <w:bCs/>
        </w:rPr>
        <w:t>п.</w:t>
      </w:r>
      <w:r w:rsidRPr="002970C8">
        <w:rPr>
          <w:bCs/>
        </w:rPr>
        <w:t xml:space="preserve"> 2</w:t>
      </w:r>
      <w:r w:rsidRPr="009B01FA">
        <w:t xml:space="preserve"> </w:t>
      </w:r>
      <w:r w:rsidR="009B01FA">
        <w:rPr>
          <w:b/>
          <w:bCs/>
        </w:rPr>
        <w:t>—</w:t>
      </w:r>
      <w:r w:rsidRPr="002970C8">
        <w:rPr>
          <w:b/>
          <w:bCs/>
        </w:rPr>
        <w:br/>
      </w:r>
      <w:hyperlink r:id="rId1" w:history="1">
        <w:r w:rsidRPr="00D43E3C">
          <w:rPr>
            <w:rStyle w:val="af2"/>
            <w:bCs/>
            <w:lang w:val="en-US"/>
          </w:rPr>
          <w:t>www</w:t>
        </w:r>
        <w:r w:rsidRPr="002970C8">
          <w:rPr>
            <w:rStyle w:val="af2"/>
            <w:bCs/>
          </w:rPr>
          <w:t>.</w:t>
        </w:r>
        <w:proofErr w:type="spellStart"/>
        <w:r w:rsidRPr="00D43E3C">
          <w:rPr>
            <w:rStyle w:val="af2"/>
            <w:bCs/>
            <w:lang w:val="en-US"/>
          </w:rPr>
          <w:t>unece</w:t>
        </w:r>
        <w:proofErr w:type="spellEnd"/>
        <w:r w:rsidRPr="002970C8">
          <w:rPr>
            <w:rStyle w:val="af2"/>
            <w:bCs/>
          </w:rPr>
          <w:t>.</w:t>
        </w:r>
        <w:r w:rsidRPr="00D43E3C">
          <w:rPr>
            <w:rStyle w:val="af2"/>
            <w:bCs/>
            <w:lang w:val="en-US"/>
          </w:rPr>
          <w:t>org</w:t>
        </w:r>
        <w:r w:rsidRPr="002970C8">
          <w:rPr>
            <w:rStyle w:val="af2"/>
            <w:bCs/>
          </w:rPr>
          <w:t>/</w:t>
        </w:r>
        <w:r w:rsidRPr="00D43E3C">
          <w:rPr>
            <w:rStyle w:val="af2"/>
            <w:bCs/>
            <w:lang w:val="en-US"/>
          </w:rPr>
          <w:t>trans</w:t>
        </w:r>
        <w:r w:rsidRPr="002970C8">
          <w:rPr>
            <w:rStyle w:val="af2"/>
            <w:bCs/>
          </w:rPr>
          <w:t>/</w:t>
        </w:r>
        <w:r w:rsidRPr="00D43E3C">
          <w:rPr>
            <w:rStyle w:val="af2"/>
            <w:bCs/>
            <w:lang w:val="en-US"/>
          </w:rPr>
          <w:t>main</w:t>
        </w:r>
        <w:r w:rsidRPr="002970C8">
          <w:rPr>
            <w:rStyle w:val="af2"/>
            <w:bCs/>
          </w:rPr>
          <w:t>/</w:t>
        </w:r>
        <w:r w:rsidRPr="00D43E3C">
          <w:rPr>
            <w:rStyle w:val="af2"/>
            <w:bCs/>
            <w:lang w:val="en-US"/>
          </w:rPr>
          <w:t>wp</w:t>
        </w:r>
        <w:r w:rsidRPr="002970C8">
          <w:rPr>
            <w:rStyle w:val="af2"/>
            <w:bCs/>
          </w:rPr>
          <w:t>29/</w:t>
        </w:r>
        <w:r w:rsidRPr="00D43E3C">
          <w:rPr>
            <w:rStyle w:val="af2"/>
            <w:bCs/>
            <w:lang w:val="en-US"/>
          </w:rPr>
          <w:t>wp</w:t>
        </w:r>
        <w:r w:rsidRPr="002970C8">
          <w:rPr>
            <w:rStyle w:val="af2"/>
            <w:bCs/>
          </w:rPr>
          <w:t>29</w:t>
        </w:r>
        <w:proofErr w:type="spellStart"/>
        <w:r w:rsidRPr="00D43E3C">
          <w:rPr>
            <w:rStyle w:val="af2"/>
            <w:bCs/>
            <w:lang w:val="en-US"/>
          </w:rPr>
          <w:t>wgs</w:t>
        </w:r>
        <w:proofErr w:type="spellEnd"/>
        <w:r w:rsidRPr="002970C8">
          <w:rPr>
            <w:rStyle w:val="af2"/>
            <w:bCs/>
          </w:rPr>
          <w:t>/</w:t>
        </w:r>
        <w:r w:rsidRPr="00D43E3C">
          <w:rPr>
            <w:rStyle w:val="af2"/>
            <w:bCs/>
            <w:lang w:val="en-US"/>
          </w:rPr>
          <w:t>wp</w:t>
        </w:r>
        <w:r w:rsidRPr="002970C8">
          <w:rPr>
            <w:rStyle w:val="af2"/>
            <w:bCs/>
          </w:rPr>
          <w:t>29</w:t>
        </w:r>
        <w:r w:rsidRPr="00D43E3C">
          <w:rPr>
            <w:rStyle w:val="af2"/>
            <w:bCs/>
            <w:lang w:val="en-US"/>
          </w:rPr>
          <w:t>gen</w:t>
        </w:r>
        <w:r w:rsidRPr="002970C8">
          <w:rPr>
            <w:rStyle w:val="af2"/>
            <w:bCs/>
          </w:rPr>
          <w:t>/</w:t>
        </w:r>
        <w:r w:rsidRPr="00D43E3C">
          <w:rPr>
            <w:rStyle w:val="af2"/>
            <w:bCs/>
            <w:lang w:val="en-US"/>
          </w:rPr>
          <w:t>wp</w:t>
        </w:r>
        <w:r w:rsidRPr="002970C8">
          <w:rPr>
            <w:rStyle w:val="af2"/>
            <w:bCs/>
          </w:rPr>
          <w:t>29</w:t>
        </w:r>
        <w:r w:rsidRPr="00D43E3C">
          <w:rPr>
            <w:rStyle w:val="af2"/>
            <w:bCs/>
            <w:lang w:val="en-US"/>
          </w:rPr>
          <w:t>resolutions</w:t>
        </w:r>
        <w:r w:rsidRPr="002970C8">
          <w:rPr>
            <w:rStyle w:val="af2"/>
            <w:bCs/>
          </w:rPr>
          <w:t>.</w:t>
        </w:r>
        <w:r w:rsidRPr="00D43E3C">
          <w:rPr>
            <w:rStyle w:val="af2"/>
            <w:bCs/>
            <w:lang w:val="en-US"/>
          </w:rPr>
          <w:t>html</w:t>
        </w:r>
      </w:hyperlink>
      <w:r w:rsidRPr="002970C8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9D1D" w14:textId="4E6FC6CD" w:rsidR="001C0847" w:rsidRPr="001C0847" w:rsidRDefault="001C0847">
    <w:pPr>
      <w:pStyle w:val="a5"/>
    </w:pPr>
    <w:fldSimple w:instr=" TITLE  \* MERGEFORMAT ">
      <w:r w:rsidR="00634B1E">
        <w:t>E/ECE/324/Rev.1/Add.93/Rev.3/Amend.2</w:t>
      </w:r>
    </w:fldSimple>
    <w:r>
      <w:br/>
    </w:r>
    <w:fldSimple w:instr=" KEYWORDS  \* MERGEFORMAT ">
      <w:r w:rsidR="00634B1E">
        <w:t>E/ECE/TRANS/505/Rev.1/Add.93/Rev.3/Amend.2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D009" w14:textId="061CC547" w:rsidR="001C0847" w:rsidRPr="001C0847" w:rsidRDefault="001C0847" w:rsidP="001C0847">
    <w:pPr>
      <w:pStyle w:val="a5"/>
      <w:jc w:val="right"/>
    </w:pPr>
    <w:fldSimple w:instr=" TITLE  \* MERGEFORMAT ">
      <w:r w:rsidR="00634B1E">
        <w:t>E/ECE/324/Rev.1/Add.93/Rev.3/Amend.2</w:t>
      </w:r>
    </w:fldSimple>
    <w:r>
      <w:br/>
    </w:r>
    <w:fldSimple w:instr=" KEYWORDS  \* MERGEFORMAT ">
      <w:r w:rsidR="00634B1E">
        <w:t>E/ECE/TRANS/505/Rev.1/Add.93/Rev.3/Amend.2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FC"/>
    <w:rsid w:val="000160F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0847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4B1E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1DF7"/>
    <w:rsid w:val="008B6909"/>
    <w:rsid w:val="008C1A9B"/>
    <w:rsid w:val="00906890"/>
    <w:rsid w:val="00911BE4"/>
    <w:rsid w:val="00943923"/>
    <w:rsid w:val="00951972"/>
    <w:rsid w:val="009608F3"/>
    <w:rsid w:val="009A24AC"/>
    <w:rsid w:val="009B01FA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E21599"/>
  <w15:docId w15:val="{B9F7A8E6-76A1-44DB-997E-38272D32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1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C084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C0847"/>
    <w:rPr>
      <w:lang w:val="ru-RU" w:eastAsia="en-US"/>
    </w:rPr>
  </w:style>
  <w:style w:type="paragraph" w:customStyle="1" w:styleId="HChGR">
    <w:name w:val="_ H _Ch_GR"/>
    <w:basedOn w:val="a"/>
    <w:next w:val="a"/>
    <w:link w:val="HChGR0"/>
    <w:qFormat/>
    <w:rsid w:val="001C084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C084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1C0847"/>
    <w:rPr>
      <w:b/>
      <w:sz w:val="28"/>
      <w:lang w:val="ru-RU" w:eastAsia="ru-RU"/>
    </w:rPr>
  </w:style>
  <w:style w:type="character" w:customStyle="1" w:styleId="HChGChar">
    <w:name w:val="_ H _Ch_G Char"/>
    <w:link w:val="HChG"/>
    <w:rsid w:val="001C084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672DA-3E33-4CA7-B3D5-5D4A9E3304A3}"/>
</file>

<file path=customXml/itemProps2.xml><?xml version="1.0" encoding="utf-8"?>
<ds:datastoreItem xmlns:ds="http://schemas.openxmlformats.org/officeDocument/2006/customXml" ds:itemID="{B66FB066-7A8D-4758-A75A-2C32400BF469}"/>
</file>

<file path=customXml/itemProps3.xml><?xml version="1.0" encoding="utf-8"?>
<ds:datastoreItem xmlns:ds="http://schemas.openxmlformats.org/officeDocument/2006/customXml" ds:itemID="{FA1752D7-0426-4362-81E2-347A7EC1D67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3</Pages>
  <Words>683</Words>
  <Characters>4482</Characters>
  <Application>Microsoft Office Word</Application>
  <DocSecurity>0</DocSecurity>
  <Lines>108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E/ECE/324/Rev.1/Add.93/Rev.3/Amend.2</vt:lpstr>
      <vt:lpstr>A/</vt:lpstr>
      <vt:lpstr>A/</vt:lpstr>
    </vt:vector>
  </TitlesOfParts>
  <Company>DCM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E/ECE/324/Rev.1/Add.93/Rev.3/Amend.2</dc:title>
  <dc:creator>Marina KOROTKOVA</dc:creator>
  <cp:keywords>E/ECE/TRANS/505/Rev.1/Add.93/Rev.3/Amend.2</cp:keywords>
  <cp:lastModifiedBy>Marina KOROTKOVA</cp:lastModifiedBy>
  <cp:revision>3</cp:revision>
  <cp:lastPrinted>2021-02-11T09:37:00Z</cp:lastPrinted>
  <dcterms:created xsi:type="dcterms:W3CDTF">2021-02-11T09:37:00Z</dcterms:created>
  <dcterms:modified xsi:type="dcterms:W3CDTF">2021-02-11T09:38:00Z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