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E2267" w14:paraId="59F1B50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2C3B75" w14:textId="77777777" w:rsidR="001E2267" w:rsidRPr="001E2267" w:rsidRDefault="001E2267" w:rsidP="001E2267">
            <w:pPr>
              <w:jc w:val="right"/>
              <w:rPr>
                <w:lang w:val="en-US"/>
              </w:rPr>
            </w:pPr>
            <w:r w:rsidRPr="001E2267">
              <w:rPr>
                <w:sz w:val="40"/>
                <w:lang w:val="en-US"/>
              </w:rPr>
              <w:t>E</w:t>
            </w:r>
            <w:r w:rsidRPr="001E2267">
              <w:rPr>
                <w:lang w:val="en-US"/>
              </w:rPr>
              <w:t>/ECE/324/Rev.1/Add.42/Rev.4/Amend.5−</w:t>
            </w:r>
            <w:r w:rsidRPr="001E2267">
              <w:rPr>
                <w:sz w:val="40"/>
                <w:lang w:val="en-US"/>
              </w:rPr>
              <w:t>E</w:t>
            </w:r>
            <w:r w:rsidRPr="001E2267">
              <w:rPr>
                <w:lang w:val="en-US"/>
              </w:rPr>
              <w:t>/ECE/TRANS/505/Rev.1/Add.42/Rev.4/Amend.5</w:t>
            </w:r>
          </w:p>
        </w:tc>
      </w:tr>
      <w:tr w:rsidR="00421A10" w:rsidRPr="00DB58B5" w14:paraId="504CA5AC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BA5F87" w14:textId="77777777" w:rsidR="00421A10" w:rsidRPr="001E226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EF884D" w14:textId="77777777" w:rsidR="00421A10" w:rsidRPr="00DB58B5" w:rsidRDefault="001E2267" w:rsidP="00A27C92">
            <w:pPr>
              <w:spacing w:before="480" w:line="240" w:lineRule="exact"/>
            </w:pPr>
            <w:r>
              <w:t>1</w:t>
            </w:r>
            <w:r w:rsidRPr="001E2267">
              <w:rPr>
                <w:vertAlign w:val="superscript"/>
              </w:rPr>
              <w:t>er</w:t>
            </w:r>
            <w:r>
              <w:t> juillet 2020</w:t>
            </w:r>
          </w:p>
        </w:tc>
      </w:tr>
    </w:tbl>
    <w:p w14:paraId="277C9E1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72C898D6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1E2267">
        <w:rPr>
          <w:szCs w:val="24"/>
        </w:rPr>
        <w:t xml:space="preserve">Concernant l’adoption </w:t>
      </w:r>
      <w:r w:rsidR="001E2267" w:rsidRPr="001E2267">
        <w:rPr>
          <w:rFonts w:eastAsia="Times New Roman"/>
          <w:color w:val="000000"/>
          <w:szCs w:val="24"/>
          <w:lang w:eastAsia="fr-FR"/>
        </w:rPr>
        <w:t xml:space="preserve">de Règlements techniques harmonisés </w:t>
      </w:r>
      <w:r w:rsidR="001E2267">
        <w:rPr>
          <w:rFonts w:eastAsia="Times New Roman"/>
          <w:color w:val="000000"/>
          <w:szCs w:val="24"/>
          <w:lang w:eastAsia="fr-FR"/>
        </w:rPr>
        <w:br/>
      </w:r>
      <w:r w:rsidR="001E2267" w:rsidRPr="001E2267">
        <w:rPr>
          <w:rFonts w:eastAsia="Times New Roman"/>
          <w:color w:val="000000"/>
          <w:szCs w:val="24"/>
          <w:lang w:eastAsia="fr-FR"/>
        </w:rPr>
        <w:t>de l</w:t>
      </w:r>
      <w:r w:rsidR="001E2267" w:rsidRPr="001E2267">
        <w:rPr>
          <w:rFonts w:eastAsia="Times New Roman"/>
          <w:b w:val="0"/>
          <w:color w:val="000000"/>
          <w:szCs w:val="24"/>
          <w:lang w:eastAsia="fr-FR"/>
        </w:rPr>
        <w:t>’</w:t>
      </w:r>
      <w:r w:rsidR="001E2267" w:rsidRPr="001E2267">
        <w:rPr>
          <w:rFonts w:eastAsia="Times New Roman"/>
          <w:color w:val="000000"/>
          <w:szCs w:val="24"/>
          <w:lang w:eastAsia="fr-FR"/>
        </w:rPr>
        <w:t xml:space="preserve">ONU applicables aux véhicules à roues et aux équipements </w:t>
      </w:r>
      <w:r w:rsidR="001E2267">
        <w:rPr>
          <w:rFonts w:eastAsia="Times New Roman"/>
          <w:color w:val="000000"/>
          <w:szCs w:val="24"/>
          <w:lang w:eastAsia="fr-FR"/>
        </w:rPr>
        <w:br/>
      </w:r>
      <w:r w:rsidR="001E2267" w:rsidRPr="001E2267">
        <w:rPr>
          <w:rFonts w:eastAsia="Times New Roman"/>
          <w:color w:val="000000"/>
          <w:szCs w:val="24"/>
          <w:lang w:eastAsia="fr-FR"/>
        </w:rPr>
        <w:t>et pièces susceptibles d</w:t>
      </w:r>
      <w:r w:rsidR="001E2267" w:rsidRPr="001E2267">
        <w:rPr>
          <w:rFonts w:eastAsia="Times New Roman"/>
          <w:b w:val="0"/>
          <w:color w:val="000000"/>
          <w:szCs w:val="24"/>
          <w:lang w:eastAsia="fr-FR"/>
        </w:rPr>
        <w:t>’</w:t>
      </w:r>
      <w:r w:rsidR="001E2267" w:rsidRPr="001E2267">
        <w:rPr>
          <w:rFonts w:eastAsia="Times New Roman"/>
          <w:color w:val="000000"/>
          <w:szCs w:val="24"/>
          <w:lang w:eastAsia="fr-FR"/>
        </w:rPr>
        <w:t xml:space="preserve">être montés ou utilisés sur les véhicules </w:t>
      </w:r>
      <w:r w:rsidR="001E2267">
        <w:rPr>
          <w:rFonts w:eastAsia="Times New Roman"/>
          <w:color w:val="000000"/>
          <w:szCs w:val="24"/>
          <w:lang w:eastAsia="fr-FR"/>
        </w:rPr>
        <w:br/>
      </w:r>
      <w:r w:rsidR="001E2267" w:rsidRPr="001E2267">
        <w:rPr>
          <w:rFonts w:eastAsia="Times New Roman"/>
          <w:color w:val="000000"/>
          <w:szCs w:val="24"/>
          <w:lang w:eastAsia="fr-FR"/>
        </w:rPr>
        <w:t xml:space="preserve">à roues et les conditions de reconnaissance réciproque </w:t>
      </w:r>
      <w:r w:rsidR="001E2267">
        <w:rPr>
          <w:rFonts w:eastAsia="Times New Roman"/>
          <w:color w:val="000000"/>
          <w:szCs w:val="24"/>
          <w:lang w:eastAsia="fr-FR"/>
        </w:rPr>
        <w:br/>
      </w:r>
      <w:r w:rsidR="001E2267" w:rsidRPr="001E2267">
        <w:rPr>
          <w:rFonts w:eastAsia="Times New Roman"/>
          <w:color w:val="000000"/>
          <w:szCs w:val="24"/>
          <w:lang w:eastAsia="fr-FR"/>
        </w:rPr>
        <w:t>des homologations délivrées conformément à ces Règlements</w:t>
      </w:r>
      <w:r w:rsidR="00442E31" w:rsidRPr="001E2267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149C3F7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1E2267">
        <w:t>Révision 3, comprenant les amendements entrés en vigueur le 14</w:t>
      </w:r>
      <w:r w:rsidR="001E2267">
        <w:t> </w:t>
      </w:r>
      <w:r w:rsidR="001E2267">
        <w:t>septembre 2017</w:t>
      </w:r>
      <w:r w:rsidRPr="006549FF">
        <w:t>)</w:t>
      </w:r>
    </w:p>
    <w:p w14:paraId="493B2CC4" w14:textId="77777777" w:rsidR="00421A10" w:rsidRPr="006549FF" w:rsidRDefault="0029791D" w:rsidP="0029791D">
      <w:pPr>
        <w:jc w:val="center"/>
      </w:pPr>
      <w:r>
        <w:t>_______________</w:t>
      </w:r>
    </w:p>
    <w:p w14:paraId="7E313D0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1E2267">
        <w:t>42 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E2267">
        <w:t>43</w:t>
      </w:r>
    </w:p>
    <w:p w14:paraId="42004AD5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1E2267">
        <w:t>4 − Amendement 5</w:t>
      </w:r>
    </w:p>
    <w:p w14:paraId="204393E4" w14:textId="77777777" w:rsidR="00421A10" w:rsidRPr="0029791D" w:rsidRDefault="001E2267" w:rsidP="0029791D">
      <w:pPr>
        <w:pStyle w:val="SingleTxtG"/>
      </w:pPr>
      <w:r>
        <w:rPr>
          <w:spacing w:val="-2"/>
        </w:rPr>
        <w:t>Complément 9 à la série 01 d’amendements</w:t>
      </w:r>
      <w:r w:rsidRPr="00272880">
        <w:rPr>
          <w:spacing w:val="-2"/>
        </w:rPr>
        <w:t xml:space="preserve"> </w:t>
      </w:r>
      <w:r>
        <w:rPr>
          <w:spacing w:val="-2"/>
        </w:rPr>
        <w:t>−</w:t>
      </w:r>
      <w:r w:rsidRPr="00272880">
        <w:rPr>
          <w:spacing w:val="-2"/>
        </w:rPr>
        <w:t xml:space="preserve"> Date </w:t>
      </w:r>
      <w:r>
        <w:rPr>
          <w:spacing w:val="-2"/>
        </w:rPr>
        <w:t>d’entrée en vigueur</w:t>
      </w:r>
      <w:r>
        <w:rPr>
          <w:spacing w:val="-2"/>
        </w:rPr>
        <w:t> </w:t>
      </w:r>
      <w:r w:rsidRPr="00272880">
        <w:rPr>
          <w:spacing w:val="-2"/>
        </w:rPr>
        <w:t xml:space="preserve">: </w:t>
      </w:r>
      <w:r>
        <w:t>29</w:t>
      </w:r>
      <w:r>
        <w:t> </w:t>
      </w:r>
      <w:r>
        <w:t>mai 2020</w:t>
      </w:r>
    </w:p>
    <w:p w14:paraId="5B8D4261" w14:textId="77777777" w:rsidR="00421A10" w:rsidRPr="001E2267" w:rsidRDefault="0029791D" w:rsidP="0029791D">
      <w:pPr>
        <w:pStyle w:val="H1G"/>
        <w:rPr>
          <w:szCs w:val="24"/>
        </w:rPr>
      </w:pPr>
      <w:r>
        <w:tab/>
      </w:r>
      <w:r>
        <w:tab/>
      </w:r>
      <w:r w:rsidR="00421A10" w:rsidRPr="001E2267">
        <w:rPr>
          <w:szCs w:val="24"/>
        </w:rPr>
        <w:t xml:space="preserve">Prescriptions uniformes relatives </w:t>
      </w:r>
      <w:r w:rsidR="001E2267" w:rsidRPr="001E2267">
        <w:rPr>
          <w:spacing w:val="-2"/>
          <w:szCs w:val="24"/>
        </w:rPr>
        <w:t>à l</w:t>
      </w:r>
      <w:r w:rsidR="001E2267" w:rsidRPr="001E2267">
        <w:rPr>
          <w:b w:val="0"/>
          <w:spacing w:val="-2"/>
          <w:szCs w:val="24"/>
        </w:rPr>
        <w:t>’</w:t>
      </w:r>
      <w:r w:rsidR="001E2267" w:rsidRPr="001E2267">
        <w:rPr>
          <w:spacing w:val="-2"/>
          <w:szCs w:val="24"/>
        </w:rPr>
        <w:t xml:space="preserve">homologation des vitrages </w:t>
      </w:r>
      <w:r w:rsidR="001E2267">
        <w:rPr>
          <w:spacing w:val="-2"/>
          <w:szCs w:val="24"/>
        </w:rPr>
        <w:br/>
      </w:r>
      <w:r w:rsidR="001E2267" w:rsidRPr="001E2267">
        <w:rPr>
          <w:spacing w:val="-2"/>
          <w:szCs w:val="24"/>
        </w:rPr>
        <w:t>de sécurité et de l</w:t>
      </w:r>
      <w:r w:rsidR="001E2267" w:rsidRPr="001E2267">
        <w:rPr>
          <w:b w:val="0"/>
          <w:spacing w:val="-2"/>
          <w:szCs w:val="24"/>
        </w:rPr>
        <w:t>’</w:t>
      </w:r>
      <w:r w:rsidR="001E2267" w:rsidRPr="001E2267">
        <w:rPr>
          <w:iCs/>
          <w:spacing w:val="-2"/>
          <w:szCs w:val="24"/>
        </w:rPr>
        <w:t>installation</w:t>
      </w:r>
      <w:r w:rsidR="001E2267">
        <w:rPr>
          <w:spacing w:val="-2"/>
          <w:szCs w:val="24"/>
        </w:rPr>
        <w:t xml:space="preserve"> </w:t>
      </w:r>
      <w:r w:rsidR="001E2267" w:rsidRPr="001E2267">
        <w:rPr>
          <w:spacing w:val="-2"/>
          <w:szCs w:val="24"/>
        </w:rPr>
        <w:t>de ces vitrages sur les véhicules</w:t>
      </w:r>
    </w:p>
    <w:p w14:paraId="5538780D" w14:textId="6FCE8C19" w:rsidR="001E2267" w:rsidRDefault="001E2267" w:rsidP="001E2267">
      <w:pPr>
        <w:pStyle w:val="SingleTxtG"/>
        <w:spacing w:after="0"/>
      </w:pPr>
      <w:r w:rsidRPr="001E2267">
        <w:rPr>
          <w:spacing w:val="-3"/>
        </w:rPr>
        <w:t>Le présent document est communiqué uniquement à titre d’information. Le texte authentique, juridiquement contraignant, est celui du document ECE/TRANS/WP.29/2019/95</w:t>
      </w:r>
      <w:r>
        <w:t>.</w:t>
      </w:r>
    </w:p>
    <w:p w14:paraId="72626B61" w14:textId="61E1943D" w:rsidR="001E2267" w:rsidRPr="001E2267" w:rsidRDefault="00A77263" w:rsidP="001E2267">
      <w:pPr>
        <w:pStyle w:val="SingleTxtG"/>
        <w:rPr>
          <w:i/>
          <w:iCs/>
          <w:lang w:val="fr-FR"/>
        </w:rPr>
      </w:pPr>
      <w:bookmarkStart w:id="0" w:name="_GoBack"/>
      <w:bookmarkEnd w:id="0"/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E86D1" wp14:editId="09B1B722">
                <wp:simplePos x="0" y="0"/>
                <wp:positionH relativeFrom="margin">
                  <wp:posOffset>-1633</wp:posOffset>
                </wp:positionH>
                <wp:positionV relativeFrom="margin">
                  <wp:posOffset>6093858</wp:posOffset>
                </wp:positionV>
                <wp:extent cx="6119495" cy="1296237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9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9725" w14:textId="77777777" w:rsidR="00442E31" w:rsidRPr="0029791D" w:rsidRDefault="00442E31" w:rsidP="00A77263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ECE5423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2DCDA90" wp14:editId="3DB977C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7E998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E86D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5pt;margin-top:479.85pt;width:481.8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" stroked="f">
                <v:textbox inset="0,0,0,0">
                  <w:txbxContent>
                    <w:p w14:paraId="79D79725" w14:textId="77777777" w:rsidR="00442E31" w:rsidRPr="0029791D" w:rsidRDefault="00442E31" w:rsidP="00A77263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ECE5423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2DCDA90" wp14:editId="3DB977C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7E998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E2267">
        <w:br w:type="page"/>
      </w:r>
      <w:r w:rsidR="001E2267" w:rsidRPr="001E2267">
        <w:rPr>
          <w:i/>
          <w:iCs/>
          <w:lang w:val="fr-FR"/>
        </w:rPr>
        <w:lastRenderedPageBreak/>
        <w:t>Annexe 3</w:t>
      </w:r>
    </w:p>
    <w:p w14:paraId="44BE4E37" w14:textId="77777777" w:rsidR="001E2267" w:rsidRDefault="001E2267" w:rsidP="001E2267">
      <w:pPr>
        <w:pStyle w:val="SingleTxtG"/>
      </w:pPr>
      <w:r>
        <w:rPr>
          <w:i/>
          <w:lang w:val="fr-FR"/>
        </w:rPr>
        <w:t>P</w:t>
      </w:r>
      <w:r w:rsidRPr="00684948">
        <w:rPr>
          <w:i/>
          <w:lang w:val="fr-FR"/>
        </w:rPr>
        <w:t>aragraphe 6.4.1.3</w:t>
      </w:r>
      <w:r>
        <w:rPr>
          <w:lang w:val="fr-FR"/>
        </w:rPr>
        <w:t>, lire :</w:t>
      </w:r>
    </w:p>
    <w:p w14:paraId="53CB7610" w14:textId="77777777" w:rsidR="001E2267" w:rsidRDefault="001E2267" w:rsidP="001E2267">
      <w:pPr>
        <w:pStyle w:val="SingleTxtG"/>
      </w:pPr>
      <w:r>
        <w:rPr>
          <w:lang w:val="fr-FR"/>
        </w:rPr>
        <w:t>« 6.4.1.3</w:t>
      </w:r>
      <w:r>
        <w:rPr>
          <w:lang w:val="fr-FR"/>
        </w:rPr>
        <w:tab/>
        <w:t>Mode opératoire</w:t>
      </w:r>
    </w:p>
    <w:p w14:paraId="3F7D14BC" w14:textId="77777777" w:rsidR="001E2267" w:rsidRDefault="001E2267" w:rsidP="001E2267">
      <w:pPr>
        <w:pStyle w:val="SingleTxtG"/>
        <w:ind w:left="2268"/>
        <w:rPr>
          <w:lang w:val="fr-FR"/>
        </w:rPr>
      </w:pPr>
      <w:r>
        <w:rPr>
          <w:lang w:val="fr-FR"/>
        </w:rPr>
        <w:t>Mesurer, conformément au paragraphe</w:t>
      </w:r>
      <w:r>
        <w:rPr>
          <w:lang w:val="fr-FR"/>
        </w:rPr>
        <w:t> </w:t>
      </w:r>
      <w:r>
        <w:rPr>
          <w:lang w:val="fr-FR"/>
        </w:rPr>
        <w:t>9.1 de la présente annexe, la transmission lumineuse de l’éprouvette ou des éprouvettes à exposer. La face de chaque éprouvette d’essai qui représenterait la face externe du vitrage sur un véhicule doit faire face à la lampe. Les autres conditions d’exposition sont les suivantes :</w:t>
      </w:r>
    </w:p>
    <w:p w14:paraId="3C9150BB" w14:textId="77777777" w:rsidR="001E2267" w:rsidRDefault="001E2267" w:rsidP="001E2267">
      <w:pPr>
        <w:pStyle w:val="SingleTxtG"/>
        <w:ind w:left="2268"/>
        <w:rPr>
          <w:lang w:val="fr-FR"/>
        </w:rPr>
      </w:pPr>
      <w:r>
        <w:rPr>
          <w:lang w:val="fr-FR"/>
        </w:rPr>
        <w:t>…</w:t>
      </w:r>
      <w:r>
        <w:rPr>
          <w:lang w:val="fr-FR"/>
        </w:rPr>
        <w:t> </w:t>
      </w:r>
      <w:r>
        <w:rPr>
          <w:lang w:val="fr-FR"/>
        </w:rPr>
        <w:t>».</w:t>
      </w:r>
    </w:p>
    <w:p w14:paraId="2DD2E702" w14:textId="77777777" w:rsidR="001E2267" w:rsidRPr="001E2267" w:rsidRDefault="001E2267" w:rsidP="001E226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2267" w:rsidRPr="001E2267" w:rsidSect="001E226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98F9" w14:textId="77777777" w:rsidR="00E66AB6" w:rsidRDefault="00E66AB6"/>
  </w:endnote>
  <w:endnote w:type="continuationSeparator" w:id="0">
    <w:p w14:paraId="1387977E" w14:textId="77777777" w:rsidR="00E66AB6" w:rsidRDefault="00E66AB6">
      <w:pPr>
        <w:pStyle w:val="Pieddepage"/>
      </w:pPr>
    </w:p>
  </w:endnote>
  <w:endnote w:type="continuationNotice" w:id="1">
    <w:p w14:paraId="3D424892" w14:textId="77777777" w:rsidR="00E66AB6" w:rsidRPr="00C451B9" w:rsidRDefault="00E66AB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66F5" w14:textId="77777777" w:rsidR="001E2267" w:rsidRPr="001E2267" w:rsidRDefault="001E2267" w:rsidP="001E2267">
    <w:pPr>
      <w:pStyle w:val="Pieddepage"/>
      <w:tabs>
        <w:tab w:val="right" w:pos="9638"/>
      </w:tabs>
    </w:pPr>
    <w:r w:rsidRPr="001E2267">
      <w:rPr>
        <w:b/>
        <w:sz w:val="18"/>
      </w:rPr>
      <w:fldChar w:fldCharType="begin"/>
    </w:r>
    <w:r w:rsidRPr="001E2267">
      <w:rPr>
        <w:b/>
        <w:sz w:val="18"/>
      </w:rPr>
      <w:instrText xml:space="preserve"> PAGE  \* MERGEFORMAT </w:instrText>
    </w:r>
    <w:r w:rsidRPr="001E2267">
      <w:rPr>
        <w:b/>
        <w:sz w:val="18"/>
      </w:rPr>
      <w:fldChar w:fldCharType="separate"/>
    </w:r>
    <w:r w:rsidRPr="001E2267">
      <w:rPr>
        <w:b/>
        <w:noProof/>
        <w:sz w:val="18"/>
      </w:rPr>
      <w:t>2</w:t>
    </w:r>
    <w:r w:rsidRPr="001E2267">
      <w:rPr>
        <w:b/>
        <w:sz w:val="18"/>
      </w:rPr>
      <w:fldChar w:fldCharType="end"/>
    </w:r>
    <w:r>
      <w:rPr>
        <w:b/>
        <w:sz w:val="18"/>
      </w:rPr>
      <w:tab/>
    </w:r>
    <w:r>
      <w:t>GE.20-08727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7E67" w14:textId="77777777" w:rsidR="001E2267" w:rsidRPr="001E2267" w:rsidRDefault="001E2267" w:rsidP="001E2267">
    <w:pPr>
      <w:pStyle w:val="Pieddepage"/>
      <w:tabs>
        <w:tab w:val="right" w:pos="9638"/>
      </w:tabs>
      <w:rPr>
        <w:b/>
        <w:sz w:val="18"/>
      </w:rPr>
    </w:pPr>
    <w:r>
      <w:t>GE.20-08727</w:t>
    </w:r>
    <w:r>
      <w:tab/>
    </w:r>
    <w:r w:rsidRPr="001E2267">
      <w:rPr>
        <w:b/>
        <w:sz w:val="18"/>
      </w:rPr>
      <w:fldChar w:fldCharType="begin"/>
    </w:r>
    <w:r w:rsidRPr="001E2267">
      <w:rPr>
        <w:b/>
        <w:sz w:val="18"/>
      </w:rPr>
      <w:instrText xml:space="preserve"> PAGE  \* MERGEFORMAT </w:instrText>
    </w:r>
    <w:r w:rsidRPr="001E2267">
      <w:rPr>
        <w:b/>
        <w:sz w:val="18"/>
      </w:rPr>
      <w:fldChar w:fldCharType="separate"/>
    </w:r>
    <w:r w:rsidRPr="001E2267">
      <w:rPr>
        <w:b/>
        <w:noProof/>
        <w:sz w:val="18"/>
      </w:rPr>
      <w:t>3</w:t>
    </w:r>
    <w:r w:rsidRPr="001E226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91D37" w14:textId="77777777" w:rsidR="00467F2C" w:rsidRPr="001E2267" w:rsidRDefault="001E2267" w:rsidP="001E2267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5B20EBA" wp14:editId="3A9F2B6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20-08727  (F)    201120    201120</w:t>
    </w:r>
    <w:r>
      <w:rPr>
        <w:sz w:val="20"/>
      </w:rPr>
      <w:br/>
    </w:r>
    <w:r w:rsidRPr="001E2267">
      <w:rPr>
        <w:rFonts w:ascii="C39T30Lfz" w:hAnsi="C39T30Lfz"/>
        <w:sz w:val="56"/>
      </w:rPr>
      <w:t>*2008727*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19CCD22" wp14:editId="07508F0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1ABD4" w14:textId="77777777" w:rsidR="00E66AB6" w:rsidRPr="00D27D5E" w:rsidRDefault="00E66AB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BA4F48" w14:textId="77777777" w:rsidR="00E66AB6" w:rsidRPr="00D171D4" w:rsidRDefault="00E66AB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D6921EE" w14:textId="77777777" w:rsidR="00E66AB6" w:rsidRPr="00C451B9" w:rsidRDefault="00E66AB6" w:rsidP="00C451B9">
      <w:pPr>
        <w:spacing w:line="240" w:lineRule="auto"/>
        <w:rPr>
          <w:sz w:val="2"/>
          <w:szCs w:val="2"/>
        </w:rPr>
      </w:pPr>
    </w:p>
  </w:footnote>
  <w:footnote w:id="2">
    <w:p w14:paraId="540F5314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6AF2F84F" w14:textId="77777777" w:rsidR="00591072" w:rsidRPr="00591072" w:rsidRDefault="00591072" w:rsidP="00591072">
      <w:pPr>
        <w:pStyle w:val="Notedebasdepage"/>
      </w:pPr>
      <w:r w:rsidRPr="001E2267">
        <w:tab/>
      </w:r>
      <w:r w:rsidRPr="001E2267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62CEAEF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43D8C99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8450" w14:textId="237DBA94" w:rsidR="001E2267" w:rsidRPr="001E2267" w:rsidRDefault="001E2267">
    <w:pPr>
      <w:pStyle w:val="En-tte"/>
      <w:rPr>
        <w:lang w:val="en-US"/>
      </w:rPr>
    </w:pPr>
    <w:r>
      <w:fldChar w:fldCharType="begin"/>
    </w:r>
    <w:r w:rsidRPr="001E2267">
      <w:rPr>
        <w:lang w:val="en-US"/>
      </w:rPr>
      <w:instrText xml:space="preserve"> TITLE  \* MERGEFORMAT </w:instrText>
    </w:r>
    <w:r>
      <w:fldChar w:fldCharType="separate"/>
    </w:r>
    <w:r w:rsidR="00475E95">
      <w:rPr>
        <w:lang w:val="en-US"/>
      </w:rPr>
      <w:t>E/ECE/324/Rev.1/Add.42/Rev.4/Amend.5</w:t>
    </w:r>
    <w:r>
      <w:fldChar w:fldCharType="end"/>
    </w:r>
    <w:r w:rsidRPr="001E2267">
      <w:rPr>
        <w:lang w:val="en-US"/>
      </w:rPr>
      <w:br/>
    </w:r>
    <w:r>
      <w:fldChar w:fldCharType="begin"/>
    </w:r>
    <w:r w:rsidRPr="001E2267">
      <w:rPr>
        <w:lang w:val="en-US"/>
      </w:rPr>
      <w:instrText xml:space="preserve"> KEYWORDS  \* MERGEFORMAT </w:instrText>
    </w:r>
    <w:r>
      <w:fldChar w:fldCharType="separate"/>
    </w:r>
    <w:r w:rsidR="00475E95">
      <w:rPr>
        <w:lang w:val="en-US"/>
      </w:rPr>
      <w:t>E/ECE/TRANS/505/Rev.1/Add.42/Rev.4/Amend.5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4094" w14:textId="02768B77" w:rsidR="001E2267" w:rsidRPr="001E2267" w:rsidRDefault="001E2267" w:rsidP="001E2267">
    <w:pPr>
      <w:pStyle w:val="En-tte"/>
      <w:jc w:val="right"/>
      <w:rPr>
        <w:lang w:val="en-US"/>
      </w:rPr>
    </w:pPr>
    <w:r>
      <w:fldChar w:fldCharType="begin"/>
    </w:r>
    <w:r w:rsidRPr="001E2267">
      <w:rPr>
        <w:lang w:val="en-US"/>
      </w:rPr>
      <w:instrText xml:space="preserve"> TITLE  \* MERGEFORMAT </w:instrText>
    </w:r>
    <w:r>
      <w:fldChar w:fldCharType="separate"/>
    </w:r>
    <w:r w:rsidR="00475E95">
      <w:rPr>
        <w:lang w:val="en-US"/>
      </w:rPr>
      <w:t>E/ECE/324/Rev.1/Add.42/Rev.4/Amend.5</w:t>
    </w:r>
    <w:r>
      <w:fldChar w:fldCharType="end"/>
    </w:r>
    <w:r w:rsidRPr="001E2267">
      <w:rPr>
        <w:lang w:val="en-US"/>
      </w:rPr>
      <w:br/>
    </w:r>
    <w:r>
      <w:fldChar w:fldCharType="begin"/>
    </w:r>
    <w:r w:rsidRPr="001E2267">
      <w:rPr>
        <w:lang w:val="en-US"/>
      </w:rPr>
      <w:instrText xml:space="preserve"> KEYWORDS  \* MERGEFORMAT </w:instrText>
    </w:r>
    <w:r>
      <w:fldChar w:fldCharType="separate"/>
    </w:r>
    <w:r w:rsidR="00475E95">
      <w:rPr>
        <w:lang w:val="en-US"/>
      </w:rPr>
      <w:t>E/ECE/TRANS/505/Rev.1/Add.42/Rev.4/Amend.5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AB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2267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5E95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30A5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7263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6AB6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346F8D"/>
  <w15:docId w15:val="{6951D3F4-860B-455F-8475-B0D68185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7CEAE-0B6F-4C5B-A87E-67E1E02C3CCD}"/>
</file>

<file path=customXml/itemProps2.xml><?xml version="1.0" encoding="utf-8"?>
<ds:datastoreItem xmlns:ds="http://schemas.openxmlformats.org/officeDocument/2006/customXml" ds:itemID="{53B01040-B0D1-45DA-90E1-AF29DB01F631}"/>
</file>

<file path=customXml/itemProps3.xml><?xml version="1.0" encoding="utf-8"?>
<ds:datastoreItem xmlns:ds="http://schemas.openxmlformats.org/officeDocument/2006/customXml" ds:itemID="{A45F593A-E15A-42A3-9FBA-F2079ADBA9E7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188</Words>
  <Characters>1160</Characters>
  <Application>Microsoft Office Word</Application>
  <DocSecurity>0</DocSecurity>
  <Lines>29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E/ECE/324/Rev.1/Add.42/Rev.4/Amend.5</dc:title>
  <dc:creator>Christine CHAUTAGNAT</dc:creator>
  <cp:keywords>E/ECE/TRANS/505/Rev.1/Add.42/Rev.4/Amend.5</cp:keywords>
  <cp:lastModifiedBy>Christine Chautagnat</cp:lastModifiedBy>
  <cp:revision>3</cp:revision>
  <cp:lastPrinted>2020-11-20T09:53:00Z</cp:lastPrinted>
  <dcterms:created xsi:type="dcterms:W3CDTF">2020-11-20T09:53:00Z</dcterms:created>
  <dcterms:modified xsi:type="dcterms:W3CDTF">2020-11-20T09:54:00Z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