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4D4CCD" w:rsidTr="00A27C92">
        <w:trPr>
          <w:trHeight w:hRule="exact" w:val="851"/>
        </w:trPr>
        <w:tc>
          <w:tcPr>
            <w:tcW w:w="9639" w:type="dxa"/>
            <w:gridSpan w:val="2"/>
            <w:tcBorders>
              <w:bottom w:val="single" w:sz="4" w:space="0" w:color="auto"/>
            </w:tcBorders>
            <w:shd w:val="clear" w:color="auto" w:fill="auto"/>
            <w:vAlign w:val="bottom"/>
          </w:tcPr>
          <w:p w:rsidR="004D4CCD" w:rsidRPr="004D4CCD" w:rsidRDefault="004D4CCD" w:rsidP="004D4CCD">
            <w:pPr>
              <w:jc w:val="right"/>
              <w:rPr>
                <w:lang w:val="en-US"/>
              </w:rPr>
            </w:pPr>
            <w:r w:rsidRPr="004D4CCD">
              <w:rPr>
                <w:sz w:val="40"/>
                <w:lang w:val="en-US"/>
              </w:rPr>
              <w:t>E</w:t>
            </w:r>
            <w:r w:rsidRPr="004D4CCD">
              <w:rPr>
                <w:lang w:val="en-US"/>
              </w:rPr>
              <w:t>/ECE/324/Rev.1/Add.57/Rev.3/Amend.1−</w:t>
            </w:r>
            <w:r w:rsidRPr="004D4CCD">
              <w:rPr>
                <w:sz w:val="40"/>
                <w:lang w:val="en-US"/>
              </w:rPr>
              <w:t>E</w:t>
            </w:r>
            <w:r w:rsidRPr="004D4CCD">
              <w:rPr>
                <w:lang w:val="en-US"/>
              </w:rPr>
              <w:t>/ECE/TRANS/505/Rev.1/Add.57/Rev.3/Amend.1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4D4CCD"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4D4CCD" w:rsidP="00A27C92">
            <w:pPr>
              <w:spacing w:before="480" w:line="240" w:lineRule="exact"/>
            </w:pPr>
            <w:r>
              <w:t>1</w:t>
            </w:r>
            <w:r w:rsidRPr="004D4CCD">
              <w:rPr>
                <w:vertAlign w:val="superscript"/>
              </w:rPr>
              <w:t>er</w:t>
            </w:r>
            <w:r>
              <w:t xml:space="preserve"> juillet 2020</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D4CCD" w:rsidRPr="004D4CCD">
        <w:rPr>
          <w:bCs/>
          <w:lang w:val="fr-FR"/>
        </w:rPr>
        <w:t>Concernant l</w:t>
      </w:r>
      <w:r w:rsidR="004D4CCD">
        <w:rPr>
          <w:bCs/>
          <w:lang w:val="fr-FR"/>
        </w:rPr>
        <w:t>’</w:t>
      </w:r>
      <w:r w:rsidR="004D4CCD" w:rsidRPr="004D4CCD">
        <w:rPr>
          <w:bCs/>
          <w:lang w:val="fr-FR"/>
        </w:rPr>
        <w:t>adoption de Règlements techniques harmonisés de l</w:t>
      </w:r>
      <w:r w:rsidR="004D4CCD">
        <w:rPr>
          <w:bCs/>
          <w:lang w:val="fr-FR"/>
        </w:rPr>
        <w:t>’</w:t>
      </w:r>
      <w:r w:rsidR="004D4CCD" w:rsidRPr="004D4CCD">
        <w:rPr>
          <w:bCs/>
          <w:lang w:val="fr-FR"/>
        </w:rPr>
        <w:t>ONU applicables aux véhicules à roues et aux équipements et pièces susceptibles d</w:t>
      </w:r>
      <w:r w:rsidR="004D4CCD">
        <w:rPr>
          <w:bCs/>
          <w:lang w:val="fr-FR"/>
        </w:rPr>
        <w:t>’</w:t>
      </w:r>
      <w:r w:rsidR="004D4CCD" w:rsidRPr="004D4CCD">
        <w:rPr>
          <w:bCs/>
          <w:lang w:val="fr-FR"/>
        </w:rPr>
        <w:t xml:space="preserve">être montés ou utilisés sur les véhicules à roues </w:t>
      </w:r>
      <w:r w:rsidR="004D4CCD">
        <w:rPr>
          <w:bCs/>
          <w:lang w:val="fr-FR"/>
        </w:rPr>
        <w:br/>
      </w:r>
      <w:r w:rsidR="004D4CCD" w:rsidRPr="004D4CCD">
        <w:rPr>
          <w:bCs/>
          <w:lang w:val="fr-FR"/>
        </w:rPr>
        <w:t>et les conditions de reconnaissance réciproque des homologations délivrées conformément à ces Règlements</w:t>
      </w:r>
      <w:r w:rsidR="004D4CCD" w:rsidRPr="004D4CCD">
        <w:rPr>
          <w:b w:val="0"/>
          <w:bCs/>
          <w:sz w:val="20"/>
          <w:lang w:val="fr-FR"/>
        </w:rPr>
        <w:footnoteReference w:customMarkFollows="1" w:id="2"/>
        <w:t>*</w:t>
      </w:r>
    </w:p>
    <w:p w:rsidR="00421A10" w:rsidRPr="00A12483" w:rsidRDefault="004D4CCD" w:rsidP="0029791D">
      <w:pPr>
        <w:pStyle w:val="SingleTxtG"/>
        <w:jc w:val="left"/>
        <w:rPr>
          <w:b/>
          <w:sz w:val="24"/>
          <w:szCs w:val="24"/>
        </w:rPr>
      </w:pPr>
      <w:r w:rsidRPr="004D4CCD">
        <w:rPr>
          <w:lang w:val="fr-FR"/>
        </w:rPr>
        <w:t>(Révision 3, comprenant les amendements entrés en vigueur le 14 septembre 2017)</w:t>
      </w:r>
    </w:p>
    <w:p w:rsidR="00421A10" w:rsidRPr="006549FF" w:rsidRDefault="0029791D" w:rsidP="0029791D">
      <w:pPr>
        <w:jc w:val="center"/>
      </w:pPr>
      <w:r>
        <w:t>_______________</w:t>
      </w:r>
    </w:p>
    <w:p w:rsidR="00421A10" w:rsidRPr="006549FF" w:rsidRDefault="0029791D" w:rsidP="0029791D">
      <w:pPr>
        <w:pStyle w:val="HChG"/>
      </w:pPr>
      <w:r>
        <w:tab/>
      </w:r>
      <w:r>
        <w:tab/>
      </w:r>
      <w:r w:rsidR="004D4CCD" w:rsidRPr="004D4CCD">
        <w:rPr>
          <w:bCs/>
          <w:lang w:val="fr-FR"/>
        </w:rPr>
        <w:t>Additif 57 − Règlement ONU n</w:t>
      </w:r>
      <w:r w:rsidR="004D4CCD" w:rsidRPr="004D4CCD">
        <w:rPr>
          <w:bCs/>
          <w:vertAlign w:val="superscript"/>
          <w:lang w:val="fr-FR"/>
        </w:rPr>
        <w:t>o</w:t>
      </w:r>
      <w:r w:rsidR="004D4CCD" w:rsidRPr="004D4CCD">
        <w:rPr>
          <w:bCs/>
          <w:lang w:val="fr-FR"/>
        </w:rPr>
        <w:t xml:space="preserve"> 58</w:t>
      </w:r>
    </w:p>
    <w:p w:rsidR="00421A10" w:rsidRPr="006549FF" w:rsidRDefault="0029791D" w:rsidP="0029791D">
      <w:pPr>
        <w:pStyle w:val="H1G"/>
      </w:pPr>
      <w:r>
        <w:tab/>
      </w:r>
      <w:r>
        <w:tab/>
      </w:r>
      <w:r w:rsidR="004D4CCD" w:rsidRPr="004D4CCD">
        <w:rPr>
          <w:bCs/>
          <w:lang w:val="fr-FR"/>
        </w:rPr>
        <w:t>Révision 3 − Amendement 1</w:t>
      </w:r>
    </w:p>
    <w:p w:rsidR="00421A10" w:rsidRPr="004A7E44" w:rsidRDefault="004D4CCD" w:rsidP="0029791D">
      <w:pPr>
        <w:pStyle w:val="SingleTxtG"/>
        <w:spacing w:after="0"/>
      </w:pPr>
      <w:r w:rsidRPr="004D4CCD">
        <w:rPr>
          <w:lang w:val="fr-FR"/>
        </w:rPr>
        <w:t>Complément 1 à la série 03 d</w:t>
      </w:r>
      <w:r>
        <w:rPr>
          <w:lang w:val="fr-FR"/>
        </w:rPr>
        <w:t>’</w:t>
      </w:r>
      <w:r w:rsidRPr="004D4CCD">
        <w:rPr>
          <w:lang w:val="fr-FR"/>
        </w:rPr>
        <w:t xml:space="preserve">amendements </w:t>
      </w:r>
      <w:r>
        <w:rPr>
          <w:lang w:val="fr-FR"/>
        </w:rPr>
        <w:t>−</w:t>
      </w:r>
      <w:r w:rsidRPr="004D4CCD">
        <w:rPr>
          <w:lang w:val="fr-FR"/>
        </w:rPr>
        <w:t xml:space="preserve"> Date d</w:t>
      </w:r>
      <w:r>
        <w:rPr>
          <w:lang w:val="fr-FR"/>
        </w:rPr>
        <w:t>’</w:t>
      </w:r>
      <w:r w:rsidRPr="004D4CCD">
        <w:rPr>
          <w:lang w:val="fr-FR"/>
        </w:rPr>
        <w:t>entrée en vigueur</w:t>
      </w:r>
      <w:r>
        <w:rPr>
          <w:lang w:val="fr-FR"/>
        </w:rPr>
        <w:t> </w:t>
      </w:r>
      <w:r w:rsidRPr="004D4CCD">
        <w:rPr>
          <w:lang w:val="fr-FR"/>
        </w:rPr>
        <w:t>: 29 mai 2020</w:t>
      </w:r>
    </w:p>
    <w:p w:rsidR="00421A10" w:rsidRDefault="0029791D" w:rsidP="004D4CCD">
      <w:pPr>
        <w:pStyle w:val="H1G"/>
        <w:spacing w:after="0"/>
        <w:rPr>
          <w:bCs/>
          <w:lang w:val="fr-FR"/>
        </w:rPr>
      </w:pPr>
      <w:r>
        <w:tab/>
      </w:r>
      <w:r>
        <w:tab/>
      </w:r>
      <w:r w:rsidR="004D4CCD" w:rsidRPr="004D4CCD">
        <w:rPr>
          <w:bCs/>
          <w:lang w:val="fr-FR"/>
        </w:rPr>
        <w:t>Prescriptions uniformes relatives à l</w:t>
      </w:r>
      <w:r w:rsidR="004D4CCD">
        <w:rPr>
          <w:bCs/>
          <w:lang w:val="fr-FR"/>
        </w:rPr>
        <w:t>’</w:t>
      </w:r>
      <w:r w:rsidR="004D4CCD" w:rsidRPr="004D4CCD">
        <w:rPr>
          <w:bCs/>
          <w:lang w:val="fr-FR"/>
        </w:rPr>
        <w:t>homologation</w:t>
      </w:r>
      <w:r w:rsidR="004D4CCD">
        <w:rPr>
          <w:bCs/>
          <w:lang w:val="fr-FR"/>
        </w:rPr>
        <w:t> </w:t>
      </w:r>
      <w:r w:rsidR="004D4CCD" w:rsidRPr="004D4CCD">
        <w:rPr>
          <w:bCs/>
          <w:lang w:val="fr-FR"/>
        </w:rPr>
        <w:t>:</w:t>
      </w:r>
    </w:p>
    <w:p w:rsidR="004D4CCD" w:rsidRPr="004D4CCD" w:rsidRDefault="004D4CCD" w:rsidP="004D4CCD">
      <w:pPr>
        <w:pStyle w:val="H1G"/>
        <w:spacing w:before="0" w:after="0"/>
        <w:rPr>
          <w:lang w:val="fr-FR"/>
        </w:rPr>
      </w:pPr>
      <w:r>
        <w:rPr>
          <w:bCs/>
          <w:lang w:val="fr-FR"/>
        </w:rPr>
        <w:tab/>
      </w:r>
      <w:r w:rsidRPr="004D4CCD">
        <w:rPr>
          <w:bCs/>
          <w:lang w:val="fr-FR"/>
        </w:rPr>
        <w:t>I.</w:t>
      </w:r>
      <w:r>
        <w:rPr>
          <w:bCs/>
          <w:lang w:val="fr-FR"/>
        </w:rPr>
        <w:tab/>
      </w:r>
      <w:r w:rsidRPr="004D4CCD">
        <w:rPr>
          <w:bCs/>
          <w:lang w:val="fr-FR"/>
        </w:rPr>
        <w:t>Des dispositifs arrière de protection antiencastrement</w:t>
      </w:r>
    </w:p>
    <w:p w:rsidR="004D4CCD" w:rsidRDefault="004D4CCD" w:rsidP="004D4CCD">
      <w:pPr>
        <w:pStyle w:val="H1G"/>
        <w:spacing w:before="0" w:after="0"/>
        <w:rPr>
          <w:lang w:val="fr-FR"/>
        </w:rPr>
      </w:pPr>
      <w:r>
        <w:rPr>
          <w:bCs/>
          <w:lang w:val="fr-FR"/>
        </w:rPr>
        <w:tab/>
      </w:r>
      <w:r w:rsidRPr="004D4CCD">
        <w:rPr>
          <w:bCs/>
          <w:lang w:val="fr-FR"/>
        </w:rPr>
        <w:t>II.</w:t>
      </w:r>
      <w:r>
        <w:rPr>
          <w:bCs/>
          <w:lang w:val="fr-FR"/>
        </w:rPr>
        <w:tab/>
      </w:r>
      <w:r w:rsidRPr="004D4CCD">
        <w:rPr>
          <w:bCs/>
          <w:lang w:val="fr-FR"/>
        </w:rPr>
        <w:t>Des véhicules en ce qui concerne le montage d</w:t>
      </w:r>
      <w:r>
        <w:rPr>
          <w:bCs/>
          <w:lang w:val="fr-FR"/>
        </w:rPr>
        <w:t>’</w:t>
      </w:r>
      <w:r w:rsidRPr="004D4CCD">
        <w:rPr>
          <w:bCs/>
          <w:lang w:val="fr-FR"/>
        </w:rPr>
        <w:t xml:space="preserve">un dispositif arrière </w:t>
      </w:r>
      <w:r>
        <w:rPr>
          <w:bCs/>
          <w:lang w:val="fr-FR"/>
        </w:rPr>
        <w:br/>
      </w:r>
      <w:r w:rsidRPr="004D4CCD">
        <w:rPr>
          <w:bCs/>
          <w:lang w:val="fr-FR"/>
        </w:rPr>
        <w:t>de protection antiencastrement d</w:t>
      </w:r>
      <w:r>
        <w:rPr>
          <w:bCs/>
          <w:lang w:val="fr-FR"/>
        </w:rPr>
        <w:t>’</w:t>
      </w:r>
      <w:r w:rsidRPr="004D4CCD">
        <w:rPr>
          <w:bCs/>
          <w:lang w:val="fr-FR"/>
        </w:rPr>
        <w:t>un type homologué</w:t>
      </w:r>
      <w:r w:rsidRPr="004D4CCD">
        <w:rPr>
          <w:lang w:val="fr-FR"/>
        </w:rPr>
        <w:t xml:space="preserve"> </w:t>
      </w:r>
    </w:p>
    <w:p w:rsidR="004D4CCD" w:rsidRDefault="004D4CCD" w:rsidP="004D4CCD">
      <w:pPr>
        <w:pStyle w:val="H1G"/>
        <w:spacing w:before="0" w:after="120"/>
      </w:pPr>
      <w:r>
        <w:rPr>
          <w:lang w:val="fr-FR"/>
        </w:rPr>
        <w:tab/>
      </w:r>
      <w:r w:rsidRPr="004D4CCD">
        <w:rPr>
          <w:bCs/>
          <w:lang w:val="fr-FR"/>
        </w:rPr>
        <w:t>III.</w:t>
      </w:r>
      <w:r w:rsidRPr="004D4CCD">
        <w:rPr>
          <w:lang w:val="fr-FR"/>
        </w:rPr>
        <w:tab/>
      </w:r>
      <w:r w:rsidRPr="004D4CCD">
        <w:rPr>
          <w:bCs/>
          <w:lang w:val="fr-FR"/>
        </w:rPr>
        <w:t>Des véhicules en ce qui concerne leur protection contre l</w:t>
      </w:r>
      <w:r>
        <w:rPr>
          <w:bCs/>
          <w:lang w:val="fr-FR"/>
        </w:rPr>
        <w:t>’</w:t>
      </w:r>
      <w:r w:rsidRPr="004D4CCD">
        <w:rPr>
          <w:bCs/>
          <w:lang w:val="fr-FR"/>
        </w:rPr>
        <w:t>encastrement à l</w:t>
      </w:r>
      <w:r>
        <w:rPr>
          <w:bCs/>
          <w:lang w:val="fr-FR"/>
        </w:rPr>
        <w:t>’</w:t>
      </w:r>
      <w:r w:rsidRPr="004D4CCD">
        <w:rPr>
          <w:bCs/>
          <w:lang w:val="fr-FR"/>
        </w:rPr>
        <w:t>arrière</w:t>
      </w:r>
      <w:r w:rsidRPr="004D4CCD">
        <w:t xml:space="preserve"> </w:t>
      </w:r>
    </w:p>
    <w:p w:rsidR="005F0207" w:rsidRPr="004D4CCD" w:rsidRDefault="004D4CCD" w:rsidP="004D4CCD">
      <w:pPr>
        <w:pStyle w:val="SingleTxtG"/>
        <w:rPr>
          <w:spacing w:val="-4"/>
          <w:lang w:val="fr-FR"/>
        </w:rPr>
      </w:pPr>
      <w:r>
        <w:rPr>
          <w:lang w:val="fr-FR"/>
        </w:rPr>
        <w:tab/>
      </w:r>
      <w:r w:rsidRPr="004D4CCD">
        <w:rPr>
          <w:spacing w:val="-4"/>
          <w:lang w:val="fr-FR"/>
        </w:rPr>
        <w:t>Le présent document est communiqué uniquement à titre d</w:t>
      </w:r>
      <w:r w:rsidRPr="004D4CCD">
        <w:rPr>
          <w:spacing w:val="-4"/>
          <w:lang w:val="fr-FR"/>
        </w:rPr>
        <w:t>’</w:t>
      </w:r>
      <w:r w:rsidRPr="004D4CCD">
        <w:rPr>
          <w:spacing w:val="-4"/>
          <w:lang w:val="fr-FR"/>
        </w:rPr>
        <w:t>information. Le texte authentique, juridiquement contraignant, est celui du document ECE/TRANS/WP.29/2019/97.</w:t>
      </w:r>
    </w:p>
    <w:p w:rsidR="004D4CCD" w:rsidRPr="00543897" w:rsidRDefault="0070312E" w:rsidP="0070312E">
      <w:pPr>
        <w:pStyle w:val="SingleTxtG"/>
        <w:rPr>
          <w:lang w:val="fr-FR"/>
        </w:rPr>
      </w:pPr>
      <w:r>
        <w:rPr>
          <w:noProof/>
          <w:lang w:eastAsia="fr-CH"/>
        </w:rPr>
        <mc:AlternateContent>
          <mc:Choice Requires="wps">
            <w:drawing>
              <wp:anchor distT="0" distB="0" distL="114300" distR="114300" simplePos="0" relativeHeight="251661824" behindDoc="0" locked="0" layoutInCell="1" allowOverlap="1" wp14:anchorId="4D85F320" wp14:editId="26CCF6CE">
                <wp:simplePos x="0" y="0"/>
                <wp:positionH relativeFrom="margin">
                  <wp:posOffset>0</wp:posOffset>
                </wp:positionH>
                <wp:positionV relativeFrom="margin">
                  <wp:posOffset>6517310</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513.15pt;width:481.85pt;height:90.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004D4CCD">
        <w:rPr>
          <w:lang w:val="fr-FR"/>
        </w:rPr>
        <w:br w:type="page"/>
      </w:r>
      <w:r w:rsidR="004D4CCD" w:rsidRPr="00543897">
        <w:rPr>
          <w:i/>
          <w:lang w:val="fr-FR"/>
        </w:rPr>
        <w:lastRenderedPageBreak/>
        <w:t>Paragraphe 2.4</w:t>
      </w:r>
      <w:r w:rsidR="004D4CCD" w:rsidRPr="00543897">
        <w:rPr>
          <w:lang w:val="fr-FR"/>
        </w:rPr>
        <w:t>, lire :</w:t>
      </w:r>
    </w:p>
    <w:p w:rsidR="004D4CCD" w:rsidRPr="00543897" w:rsidRDefault="004D4CCD" w:rsidP="0070312E">
      <w:pPr>
        <w:pStyle w:val="SingleTxtG"/>
        <w:ind w:left="2268" w:hanging="1134"/>
        <w:rPr>
          <w:lang w:val="fr-FR"/>
        </w:rPr>
      </w:pPr>
      <w:r w:rsidRPr="00543897">
        <w:rPr>
          <w:lang w:val="fr-FR"/>
        </w:rPr>
        <w:t>« 2.4</w:t>
      </w:r>
      <w:r w:rsidRPr="00543897">
        <w:rPr>
          <w:lang w:val="fr-FR"/>
        </w:rPr>
        <w:tab/>
        <w:t>Les véhicules de la catégorie G doivent être considérés comme répondant aux conditions relatives à la garde au sol énoncées dans le présent Règlement si l</w:t>
      </w:r>
      <w:r>
        <w:rPr>
          <w:lang w:val="fr-FR"/>
        </w:rPr>
        <w:t>’</w:t>
      </w:r>
      <w:r w:rsidRPr="00543897">
        <w:rPr>
          <w:lang w:val="fr-FR"/>
        </w:rPr>
        <w:t>angle de fuite (ISO 612:1978) ne dépasse pas :</w:t>
      </w:r>
    </w:p>
    <w:p w:rsidR="004D4CCD" w:rsidRPr="00543897" w:rsidRDefault="004D4CCD" w:rsidP="0070312E">
      <w:pPr>
        <w:pStyle w:val="SingleTxtG"/>
        <w:ind w:left="2835" w:hanging="567"/>
        <w:rPr>
          <w:lang w:val="fr-FR"/>
        </w:rPr>
      </w:pPr>
      <w:r w:rsidRPr="00543897">
        <w:rPr>
          <w:lang w:val="fr-FR"/>
        </w:rPr>
        <w:t>a)</w:t>
      </w:r>
      <w:r w:rsidRPr="00543897">
        <w:rPr>
          <w:lang w:val="fr-FR"/>
        </w:rPr>
        <w:tab/>
        <w:t>10° dans le cas des véhicules des catégories M</w:t>
      </w:r>
      <w:r w:rsidRPr="00543897">
        <w:rPr>
          <w:vertAlign w:val="subscript"/>
          <w:lang w:val="fr-FR"/>
        </w:rPr>
        <w:t>1</w:t>
      </w:r>
      <w:r w:rsidRPr="00543897">
        <w:rPr>
          <w:lang w:val="fr-FR"/>
        </w:rPr>
        <w:t>G et N</w:t>
      </w:r>
      <w:r w:rsidRPr="00543897">
        <w:rPr>
          <w:vertAlign w:val="subscript"/>
          <w:lang w:val="fr-FR"/>
        </w:rPr>
        <w:t>1</w:t>
      </w:r>
      <w:r w:rsidRPr="00543897">
        <w:rPr>
          <w:lang w:val="fr-FR"/>
        </w:rPr>
        <w:t>G ;</w:t>
      </w:r>
    </w:p>
    <w:p w:rsidR="004D4CCD" w:rsidRPr="00543897" w:rsidRDefault="004D4CCD" w:rsidP="0070312E">
      <w:pPr>
        <w:pStyle w:val="SingleTxtG"/>
        <w:ind w:left="2835" w:hanging="567"/>
        <w:rPr>
          <w:lang w:val="fr-FR"/>
        </w:rPr>
      </w:pPr>
      <w:r w:rsidRPr="00543897">
        <w:rPr>
          <w:lang w:val="fr-FR"/>
        </w:rPr>
        <w:t>b)</w:t>
      </w:r>
      <w:r w:rsidRPr="00543897">
        <w:rPr>
          <w:lang w:val="fr-FR"/>
        </w:rPr>
        <w:tab/>
        <w:t>20° dans le cas des véhicules des catégories M</w:t>
      </w:r>
      <w:r w:rsidRPr="00543897">
        <w:rPr>
          <w:vertAlign w:val="subscript"/>
          <w:lang w:val="fr-FR"/>
        </w:rPr>
        <w:t>2</w:t>
      </w:r>
      <w:r w:rsidRPr="00543897">
        <w:rPr>
          <w:lang w:val="fr-FR"/>
        </w:rPr>
        <w:t>G et N</w:t>
      </w:r>
      <w:r w:rsidRPr="00543897">
        <w:rPr>
          <w:vertAlign w:val="subscript"/>
          <w:lang w:val="fr-FR"/>
        </w:rPr>
        <w:t>2</w:t>
      </w:r>
      <w:r w:rsidRPr="00543897">
        <w:rPr>
          <w:lang w:val="fr-FR"/>
        </w:rPr>
        <w:t>G ;</w:t>
      </w:r>
    </w:p>
    <w:p w:rsidR="004D4CCD" w:rsidRPr="00543897" w:rsidRDefault="004D4CCD" w:rsidP="0070312E">
      <w:pPr>
        <w:pStyle w:val="SingleTxtG"/>
        <w:ind w:left="2835" w:hanging="567"/>
        <w:rPr>
          <w:lang w:val="fr-FR"/>
        </w:rPr>
      </w:pPr>
      <w:r w:rsidRPr="00543897">
        <w:rPr>
          <w:lang w:val="fr-FR"/>
        </w:rPr>
        <w:t>c)</w:t>
      </w:r>
      <w:r w:rsidRPr="00543897">
        <w:rPr>
          <w:lang w:val="fr-FR"/>
        </w:rPr>
        <w:tab/>
        <w:t>25° dans le cas des véhicules des catégories M</w:t>
      </w:r>
      <w:r w:rsidRPr="00543897">
        <w:rPr>
          <w:vertAlign w:val="subscript"/>
          <w:lang w:val="fr-FR"/>
        </w:rPr>
        <w:t>3</w:t>
      </w:r>
      <w:r w:rsidRPr="00543897">
        <w:rPr>
          <w:lang w:val="fr-FR"/>
        </w:rPr>
        <w:t>G et N</w:t>
      </w:r>
      <w:r w:rsidRPr="00543897">
        <w:rPr>
          <w:vertAlign w:val="subscript"/>
          <w:lang w:val="fr-FR"/>
        </w:rPr>
        <w:t>3</w:t>
      </w:r>
      <w:r w:rsidRPr="00543897">
        <w:rPr>
          <w:lang w:val="fr-FR"/>
        </w:rPr>
        <w:t>G ;</w:t>
      </w:r>
    </w:p>
    <w:p w:rsidR="004D4CCD" w:rsidRPr="00543897" w:rsidRDefault="004D4CCD" w:rsidP="0070312E">
      <w:pPr>
        <w:pStyle w:val="SingleTxtG"/>
        <w:ind w:left="2268"/>
        <w:rPr>
          <w:lang w:val="fr-FR"/>
        </w:rPr>
      </w:pPr>
      <w:r w:rsidRPr="00543897">
        <w:rPr>
          <w:lang w:val="fr-FR"/>
        </w:rPr>
        <w:t>sur une largeur qui ne doit pas être inférieure de plus de 100 mm à l</w:t>
      </w:r>
      <w:r>
        <w:rPr>
          <w:lang w:val="fr-FR"/>
        </w:rPr>
        <w:t>’</w:t>
      </w:r>
      <w:r w:rsidRPr="00543897">
        <w:rPr>
          <w:lang w:val="fr-FR"/>
        </w:rPr>
        <w:t>essieu arrière de part et d</w:t>
      </w:r>
      <w:r>
        <w:rPr>
          <w:lang w:val="fr-FR"/>
        </w:rPr>
        <w:t>’</w:t>
      </w:r>
      <w:r w:rsidRPr="00543897">
        <w:rPr>
          <w:lang w:val="fr-FR"/>
        </w:rPr>
        <w:t>autre (compte non tenu du renflement des pneumatiques au contact du sol).</w:t>
      </w:r>
    </w:p>
    <w:p w:rsidR="004D4CCD" w:rsidRPr="00543897" w:rsidRDefault="004D4CCD" w:rsidP="0070312E">
      <w:pPr>
        <w:pStyle w:val="SingleTxtG"/>
        <w:ind w:left="2268"/>
        <w:rPr>
          <w:lang w:val="fr-FR"/>
        </w:rPr>
      </w:pPr>
      <w:r w:rsidRPr="00543897">
        <w:rPr>
          <w:lang w:val="fr-FR"/>
        </w:rPr>
        <w:t>S</w:t>
      </w:r>
      <w:r>
        <w:rPr>
          <w:lang w:val="fr-FR"/>
        </w:rPr>
        <w:t>’</w:t>
      </w:r>
      <w:r w:rsidRPr="00543897">
        <w:rPr>
          <w:lang w:val="fr-FR"/>
        </w:rPr>
        <w:t>il y a plusieurs essieux arrière, la largeur à prendre en considération est celle de l</w:t>
      </w:r>
      <w:r>
        <w:rPr>
          <w:lang w:val="fr-FR"/>
        </w:rPr>
        <w:t>’</w:t>
      </w:r>
      <w:r w:rsidRPr="00543897">
        <w:rPr>
          <w:lang w:val="fr-FR"/>
        </w:rPr>
        <w:t>essieu le plus large. Les prescriptions des alinéas a) à c) du présent paragraphe doivent au minimum être respectées sur une ligne :</w:t>
      </w:r>
    </w:p>
    <w:p w:rsidR="004D4CCD" w:rsidRPr="00543897" w:rsidRDefault="004D4CCD" w:rsidP="0070312E">
      <w:pPr>
        <w:pStyle w:val="SingleTxtG"/>
        <w:ind w:left="2835" w:hanging="567"/>
        <w:rPr>
          <w:lang w:val="fr-FR"/>
        </w:rPr>
      </w:pPr>
      <w:r w:rsidRPr="00543897">
        <w:rPr>
          <w:lang w:val="fr-FR"/>
        </w:rPr>
        <w:t>a)</w:t>
      </w:r>
      <w:r w:rsidRPr="00543897">
        <w:rPr>
          <w:lang w:val="fr-FR"/>
        </w:rPr>
        <w:tab/>
        <w:t>Située au maximum à 450 mm de l</w:t>
      </w:r>
      <w:r>
        <w:rPr>
          <w:lang w:val="fr-FR"/>
        </w:rPr>
        <w:t>’</w:t>
      </w:r>
      <w:r w:rsidRPr="00543897">
        <w:rPr>
          <w:lang w:val="fr-FR"/>
        </w:rPr>
        <w:t>extrémité arrière du véhicule ;</w:t>
      </w:r>
    </w:p>
    <w:p w:rsidR="004D4CCD" w:rsidRPr="00543897" w:rsidRDefault="004D4CCD" w:rsidP="0070312E">
      <w:pPr>
        <w:pStyle w:val="SingleTxtG"/>
        <w:ind w:left="2835" w:hanging="567"/>
        <w:rPr>
          <w:lang w:val="fr-FR"/>
        </w:rPr>
      </w:pPr>
      <w:r w:rsidRPr="00543897">
        <w:rPr>
          <w:lang w:val="fr-FR"/>
        </w:rPr>
        <w:t>b)</w:t>
      </w:r>
      <w:bookmarkStart w:id="0" w:name="_GoBack"/>
      <w:bookmarkEnd w:id="0"/>
      <w:r w:rsidRPr="00543897">
        <w:rPr>
          <w:lang w:val="fr-FR"/>
        </w:rPr>
        <w:tab/>
        <w:t>Pouvant présenter des interruptions ne dépassant pas au total 200 mm. ».</w:t>
      </w:r>
    </w:p>
    <w:p w:rsidR="004D4CCD" w:rsidRPr="00543897" w:rsidRDefault="004D4CCD" w:rsidP="0070312E">
      <w:pPr>
        <w:pStyle w:val="SingleTxtG"/>
        <w:ind w:left="2268" w:hanging="1134"/>
        <w:rPr>
          <w:i/>
          <w:lang w:val="fr-FR"/>
        </w:rPr>
      </w:pPr>
      <w:r w:rsidRPr="00543897">
        <w:rPr>
          <w:i/>
          <w:lang w:val="fr-FR"/>
        </w:rPr>
        <w:t>Partie II.</w:t>
      </w:r>
      <w:r w:rsidRPr="00543897">
        <w:rPr>
          <w:i/>
          <w:lang w:val="fr-FR"/>
        </w:rPr>
        <w:tab/>
        <w:t>Homologation d</w:t>
      </w:r>
      <w:r>
        <w:rPr>
          <w:i/>
          <w:lang w:val="fr-FR"/>
        </w:rPr>
        <w:t>’</w:t>
      </w:r>
      <w:r w:rsidRPr="00543897">
        <w:rPr>
          <w:i/>
          <w:lang w:val="fr-FR"/>
        </w:rPr>
        <w:t>un véhicule en ce qui concerne le montage d</w:t>
      </w:r>
      <w:r>
        <w:rPr>
          <w:i/>
          <w:lang w:val="fr-FR"/>
        </w:rPr>
        <w:t>’</w:t>
      </w:r>
      <w:r w:rsidRPr="00543897">
        <w:rPr>
          <w:i/>
          <w:lang w:val="fr-FR"/>
        </w:rPr>
        <w:t>un dispositif arrière de protection antiencastrement d</w:t>
      </w:r>
      <w:r>
        <w:rPr>
          <w:i/>
          <w:lang w:val="fr-FR"/>
        </w:rPr>
        <w:t>’</w:t>
      </w:r>
      <w:r w:rsidRPr="00543897">
        <w:rPr>
          <w:i/>
          <w:lang w:val="fr-FR"/>
        </w:rPr>
        <w:t>un type homologué</w:t>
      </w:r>
    </w:p>
    <w:p w:rsidR="004D4CCD" w:rsidRPr="00543897" w:rsidRDefault="004D4CCD" w:rsidP="0070312E">
      <w:pPr>
        <w:pStyle w:val="SingleTxtG"/>
        <w:rPr>
          <w:lang w:val="fr-FR"/>
        </w:rPr>
      </w:pPr>
      <w:r w:rsidRPr="00543897">
        <w:rPr>
          <w:i/>
          <w:lang w:val="fr-FR"/>
        </w:rPr>
        <w:t>Paragraphe 16.1</w:t>
      </w:r>
      <w:r w:rsidRPr="00543897">
        <w:rPr>
          <w:lang w:val="fr-FR"/>
        </w:rPr>
        <w:t>, lire :</w:t>
      </w:r>
    </w:p>
    <w:p w:rsidR="004D4CCD" w:rsidRPr="00543897" w:rsidRDefault="004D4CCD" w:rsidP="0070312E">
      <w:pPr>
        <w:pStyle w:val="SingleTxtG"/>
        <w:spacing w:line="240" w:lineRule="auto"/>
        <w:ind w:left="2268" w:hanging="1134"/>
        <w:rPr>
          <w:lang w:val="fr-FR"/>
        </w:rPr>
      </w:pPr>
      <w:r w:rsidRPr="00543897">
        <w:rPr>
          <w:lang w:val="fr-FR"/>
        </w:rPr>
        <w:t>« 16.1</w:t>
      </w:r>
      <w:r w:rsidRPr="00543897">
        <w:rPr>
          <w:lang w:val="fr-FR"/>
        </w:rPr>
        <w:tab/>
        <w:t>Pour les véhicules des catégories N</w:t>
      </w:r>
      <w:r w:rsidRPr="00543897">
        <w:rPr>
          <w:vertAlign w:val="subscript"/>
          <w:lang w:val="fr-FR"/>
        </w:rPr>
        <w:t>2</w:t>
      </w:r>
      <w:r w:rsidRPr="00543897">
        <w:rPr>
          <w:lang w:val="fr-FR"/>
        </w:rPr>
        <w:t xml:space="preserve"> d</w:t>
      </w:r>
      <w:r>
        <w:rPr>
          <w:lang w:val="fr-FR"/>
        </w:rPr>
        <w:t>’</w:t>
      </w:r>
      <w:r w:rsidRPr="00543897">
        <w:rPr>
          <w:lang w:val="fr-FR"/>
        </w:rPr>
        <w:t>un poids total en charge dépassant 8 t, N</w:t>
      </w:r>
      <w:r w:rsidRPr="00543897">
        <w:rPr>
          <w:vertAlign w:val="subscript"/>
          <w:lang w:val="fr-FR"/>
        </w:rPr>
        <w:t>3</w:t>
      </w:r>
      <w:r w:rsidRPr="00543897">
        <w:rPr>
          <w:lang w:val="fr-FR"/>
        </w:rPr>
        <w:t>, O</w:t>
      </w:r>
      <w:r w:rsidRPr="00543897">
        <w:rPr>
          <w:vertAlign w:val="subscript"/>
          <w:lang w:val="fr-FR"/>
        </w:rPr>
        <w:t>3</w:t>
      </w:r>
      <w:r w:rsidRPr="00543897">
        <w:rPr>
          <w:lang w:val="fr-FR"/>
        </w:rPr>
        <w:t xml:space="preserve"> et O</w:t>
      </w:r>
      <w:r w:rsidRPr="00543897">
        <w:rPr>
          <w:vertAlign w:val="subscript"/>
          <w:lang w:val="fr-FR"/>
        </w:rPr>
        <w:t>4</w:t>
      </w:r>
      <w:r w:rsidRPr="00543897">
        <w:rPr>
          <w:lang w:val="fr-FR"/>
        </w:rPr>
        <w:t>, la garde au sol de la partie inférieure du dispositif de protection, même pour un véhicule à vide, ne doit pas dépasser les valeurs suivantes :</w:t>
      </w:r>
    </w:p>
    <w:p w:rsidR="004D4CCD" w:rsidRPr="00543897" w:rsidRDefault="004D4CCD" w:rsidP="0070312E">
      <w:pPr>
        <w:pStyle w:val="SingleTxtG"/>
        <w:ind w:left="2835" w:hanging="567"/>
        <w:rPr>
          <w:lang w:val="fr-FR"/>
        </w:rPr>
      </w:pPr>
      <w:r w:rsidRPr="00543897">
        <w:rPr>
          <w:lang w:val="fr-FR"/>
        </w:rPr>
        <w:t>a)</w:t>
      </w:r>
      <w:r w:rsidRPr="00543897">
        <w:rPr>
          <w:lang w:val="fr-FR"/>
        </w:rPr>
        <w:tab/>
        <w:t>450 mm pour les véhicules à moteur et les remorques dotés d</w:t>
      </w:r>
      <w:r>
        <w:rPr>
          <w:lang w:val="fr-FR"/>
        </w:rPr>
        <w:t>’</w:t>
      </w:r>
      <w:r w:rsidRPr="00543897">
        <w:rPr>
          <w:lang w:val="fr-FR"/>
        </w:rPr>
        <w:t>une suspension hydropneumatique, hydraulique ou pneumatique ou d</w:t>
      </w:r>
      <w:r>
        <w:rPr>
          <w:lang w:val="fr-FR"/>
        </w:rPr>
        <w:t>’</w:t>
      </w:r>
      <w:r w:rsidRPr="00543897">
        <w:rPr>
          <w:lang w:val="fr-FR"/>
        </w:rPr>
        <w:t>un dispositif de correction automatique d</w:t>
      </w:r>
      <w:r>
        <w:rPr>
          <w:lang w:val="fr-FR"/>
        </w:rPr>
        <w:t>’</w:t>
      </w:r>
      <w:r w:rsidRPr="00543897">
        <w:rPr>
          <w:lang w:val="fr-FR"/>
        </w:rPr>
        <w:t>assiette en fonction de la charge. Dans tous les cas, cette prescription doit être considérée comme satisfaite si l</w:t>
      </w:r>
      <w:r>
        <w:rPr>
          <w:lang w:val="fr-FR"/>
        </w:rPr>
        <w:t>’</w:t>
      </w:r>
      <w:r w:rsidRPr="00543897">
        <w:rPr>
          <w:lang w:val="fr-FR"/>
        </w:rPr>
        <w:t xml:space="preserve">angle de fuite ne dépasse pas 8° selon la norme ISO 612:1978 avec une garde au sol maximale de 550 mm ; </w:t>
      </w:r>
    </w:p>
    <w:p w:rsidR="004D4CCD" w:rsidRPr="00543897" w:rsidRDefault="004D4CCD" w:rsidP="0070312E">
      <w:pPr>
        <w:pStyle w:val="SingleTxtG"/>
        <w:ind w:left="2835" w:hanging="567"/>
        <w:rPr>
          <w:lang w:val="fr-FR"/>
        </w:rPr>
      </w:pPr>
      <w:r w:rsidRPr="00543897">
        <w:rPr>
          <w:lang w:val="fr-FR"/>
        </w:rPr>
        <w:t>b)</w:t>
      </w:r>
      <w:r w:rsidRPr="00543897">
        <w:rPr>
          <w:lang w:val="fr-FR"/>
        </w:rPr>
        <w:tab/>
        <w:t>500 mm pour les véhicules autres que ceux qui sont décrits à l</w:t>
      </w:r>
      <w:r>
        <w:rPr>
          <w:lang w:val="fr-FR"/>
        </w:rPr>
        <w:t>’</w:t>
      </w:r>
      <w:r w:rsidRPr="00543897">
        <w:rPr>
          <w:lang w:val="fr-FR"/>
        </w:rPr>
        <w:t>alinéa a) ci-dessus. Dans tous les cas, cette prescription doit être considérée comme satisfaite si l</w:t>
      </w:r>
      <w:r>
        <w:rPr>
          <w:lang w:val="fr-FR"/>
        </w:rPr>
        <w:t>’</w:t>
      </w:r>
      <w:r w:rsidRPr="00543897">
        <w:rPr>
          <w:lang w:val="fr-FR"/>
        </w:rPr>
        <w:t>angle de fuite ne dépasse pas 8° selon la norme ISO 612:1978 avec une garde au sol maximale de 550 mm.</w:t>
      </w:r>
    </w:p>
    <w:p w:rsidR="004D4CCD" w:rsidRPr="00543897" w:rsidRDefault="004D4CCD" w:rsidP="0070312E">
      <w:pPr>
        <w:pStyle w:val="SingleTxtG"/>
        <w:ind w:left="2268"/>
        <w:rPr>
          <w:lang w:val="fr-FR"/>
        </w:rPr>
      </w:pPr>
      <w:r w:rsidRPr="00543897">
        <w:rPr>
          <w:lang w:val="fr-FR"/>
        </w:rPr>
        <w:tab/>
        <w:t>Cette prescription s</w:t>
      </w:r>
      <w:r>
        <w:rPr>
          <w:lang w:val="fr-FR"/>
        </w:rPr>
        <w:t>’</w:t>
      </w:r>
      <w:r w:rsidRPr="00543897">
        <w:rPr>
          <w:lang w:val="fr-FR"/>
        </w:rPr>
        <w:t>applique sur toute la largeur du véhicule à moteur ou de la remorque et ne doit pas avoir pour effet de placer les points d</w:t>
      </w:r>
      <w:r>
        <w:rPr>
          <w:lang w:val="fr-FR"/>
        </w:rPr>
        <w:t>’</w:t>
      </w:r>
      <w:r w:rsidRPr="00543897">
        <w:rPr>
          <w:lang w:val="fr-FR"/>
        </w:rPr>
        <w:t>application des forces d</w:t>
      </w:r>
      <w:r>
        <w:rPr>
          <w:lang w:val="fr-FR"/>
        </w:rPr>
        <w:t>’</w:t>
      </w:r>
      <w:r w:rsidRPr="00543897">
        <w:rPr>
          <w:lang w:val="fr-FR"/>
        </w:rPr>
        <w:t>essai appliquées au dispositif conformément à la partie I du présent Règlement et indiquées dans la fiche de communication de l</w:t>
      </w:r>
      <w:r>
        <w:rPr>
          <w:lang w:val="fr-FR"/>
        </w:rPr>
        <w:t>’</w:t>
      </w:r>
      <w:r w:rsidRPr="00543897">
        <w:rPr>
          <w:lang w:val="fr-FR"/>
        </w:rPr>
        <w:t>homologation (point 7 de l</w:t>
      </w:r>
      <w:r>
        <w:rPr>
          <w:lang w:val="fr-FR"/>
        </w:rPr>
        <w:t>’</w:t>
      </w:r>
      <w:r w:rsidRPr="00543897">
        <w:rPr>
          <w:lang w:val="fr-FR"/>
        </w:rPr>
        <w:t>annexe 1) à une hauteur dépassant les valeurs indiquées aux alinéas a) et b) ci-dessus, augmentées de la moitié de la hauteur de section minimale prescrite pour la traverse du dispositif arrière de protection antiencastrement.</w:t>
      </w:r>
    </w:p>
    <w:p w:rsidR="004D4CCD" w:rsidRPr="00543897" w:rsidRDefault="004D4CCD" w:rsidP="0070312E">
      <w:pPr>
        <w:pStyle w:val="SingleTxtG"/>
        <w:ind w:left="2268"/>
        <w:rPr>
          <w:i/>
          <w:lang w:val="fr-FR"/>
        </w:rPr>
      </w:pPr>
      <w:r w:rsidRPr="00543897">
        <w:rPr>
          <w:lang w:val="fr-FR"/>
        </w:rPr>
        <w:t>La hauteur prescrite pour l</w:t>
      </w:r>
      <w:r>
        <w:rPr>
          <w:lang w:val="fr-FR"/>
        </w:rPr>
        <w:t>’</w:t>
      </w:r>
      <w:r w:rsidRPr="00543897">
        <w:rPr>
          <w:lang w:val="fr-FR"/>
        </w:rPr>
        <w:t>application des forces d</w:t>
      </w:r>
      <w:r>
        <w:rPr>
          <w:lang w:val="fr-FR"/>
        </w:rPr>
        <w:t>’</w:t>
      </w:r>
      <w:r w:rsidRPr="00543897">
        <w:rPr>
          <w:lang w:val="fr-FR"/>
        </w:rPr>
        <w:t>essai doit être adaptée à la garde au sol réglée en application des prescriptions ci-dessus relatives à l</w:t>
      </w:r>
      <w:r>
        <w:rPr>
          <w:lang w:val="fr-FR"/>
        </w:rPr>
        <w:t>’</w:t>
      </w:r>
      <w:r w:rsidRPr="00543897">
        <w:rPr>
          <w:lang w:val="fr-FR"/>
        </w:rPr>
        <w:t>angle de fuite. ».</w:t>
      </w:r>
    </w:p>
    <w:p w:rsidR="004D4CCD" w:rsidRPr="00543897" w:rsidRDefault="004D4CCD" w:rsidP="0070312E">
      <w:pPr>
        <w:pStyle w:val="SingleTxtG"/>
        <w:ind w:left="2268" w:hanging="1134"/>
        <w:rPr>
          <w:i/>
          <w:lang w:val="fr-FR"/>
        </w:rPr>
      </w:pPr>
      <w:r w:rsidRPr="00543897">
        <w:rPr>
          <w:i/>
          <w:lang w:val="fr-FR"/>
        </w:rPr>
        <w:t>Partie III.</w:t>
      </w:r>
      <w:r w:rsidRPr="00543897">
        <w:rPr>
          <w:i/>
          <w:lang w:val="fr-FR"/>
        </w:rPr>
        <w:tab/>
        <w:t>Homologation d</w:t>
      </w:r>
      <w:r>
        <w:rPr>
          <w:i/>
          <w:lang w:val="fr-FR"/>
        </w:rPr>
        <w:t>’</w:t>
      </w:r>
      <w:r w:rsidRPr="00543897">
        <w:rPr>
          <w:i/>
          <w:lang w:val="fr-FR"/>
        </w:rPr>
        <w:t>un véhicule en ce qui concerne sa protection contre l</w:t>
      </w:r>
      <w:r>
        <w:rPr>
          <w:i/>
          <w:lang w:val="fr-FR"/>
        </w:rPr>
        <w:t>’</w:t>
      </w:r>
      <w:r w:rsidRPr="00543897">
        <w:rPr>
          <w:i/>
          <w:lang w:val="fr-FR"/>
        </w:rPr>
        <w:t>encastrement à l</w:t>
      </w:r>
      <w:r>
        <w:rPr>
          <w:i/>
          <w:lang w:val="fr-FR"/>
        </w:rPr>
        <w:t>’</w:t>
      </w:r>
      <w:r w:rsidRPr="00543897">
        <w:rPr>
          <w:i/>
          <w:lang w:val="fr-FR"/>
        </w:rPr>
        <w:t>arrière</w:t>
      </w:r>
    </w:p>
    <w:p w:rsidR="004D4CCD" w:rsidRPr="00543897" w:rsidRDefault="004D4CCD" w:rsidP="0070312E">
      <w:pPr>
        <w:pStyle w:val="SingleTxtG"/>
        <w:rPr>
          <w:lang w:val="fr-FR"/>
        </w:rPr>
      </w:pPr>
      <w:r w:rsidRPr="00543897">
        <w:rPr>
          <w:i/>
          <w:lang w:val="fr-FR"/>
        </w:rPr>
        <w:t>Paragraphe 25.1</w:t>
      </w:r>
      <w:r w:rsidRPr="00543897">
        <w:rPr>
          <w:lang w:val="fr-FR"/>
        </w:rPr>
        <w:t>, lire :</w:t>
      </w:r>
    </w:p>
    <w:p w:rsidR="004D4CCD" w:rsidRPr="00543897" w:rsidRDefault="004D4CCD" w:rsidP="004D4CCD">
      <w:pPr>
        <w:pStyle w:val="SingleTxtG"/>
        <w:spacing w:after="240" w:line="240" w:lineRule="auto"/>
        <w:ind w:left="2268" w:hanging="1134"/>
        <w:rPr>
          <w:lang w:val="fr-FR"/>
        </w:rPr>
      </w:pPr>
      <w:r w:rsidRPr="00543897">
        <w:rPr>
          <w:lang w:val="fr-FR"/>
        </w:rPr>
        <w:t>« 25.1</w:t>
      </w:r>
      <w:r w:rsidRPr="00543897">
        <w:rPr>
          <w:lang w:val="fr-FR"/>
        </w:rPr>
        <w:tab/>
        <w:t>Pour les véhicules des catégories N</w:t>
      </w:r>
      <w:r w:rsidRPr="00543897">
        <w:rPr>
          <w:vertAlign w:val="subscript"/>
          <w:lang w:val="fr-FR"/>
        </w:rPr>
        <w:t>2</w:t>
      </w:r>
      <w:r w:rsidRPr="00543897">
        <w:rPr>
          <w:lang w:val="fr-FR"/>
        </w:rPr>
        <w:t xml:space="preserve"> d</w:t>
      </w:r>
      <w:r>
        <w:rPr>
          <w:lang w:val="fr-FR"/>
        </w:rPr>
        <w:t>’</w:t>
      </w:r>
      <w:r w:rsidRPr="00543897">
        <w:rPr>
          <w:lang w:val="fr-FR"/>
        </w:rPr>
        <w:t>un poids total en charge dépassant 8 t, N</w:t>
      </w:r>
      <w:r w:rsidRPr="00543897">
        <w:rPr>
          <w:vertAlign w:val="subscript"/>
          <w:lang w:val="fr-FR"/>
        </w:rPr>
        <w:t>3</w:t>
      </w:r>
      <w:r w:rsidRPr="00543897">
        <w:rPr>
          <w:lang w:val="fr-FR"/>
        </w:rPr>
        <w:t>, O</w:t>
      </w:r>
      <w:r w:rsidRPr="00543897">
        <w:rPr>
          <w:vertAlign w:val="subscript"/>
          <w:lang w:val="fr-FR"/>
        </w:rPr>
        <w:t>3</w:t>
      </w:r>
      <w:r w:rsidRPr="00543897">
        <w:rPr>
          <w:lang w:val="fr-FR"/>
        </w:rPr>
        <w:t xml:space="preserve"> et O</w:t>
      </w:r>
      <w:r w:rsidRPr="00543897">
        <w:rPr>
          <w:vertAlign w:val="subscript"/>
          <w:lang w:val="fr-FR"/>
        </w:rPr>
        <w:t>4</w:t>
      </w:r>
      <w:r w:rsidRPr="00543897">
        <w:rPr>
          <w:lang w:val="fr-FR"/>
        </w:rPr>
        <w:t>, la garde au sol de la partie inférieure du dispositif de protection contre l</w:t>
      </w:r>
      <w:r>
        <w:rPr>
          <w:lang w:val="fr-FR"/>
        </w:rPr>
        <w:t>’</w:t>
      </w:r>
      <w:r w:rsidRPr="00543897">
        <w:rPr>
          <w:lang w:val="fr-FR"/>
        </w:rPr>
        <w:t>encastrement à l</w:t>
      </w:r>
      <w:r>
        <w:rPr>
          <w:lang w:val="fr-FR"/>
        </w:rPr>
        <w:t>’</w:t>
      </w:r>
      <w:r w:rsidRPr="00543897">
        <w:rPr>
          <w:lang w:val="fr-FR"/>
        </w:rPr>
        <w:t>arrière, même pour un véhicule à vide, ne doit pas dépasser les valeurs suivantes :</w:t>
      </w:r>
    </w:p>
    <w:p w:rsidR="004D4CCD" w:rsidRPr="00543897" w:rsidRDefault="004D4CCD" w:rsidP="0070312E">
      <w:pPr>
        <w:pStyle w:val="SingleTxtG"/>
        <w:ind w:left="2835" w:hanging="567"/>
        <w:rPr>
          <w:lang w:val="fr-FR"/>
        </w:rPr>
      </w:pPr>
      <w:r w:rsidRPr="00543897">
        <w:rPr>
          <w:lang w:val="fr-FR"/>
        </w:rPr>
        <w:lastRenderedPageBreak/>
        <w:t>a)</w:t>
      </w:r>
      <w:r w:rsidRPr="00543897">
        <w:rPr>
          <w:lang w:val="fr-FR"/>
        </w:rPr>
        <w:tab/>
        <w:t>450 mm pour les véhicules à moteur et les remorques dotés d</w:t>
      </w:r>
      <w:r>
        <w:rPr>
          <w:lang w:val="fr-FR"/>
        </w:rPr>
        <w:t>’</w:t>
      </w:r>
      <w:r w:rsidRPr="00543897">
        <w:rPr>
          <w:lang w:val="fr-FR"/>
        </w:rPr>
        <w:t>une suspension hydropneumatique, hydraulique ou pneumatique ou d</w:t>
      </w:r>
      <w:r>
        <w:rPr>
          <w:lang w:val="fr-FR"/>
        </w:rPr>
        <w:t>’</w:t>
      </w:r>
      <w:r w:rsidRPr="00543897">
        <w:rPr>
          <w:lang w:val="fr-FR"/>
        </w:rPr>
        <w:t>un dispositif de correction automatique d</w:t>
      </w:r>
      <w:r>
        <w:rPr>
          <w:lang w:val="fr-FR"/>
        </w:rPr>
        <w:t>’</w:t>
      </w:r>
      <w:r w:rsidRPr="00543897">
        <w:rPr>
          <w:lang w:val="fr-FR"/>
        </w:rPr>
        <w:t>assiette en fonction de la charge. Dans tous les cas, cette prescription doit être considérée comme satisfaite si l</w:t>
      </w:r>
      <w:r>
        <w:rPr>
          <w:lang w:val="fr-FR"/>
        </w:rPr>
        <w:t>’</w:t>
      </w:r>
      <w:r w:rsidRPr="00543897">
        <w:rPr>
          <w:lang w:val="fr-FR"/>
        </w:rPr>
        <w:t>angle de fuite ne dépasse pas 8° selon la norme ISO 612:1978 avec une garde au sol maximale de 550 mm ;</w:t>
      </w:r>
    </w:p>
    <w:p w:rsidR="004D4CCD" w:rsidRPr="00543897" w:rsidRDefault="004D4CCD" w:rsidP="0070312E">
      <w:pPr>
        <w:pStyle w:val="SingleTxtG"/>
        <w:ind w:left="2835" w:hanging="567"/>
        <w:rPr>
          <w:lang w:val="fr-FR"/>
        </w:rPr>
      </w:pPr>
      <w:r w:rsidRPr="00543897">
        <w:rPr>
          <w:lang w:val="fr-FR"/>
        </w:rPr>
        <w:t>b)</w:t>
      </w:r>
      <w:r w:rsidRPr="00543897">
        <w:rPr>
          <w:lang w:val="fr-FR"/>
        </w:rPr>
        <w:tab/>
        <w:t>500 mm pour les véhicules autres que ceux qui sont décrits à l</w:t>
      </w:r>
      <w:r>
        <w:rPr>
          <w:lang w:val="fr-FR"/>
        </w:rPr>
        <w:t>’</w:t>
      </w:r>
      <w:r w:rsidRPr="00543897">
        <w:rPr>
          <w:lang w:val="fr-FR"/>
        </w:rPr>
        <w:t>alinéa a) ci-dessus. Dans tous les cas, cette prescription doit être considérée comme satisfaite si l</w:t>
      </w:r>
      <w:r>
        <w:rPr>
          <w:lang w:val="fr-FR"/>
        </w:rPr>
        <w:t>’</w:t>
      </w:r>
      <w:r w:rsidRPr="00543897">
        <w:rPr>
          <w:lang w:val="fr-FR"/>
        </w:rPr>
        <w:t>angle de fuite ne dépasse pas 8° selon la norme ISO 612:1978 avec une garde au sol maximale de 550 mm.</w:t>
      </w:r>
    </w:p>
    <w:p w:rsidR="004D4CCD" w:rsidRPr="00543897" w:rsidRDefault="004D4CCD" w:rsidP="0070312E">
      <w:pPr>
        <w:pStyle w:val="SingleTxtG"/>
        <w:ind w:left="2268"/>
        <w:rPr>
          <w:lang w:val="fr-FR"/>
        </w:rPr>
      </w:pPr>
      <w:r w:rsidRPr="00543897">
        <w:rPr>
          <w:lang w:val="fr-FR"/>
        </w:rPr>
        <w:tab/>
        <w:t>Cette prescription s</w:t>
      </w:r>
      <w:r>
        <w:rPr>
          <w:lang w:val="fr-FR"/>
        </w:rPr>
        <w:t>’</w:t>
      </w:r>
      <w:r w:rsidRPr="00543897">
        <w:rPr>
          <w:lang w:val="fr-FR"/>
        </w:rPr>
        <w:t>applique sur toute la largeur du véhicule à moteur ou de la remorque et ne doit pas avoir pour effet de placer les points d</w:t>
      </w:r>
      <w:r>
        <w:rPr>
          <w:lang w:val="fr-FR"/>
        </w:rPr>
        <w:t>’</w:t>
      </w:r>
      <w:r w:rsidRPr="00543897">
        <w:rPr>
          <w:lang w:val="fr-FR"/>
        </w:rPr>
        <w:t>application des forces d</w:t>
      </w:r>
      <w:r>
        <w:rPr>
          <w:lang w:val="fr-FR"/>
        </w:rPr>
        <w:t>’</w:t>
      </w:r>
      <w:r w:rsidRPr="00543897">
        <w:rPr>
          <w:lang w:val="fr-FR"/>
        </w:rPr>
        <w:t>essai appliquées au dispositif conformément à la partie I du présent Règlement et consignées dans la fiche de communication de l</w:t>
      </w:r>
      <w:r>
        <w:rPr>
          <w:lang w:val="fr-FR"/>
        </w:rPr>
        <w:t>’</w:t>
      </w:r>
      <w:r w:rsidRPr="00543897">
        <w:rPr>
          <w:lang w:val="fr-FR"/>
        </w:rPr>
        <w:t>homologation (point 7 de l</w:t>
      </w:r>
      <w:r>
        <w:rPr>
          <w:lang w:val="fr-FR"/>
        </w:rPr>
        <w:t>’</w:t>
      </w:r>
      <w:r w:rsidRPr="00543897">
        <w:rPr>
          <w:lang w:val="fr-FR"/>
        </w:rPr>
        <w:t>annexe 1) à une hauteur dépassant les valeurs indiquées aux alinéas a) et b) ci-dessus, augmentées de la moitié de la hauteur de section minimale prescrite pour la traverse du dispositif arrière de protection antiencastrement.</w:t>
      </w:r>
    </w:p>
    <w:p w:rsidR="004D4CCD" w:rsidRPr="00543897" w:rsidRDefault="004D4CCD" w:rsidP="0070312E">
      <w:pPr>
        <w:pStyle w:val="SingleTxtG"/>
        <w:ind w:left="2268"/>
        <w:rPr>
          <w:lang w:val="fr-FR"/>
        </w:rPr>
      </w:pPr>
      <w:r w:rsidRPr="00543897">
        <w:rPr>
          <w:lang w:val="fr-FR"/>
        </w:rPr>
        <w:t>La hauteur prescrite pour l</w:t>
      </w:r>
      <w:r>
        <w:rPr>
          <w:lang w:val="fr-FR"/>
        </w:rPr>
        <w:t>’</w:t>
      </w:r>
      <w:r w:rsidRPr="00543897">
        <w:rPr>
          <w:lang w:val="fr-FR"/>
        </w:rPr>
        <w:t>application des forces d</w:t>
      </w:r>
      <w:r>
        <w:rPr>
          <w:lang w:val="fr-FR"/>
        </w:rPr>
        <w:t>’</w:t>
      </w:r>
      <w:r w:rsidRPr="00543897">
        <w:rPr>
          <w:lang w:val="fr-FR"/>
        </w:rPr>
        <w:t>essai doit être adaptée à la garde au sol réglée en application des prescriptions ci-dessus relatives à l</w:t>
      </w:r>
      <w:r>
        <w:rPr>
          <w:lang w:val="fr-FR"/>
        </w:rPr>
        <w:t>’</w:t>
      </w:r>
      <w:r w:rsidRPr="00543897">
        <w:rPr>
          <w:lang w:val="fr-FR"/>
        </w:rPr>
        <w:t>angle de fuite. ».</w:t>
      </w:r>
    </w:p>
    <w:p w:rsidR="004D4CCD" w:rsidRPr="00543897" w:rsidRDefault="004D4CCD" w:rsidP="0070312E">
      <w:pPr>
        <w:pStyle w:val="SingleTxtG"/>
        <w:rPr>
          <w:lang w:val="fr-FR"/>
        </w:rPr>
      </w:pPr>
      <w:r w:rsidRPr="00543897">
        <w:rPr>
          <w:i/>
          <w:lang w:val="fr-FR"/>
        </w:rPr>
        <w:t xml:space="preserve">Annexe 7, </w:t>
      </w:r>
      <w:r w:rsidRPr="00543897">
        <w:rPr>
          <w:i/>
          <w:iCs/>
          <w:lang w:val="fr-FR"/>
        </w:rPr>
        <w:t>tableau</w:t>
      </w:r>
      <w:r w:rsidRPr="00543897">
        <w:rPr>
          <w:lang w:val="fr-FR"/>
        </w:rPr>
        <w:t>, lire :</w:t>
      </w:r>
    </w:p>
    <w:p w:rsidR="004D4CCD" w:rsidRPr="00543897" w:rsidRDefault="004D4CCD" w:rsidP="0070312E">
      <w:pPr>
        <w:pStyle w:val="SingleTxtG"/>
        <w:rPr>
          <w:lang w:val="fr-FR"/>
        </w:rPr>
      </w:pPr>
      <w:r w:rsidRPr="00543897">
        <w:rPr>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61"/>
        <w:gridCol w:w="1061"/>
        <w:gridCol w:w="1134"/>
        <w:gridCol w:w="1682"/>
        <w:gridCol w:w="1432"/>
      </w:tblGrid>
      <w:tr w:rsidR="004D4CCD" w:rsidRPr="00543897" w:rsidTr="0070312E">
        <w:trPr>
          <w:trHeight w:val="355"/>
          <w:tblHeader/>
        </w:trPr>
        <w:tc>
          <w:tcPr>
            <w:tcW w:w="2061" w:type="dxa"/>
            <w:vMerge w:val="restart"/>
            <w:shd w:val="clear" w:color="auto" w:fill="auto"/>
            <w:vAlign w:val="bottom"/>
          </w:tcPr>
          <w:p w:rsidR="004D4CCD" w:rsidRPr="00543897" w:rsidRDefault="004D4CCD" w:rsidP="0070312E">
            <w:pPr>
              <w:spacing w:before="40" w:after="40" w:line="240" w:lineRule="auto"/>
              <w:ind w:left="57" w:right="57"/>
              <w:rPr>
                <w:i/>
                <w:sz w:val="16"/>
                <w:szCs w:val="16"/>
                <w:lang w:val="fr-FR"/>
              </w:rPr>
            </w:pPr>
            <w:r w:rsidRPr="00543897">
              <w:rPr>
                <w:i/>
                <w:iCs/>
                <w:sz w:val="16"/>
                <w:szCs w:val="16"/>
                <w:lang w:val="fr-FR"/>
              </w:rPr>
              <w:t xml:space="preserve">Catégorie ou type </w:t>
            </w:r>
            <w:r w:rsidRPr="00543897">
              <w:rPr>
                <w:i/>
                <w:iCs/>
                <w:sz w:val="16"/>
                <w:szCs w:val="16"/>
                <w:lang w:val="fr-FR"/>
              </w:rPr>
              <w:br/>
              <w:t>de véhicule</w:t>
            </w:r>
          </w:p>
        </w:tc>
        <w:tc>
          <w:tcPr>
            <w:tcW w:w="3877" w:type="dxa"/>
            <w:gridSpan w:val="3"/>
            <w:shd w:val="clear" w:color="auto" w:fill="auto"/>
            <w:vAlign w:val="bottom"/>
          </w:tcPr>
          <w:p w:rsidR="004D4CCD" w:rsidRPr="00543897" w:rsidRDefault="004D4CCD" w:rsidP="0070312E">
            <w:pPr>
              <w:spacing w:before="40" w:after="40" w:line="240" w:lineRule="auto"/>
              <w:ind w:left="57" w:right="57"/>
              <w:jc w:val="center"/>
              <w:rPr>
                <w:i/>
                <w:sz w:val="16"/>
                <w:szCs w:val="16"/>
                <w:lang w:val="fr-FR"/>
              </w:rPr>
            </w:pPr>
            <w:r w:rsidRPr="00543897">
              <w:rPr>
                <w:i/>
                <w:iCs/>
                <w:sz w:val="16"/>
                <w:szCs w:val="16"/>
                <w:lang w:val="fr-FR"/>
              </w:rPr>
              <w:t>Géométrie visée au paragraphe</w:t>
            </w:r>
          </w:p>
        </w:tc>
        <w:tc>
          <w:tcPr>
            <w:tcW w:w="1432" w:type="dxa"/>
            <w:vMerge w:val="restart"/>
            <w:shd w:val="clear" w:color="auto" w:fill="auto"/>
            <w:vAlign w:val="bottom"/>
          </w:tcPr>
          <w:p w:rsidR="004D4CCD" w:rsidRPr="00543897" w:rsidRDefault="004D4CCD" w:rsidP="0070312E">
            <w:pPr>
              <w:spacing w:before="40" w:after="40" w:line="240" w:lineRule="auto"/>
              <w:ind w:left="57" w:right="57"/>
              <w:jc w:val="right"/>
              <w:rPr>
                <w:i/>
                <w:sz w:val="16"/>
                <w:szCs w:val="16"/>
                <w:lang w:val="fr-FR"/>
              </w:rPr>
            </w:pPr>
            <w:r w:rsidRPr="00543897">
              <w:rPr>
                <w:i/>
                <w:iCs/>
                <w:sz w:val="16"/>
                <w:szCs w:val="16"/>
                <w:lang w:val="fr-FR"/>
              </w:rPr>
              <w:t>Force d</w:t>
            </w:r>
            <w:r>
              <w:rPr>
                <w:i/>
                <w:iCs/>
                <w:sz w:val="16"/>
                <w:szCs w:val="16"/>
                <w:lang w:val="fr-FR"/>
              </w:rPr>
              <w:t>’</w:t>
            </w:r>
            <w:r w:rsidRPr="00543897">
              <w:rPr>
                <w:i/>
                <w:iCs/>
                <w:sz w:val="16"/>
                <w:szCs w:val="16"/>
                <w:lang w:val="fr-FR"/>
              </w:rPr>
              <w:t xml:space="preserve">essai mentionnée </w:t>
            </w:r>
            <w:r w:rsidRPr="00543897">
              <w:rPr>
                <w:i/>
                <w:iCs/>
                <w:sz w:val="16"/>
                <w:szCs w:val="16"/>
                <w:lang w:val="fr-FR"/>
              </w:rPr>
              <w:br/>
              <w:t>au paragraphe</w:t>
            </w:r>
          </w:p>
        </w:tc>
      </w:tr>
      <w:tr w:rsidR="004D4CCD" w:rsidRPr="00543897" w:rsidTr="0070312E">
        <w:trPr>
          <w:tblHeader/>
        </w:trPr>
        <w:tc>
          <w:tcPr>
            <w:tcW w:w="2061" w:type="dxa"/>
            <w:vMerge/>
            <w:shd w:val="clear" w:color="auto" w:fill="auto"/>
            <w:vAlign w:val="bottom"/>
          </w:tcPr>
          <w:p w:rsidR="004D4CCD" w:rsidRPr="00543897" w:rsidRDefault="004D4CCD" w:rsidP="0070312E">
            <w:pPr>
              <w:spacing w:before="40" w:after="40" w:line="240" w:lineRule="auto"/>
              <w:ind w:left="57" w:right="57"/>
              <w:rPr>
                <w:i/>
                <w:sz w:val="16"/>
                <w:szCs w:val="16"/>
                <w:lang w:val="fr-FR"/>
              </w:rPr>
            </w:pPr>
          </w:p>
        </w:tc>
        <w:tc>
          <w:tcPr>
            <w:tcW w:w="1061" w:type="dxa"/>
            <w:shd w:val="clear" w:color="auto" w:fill="auto"/>
            <w:vAlign w:val="bottom"/>
          </w:tcPr>
          <w:p w:rsidR="004D4CCD" w:rsidRPr="00543897" w:rsidRDefault="004D4CCD" w:rsidP="0070312E">
            <w:pPr>
              <w:spacing w:before="40" w:after="40" w:line="240" w:lineRule="auto"/>
              <w:ind w:left="57" w:right="57"/>
              <w:jc w:val="right"/>
              <w:rPr>
                <w:i/>
                <w:sz w:val="16"/>
                <w:szCs w:val="16"/>
                <w:lang w:val="fr-FR"/>
              </w:rPr>
            </w:pPr>
            <w:r w:rsidRPr="00543897">
              <w:rPr>
                <w:i/>
                <w:iCs/>
                <w:sz w:val="16"/>
                <w:szCs w:val="16"/>
                <w:lang w:val="fr-FR"/>
              </w:rPr>
              <w:t xml:space="preserve">Hauteur </w:t>
            </w:r>
            <w:r w:rsidRPr="00543897">
              <w:rPr>
                <w:i/>
                <w:iCs/>
                <w:sz w:val="16"/>
                <w:szCs w:val="16"/>
                <w:lang w:val="fr-FR"/>
              </w:rPr>
              <w:br/>
              <w:t>de section</w:t>
            </w:r>
          </w:p>
        </w:tc>
        <w:tc>
          <w:tcPr>
            <w:tcW w:w="1134" w:type="dxa"/>
            <w:shd w:val="clear" w:color="auto" w:fill="auto"/>
            <w:vAlign w:val="bottom"/>
          </w:tcPr>
          <w:p w:rsidR="004D4CCD" w:rsidRPr="00543897" w:rsidRDefault="004D4CCD" w:rsidP="0070312E">
            <w:pPr>
              <w:spacing w:before="40" w:after="40" w:line="240" w:lineRule="auto"/>
              <w:ind w:left="57" w:right="57"/>
              <w:jc w:val="right"/>
              <w:rPr>
                <w:i/>
                <w:sz w:val="16"/>
                <w:szCs w:val="16"/>
                <w:lang w:val="fr-FR"/>
              </w:rPr>
            </w:pPr>
            <w:r w:rsidRPr="00543897">
              <w:rPr>
                <w:i/>
                <w:iCs/>
                <w:sz w:val="16"/>
                <w:szCs w:val="16"/>
                <w:lang w:val="fr-FR"/>
              </w:rPr>
              <w:t>Garde au sol avant l</w:t>
            </w:r>
            <w:r>
              <w:rPr>
                <w:i/>
                <w:iCs/>
                <w:sz w:val="16"/>
                <w:szCs w:val="16"/>
                <w:lang w:val="fr-FR"/>
              </w:rPr>
              <w:t>’</w:t>
            </w:r>
            <w:r w:rsidRPr="00543897">
              <w:rPr>
                <w:i/>
                <w:iCs/>
                <w:sz w:val="16"/>
                <w:szCs w:val="16"/>
                <w:lang w:val="fr-FR"/>
              </w:rPr>
              <w:t>essai</w:t>
            </w:r>
          </w:p>
        </w:tc>
        <w:tc>
          <w:tcPr>
            <w:tcW w:w="1682" w:type="dxa"/>
            <w:shd w:val="clear" w:color="auto" w:fill="auto"/>
            <w:vAlign w:val="bottom"/>
          </w:tcPr>
          <w:p w:rsidR="004D4CCD" w:rsidRPr="00543897" w:rsidRDefault="004D4CCD" w:rsidP="0070312E">
            <w:pPr>
              <w:spacing w:before="40" w:after="40" w:line="240" w:lineRule="auto"/>
              <w:ind w:left="57" w:right="57"/>
              <w:jc w:val="right"/>
              <w:rPr>
                <w:i/>
                <w:sz w:val="16"/>
                <w:szCs w:val="16"/>
                <w:lang w:val="fr-FR"/>
              </w:rPr>
            </w:pPr>
            <w:r w:rsidRPr="00543897">
              <w:rPr>
                <w:i/>
                <w:iCs/>
                <w:sz w:val="16"/>
                <w:szCs w:val="16"/>
                <w:lang w:val="fr-FR"/>
              </w:rPr>
              <w:t>Distance horizontale entre l</w:t>
            </w:r>
            <w:r>
              <w:rPr>
                <w:i/>
                <w:iCs/>
                <w:sz w:val="16"/>
                <w:szCs w:val="16"/>
                <w:lang w:val="fr-FR"/>
              </w:rPr>
              <w:t>’</w:t>
            </w:r>
            <w:r w:rsidRPr="00543897">
              <w:rPr>
                <w:i/>
                <w:iCs/>
                <w:sz w:val="16"/>
                <w:szCs w:val="16"/>
                <w:lang w:val="fr-FR"/>
              </w:rPr>
              <w:t xml:space="preserve">arrière </w:t>
            </w:r>
            <w:r w:rsidRPr="00543897">
              <w:rPr>
                <w:i/>
                <w:iCs/>
                <w:sz w:val="16"/>
                <w:szCs w:val="16"/>
                <w:lang w:val="fr-FR"/>
              </w:rPr>
              <w:br/>
              <w:t xml:space="preserve">du dispositif arrière </w:t>
            </w:r>
            <w:r w:rsidRPr="00543897">
              <w:rPr>
                <w:i/>
                <w:iCs/>
                <w:sz w:val="16"/>
                <w:szCs w:val="16"/>
                <w:lang w:val="fr-FR"/>
              </w:rPr>
              <w:br/>
              <w:t>de protection antiencastrement et l</w:t>
            </w:r>
            <w:r>
              <w:rPr>
                <w:i/>
                <w:iCs/>
                <w:sz w:val="16"/>
                <w:szCs w:val="16"/>
                <w:lang w:val="fr-FR"/>
              </w:rPr>
              <w:t>’</w:t>
            </w:r>
            <w:r w:rsidRPr="00543897">
              <w:rPr>
                <w:i/>
                <w:iCs/>
                <w:sz w:val="16"/>
                <w:szCs w:val="16"/>
                <w:lang w:val="fr-FR"/>
              </w:rPr>
              <w:t>arrière du véhicule</w:t>
            </w:r>
          </w:p>
        </w:tc>
        <w:tc>
          <w:tcPr>
            <w:tcW w:w="1432" w:type="dxa"/>
            <w:vMerge/>
            <w:shd w:val="clear" w:color="auto" w:fill="auto"/>
            <w:vAlign w:val="bottom"/>
          </w:tcPr>
          <w:p w:rsidR="004D4CCD" w:rsidRPr="00543897" w:rsidRDefault="004D4CCD" w:rsidP="0070312E">
            <w:pPr>
              <w:spacing w:before="40" w:after="40" w:line="240" w:lineRule="auto"/>
              <w:ind w:left="57" w:right="57"/>
              <w:rPr>
                <w:i/>
                <w:sz w:val="16"/>
                <w:szCs w:val="16"/>
                <w:lang w:val="fr-FR"/>
              </w:rPr>
            </w:pPr>
          </w:p>
        </w:tc>
      </w:tr>
      <w:tr w:rsidR="004D4CCD" w:rsidRPr="00543897" w:rsidTr="0070312E">
        <w:tc>
          <w:tcPr>
            <w:tcW w:w="2061" w:type="dxa"/>
            <w:shd w:val="clear" w:color="auto" w:fill="auto"/>
          </w:tcPr>
          <w:p w:rsidR="004D4CCD" w:rsidRPr="00543897" w:rsidRDefault="004D4CCD" w:rsidP="0070312E">
            <w:pPr>
              <w:spacing w:before="40" w:after="40" w:line="240" w:lineRule="auto"/>
              <w:ind w:left="57" w:right="57"/>
              <w:rPr>
                <w:sz w:val="18"/>
                <w:szCs w:val="18"/>
                <w:lang w:val="fr-FR"/>
              </w:rPr>
            </w:pPr>
            <w:r w:rsidRPr="00543897">
              <w:rPr>
                <w:sz w:val="18"/>
                <w:lang w:val="fr-FR"/>
              </w:rPr>
              <w:t xml:space="preserve">M, </w:t>
            </w:r>
            <w:r w:rsidRPr="00543897">
              <w:rPr>
                <w:bCs/>
                <w:sz w:val="18"/>
                <w:lang w:val="fr-FR"/>
              </w:rPr>
              <w:t>MG</w:t>
            </w:r>
            <w:r w:rsidRPr="00543897">
              <w:rPr>
                <w:sz w:val="18"/>
                <w:lang w:val="fr-FR"/>
              </w:rPr>
              <w:t>, N</w:t>
            </w:r>
            <w:r w:rsidRPr="00543897">
              <w:rPr>
                <w:sz w:val="18"/>
                <w:vertAlign w:val="subscript"/>
                <w:lang w:val="fr-FR"/>
              </w:rPr>
              <w:t>1</w:t>
            </w:r>
            <w:r w:rsidRPr="00543897">
              <w:rPr>
                <w:sz w:val="18"/>
                <w:lang w:val="fr-FR"/>
              </w:rPr>
              <w:t xml:space="preserve">, </w:t>
            </w:r>
            <w:r w:rsidRPr="00543897">
              <w:rPr>
                <w:bCs/>
                <w:sz w:val="18"/>
                <w:lang w:val="fr-FR"/>
              </w:rPr>
              <w:t>N</w:t>
            </w:r>
            <w:r w:rsidRPr="00543897">
              <w:rPr>
                <w:bCs/>
                <w:sz w:val="18"/>
                <w:vertAlign w:val="subscript"/>
                <w:lang w:val="fr-FR"/>
              </w:rPr>
              <w:t>1</w:t>
            </w:r>
            <w:r w:rsidRPr="00543897">
              <w:rPr>
                <w:bCs/>
                <w:sz w:val="18"/>
                <w:lang w:val="fr-FR"/>
              </w:rPr>
              <w:t>G</w:t>
            </w:r>
            <w:r w:rsidRPr="00543897">
              <w:rPr>
                <w:sz w:val="18"/>
                <w:lang w:val="fr-FR"/>
              </w:rPr>
              <w:t>,</w:t>
            </w:r>
            <w:r w:rsidRPr="00543897">
              <w:rPr>
                <w:bCs/>
                <w:sz w:val="18"/>
                <w:lang w:val="fr-FR"/>
              </w:rPr>
              <w:t xml:space="preserve"> N</w:t>
            </w:r>
            <w:r w:rsidRPr="00543897">
              <w:rPr>
                <w:bCs/>
                <w:sz w:val="18"/>
                <w:vertAlign w:val="subscript"/>
                <w:lang w:val="fr-FR"/>
              </w:rPr>
              <w:t>2</w:t>
            </w:r>
            <w:r w:rsidRPr="00543897">
              <w:rPr>
                <w:bCs/>
                <w:sz w:val="18"/>
                <w:lang w:val="fr-FR"/>
              </w:rPr>
              <w:t xml:space="preserve"> avec un PTC* </w:t>
            </w:r>
            <w:r w:rsidRPr="00543897">
              <w:rPr>
                <w:sz w:val="18"/>
                <w:lang w:val="fr-FR"/>
              </w:rPr>
              <w:t xml:space="preserve">&lt;8 t, </w:t>
            </w:r>
            <w:r w:rsidRPr="00543897">
              <w:rPr>
                <w:bCs/>
                <w:sz w:val="18"/>
                <w:lang w:val="fr-FR"/>
              </w:rPr>
              <w:t>N</w:t>
            </w:r>
            <w:r w:rsidRPr="00543897">
              <w:rPr>
                <w:bCs/>
                <w:sz w:val="18"/>
                <w:vertAlign w:val="subscript"/>
                <w:lang w:val="fr-FR"/>
              </w:rPr>
              <w:t>2</w:t>
            </w:r>
            <w:r w:rsidRPr="00543897">
              <w:rPr>
                <w:bCs/>
                <w:sz w:val="18"/>
                <w:lang w:val="fr-FR"/>
              </w:rPr>
              <w:t xml:space="preserve">G avec un PTC* &lt;8 t, </w:t>
            </w:r>
            <w:r w:rsidRPr="00543897">
              <w:rPr>
                <w:sz w:val="18"/>
                <w:lang w:val="fr-FR"/>
              </w:rPr>
              <w:t>O</w:t>
            </w:r>
            <w:r w:rsidRPr="00543897">
              <w:rPr>
                <w:sz w:val="18"/>
                <w:vertAlign w:val="subscript"/>
                <w:lang w:val="fr-FR"/>
              </w:rPr>
              <w:t>1</w:t>
            </w:r>
            <w:r w:rsidRPr="00543897">
              <w:rPr>
                <w:sz w:val="18"/>
                <w:lang w:val="fr-FR"/>
              </w:rPr>
              <w:t>, O</w:t>
            </w:r>
            <w:r w:rsidRPr="00543897">
              <w:rPr>
                <w:sz w:val="18"/>
                <w:vertAlign w:val="subscript"/>
                <w:lang w:val="fr-FR"/>
              </w:rPr>
              <w:t>2</w:t>
            </w:r>
            <w:r w:rsidRPr="00543897">
              <w:rPr>
                <w:strike/>
                <w:sz w:val="18"/>
                <w:lang w:val="fr-FR"/>
              </w:rPr>
              <w:t xml:space="preserve"> </w:t>
            </w:r>
          </w:p>
        </w:tc>
        <w:tc>
          <w:tcPr>
            <w:tcW w:w="1061"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2.3/</w:t>
            </w:r>
            <w:r w:rsidRPr="00543897">
              <w:rPr>
                <w:strike/>
                <w:sz w:val="18"/>
                <w:szCs w:val="18"/>
                <w:lang w:val="fr-FR"/>
              </w:rPr>
              <w:br/>
            </w:r>
            <w:r w:rsidRPr="00543897">
              <w:rPr>
                <w:sz w:val="18"/>
                <w:szCs w:val="18"/>
                <w:lang w:val="fr-FR"/>
              </w:rPr>
              <w:t>7.1/25.5</w:t>
            </w:r>
          </w:p>
        </w:tc>
        <w:tc>
          <w:tcPr>
            <w:tcW w:w="1134"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2.3/2.4/</w:t>
            </w:r>
            <w:r w:rsidRPr="00543897">
              <w:rPr>
                <w:sz w:val="18"/>
                <w:szCs w:val="18"/>
                <w:lang w:val="fr-FR"/>
              </w:rPr>
              <w:br/>
              <w:t>16.2/25.2</w:t>
            </w:r>
          </w:p>
        </w:tc>
        <w:tc>
          <w:tcPr>
            <w:tcW w:w="1682"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2.3/</w:t>
            </w:r>
            <w:r w:rsidRPr="00543897">
              <w:rPr>
                <w:strike/>
                <w:sz w:val="18"/>
                <w:szCs w:val="18"/>
                <w:lang w:val="fr-FR"/>
              </w:rPr>
              <w:br/>
            </w:r>
            <w:r w:rsidRPr="00543897">
              <w:rPr>
                <w:sz w:val="18"/>
                <w:szCs w:val="18"/>
                <w:lang w:val="fr-FR"/>
              </w:rPr>
              <w:t>16.4/25.3</w:t>
            </w:r>
          </w:p>
        </w:tc>
        <w:tc>
          <w:tcPr>
            <w:tcW w:w="1432"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2.3/</w:t>
            </w:r>
            <w:r w:rsidRPr="00543897">
              <w:rPr>
                <w:sz w:val="18"/>
                <w:szCs w:val="18"/>
                <w:lang w:val="fr-FR"/>
              </w:rPr>
              <w:br/>
              <w:t>A5/3.1.1 à 3.1.2</w:t>
            </w:r>
          </w:p>
        </w:tc>
      </w:tr>
      <w:tr w:rsidR="004D4CCD" w:rsidRPr="00543897" w:rsidTr="0070312E">
        <w:tc>
          <w:tcPr>
            <w:tcW w:w="2061" w:type="dxa"/>
            <w:shd w:val="clear" w:color="auto" w:fill="auto"/>
          </w:tcPr>
          <w:p w:rsidR="004D4CCD" w:rsidRPr="00543897" w:rsidRDefault="004D4CCD" w:rsidP="0070312E">
            <w:pPr>
              <w:spacing w:before="40" w:after="40" w:line="240" w:lineRule="auto"/>
              <w:ind w:left="57" w:right="57"/>
              <w:rPr>
                <w:sz w:val="18"/>
                <w:szCs w:val="18"/>
                <w:lang w:val="fr-FR"/>
              </w:rPr>
            </w:pPr>
            <w:r w:rsidRPr="00543897">
              <w:rPr>
                <w:sz w:val="18"/>
                <w:lang w:val="fr-FR"/>
              </w:rPr>
              <w:t>N</w:t>
            </w:r>
            <w:r w:rsidRPr="00543897">
              <w:rPr>
                <w:sz w:val="18"/>
                <w:vertAlign w:val="subscript"/>
                <w:lang w:val="fr-FR"/>
              </w:rPr>
              <w:t>2</w:t>
            </w:r>
            <w:r w:rsidRPr="00543897">
              <w:rPr>
                <w:sz w:val="18"/>
                <w:lang w:val="fr-FR"/>
              </w:rPr>
              <w:t xml:space="preserve"> avec un PTC* &gt;8 t</w:t>
            </w:r>
            <w:r w:rsidRPr="00543897">
              <w:rPr>
                <w:bCs/>
                <w:sz w:val="18"/>
                <w:lang w:val="fr-FR"/>
              </w:rPr>
              <w:t>, N</w:t>
            </w:r>
            <w:r w:rsidRPr="00543897">
              <w:rPr>
                <w:bCs/>
                <w:sz w:val="18"/>
                <w:vertAlign w:val="subscript"/>
                <w:lang w:val="fr-FR"/>
              </w:rPr>
              <w:t>2</w:t>
            </w:r>
            <w:r w:rsidRPr="00543897">
              <w:rPr>
                <w:bCs/>
                <w:sz w:val="18"/>
                <w:lang w:val="fr-FR"/>
              </w:rPr>
              <w:t>G avec un PTC* &gt;8 t,</w:t>
            </w:r>
            <w:r w:rsidRPr="00543897">
              <w:rPr>
                <w:sz w:val="18"/>
                <w:lang w:val="fr-FR"/>
              </w:rPr>
              <w:t xml:space="preserve"> N</w:t>
            </w:r>
            <w:r w:rsidRPr="00543897">
              <w:rPr>
                <w:sz w:val="18"/>
                <w:vertAlign w:val="subscript"/>
                <w:lang w:val="fr-FR"/>
              </w:rPr>
              <w:t>3</w:t>
            </w:r>
            <w:r w:rsidRPr="00543897">
              <w:rPr>
                <w:bCs/>
                <w:sz w:val="18"/>
                <w:lang w:val="fr-FR"/>
              </w:rPr>
              <w:t>, N</w:t>
            </w:r>
            <w:r w:rsidRPr="00543897">
              <w:rPr>
                <w:bCs/>
                <w:sz w:val="18"/>
                <w:vertAlign w:val="subscript"/>
                <w:lang w:val="fr-FR"/>
              </w:rPr>
              <w:t>3</w:t>
            </w:r>
            <w:r w:rsidRPr="00543897">
              <w:rPr>
                <w:bCs/>
                <w:sz w:val="18"/>
                <w:lang w:val="fr-FR"/>
              </w:rPr>
              <w:t>G</w:t>
            </w:r>
          </w:p>
        </w:tc>
        <w:tc>
          <w:tcPr>
            <w:tcW w:w="1061"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7.1 ou 25.5</w:t>
            </w:r>
          </w:p>
        </w:tc>
        <w:tc>
          <w:tcPr>
            <w:tcW w:w="1134"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2.4/</w:t>
            </w:r>
            <w:r w:rsidRPr="00543897">
              <w:rPr>
                <w:sz w:val="18"/>
                <w:szCs w:val="18"/>
                <w:lang w:val="fr-FR"/>
              </w:rPr>
              <w:br/>
              <w:t>16.1 ou 25.1</w:t>
            </w:r>
          </w:p>
        </w:tc>
        <w:tc>
          <w:tcPr>
            <w:tcW w:w="1682"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16.4 ou 25.3</w:t>
            </w:r>
          </w:p>
        </w:tc>
        <w:tc>
          <w:tcPr>
            <w:tcW w:w="1432"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A5/3.1.1 à 3.1.2</w:t>
            </w:r>
          </w:p>
        </w:tc>
      </w:tr>
      <w:tr w:rsidR="004D4CCD" w:rsidRPr="00543897" w:rsidTr="0070312E">
        <w:tc>
          <w:tcPr>
            <w:tcW w:w="2061" w:type="dxa"/>
            <w:shd w:val="clear" w:color="auto" w:fill="auto"/>
          </w:tcPr>
          <w:p w:rsidR="004D4CCD" w:rsidRPr="00543897" w:rsidRDefault="004D4CCD" w:rsidP="0070312E">
            <w:pPr>
              <w:spacing w:before="40" w:after="40" w:line="240" w:lineRule="auto"/>
              <w:ind w:left="57" w:right="57"/>
              <w:rPr>
                <w:sz w:val="18"/>
                <w:szCs w:val="18"/>
                <w:lang w:val="fr-FR"/>
              </w:rPr>
            </w:pPr>
            <w:r w:rsidRPr="00543897">
              <w:rPr>
                <w:sz w:val="18"/>
                <w:szCs w:val="18"/>
                <w:lang w:val="fr-FR"/>
              </w:rPr>
              <w:t>O</w:t>
            </w:r>
            <w:r w:rsidRPr="00543897">
              <w:rPr>
                <w:sz w:val="18"/>
                <w:szCs w:val="18"/>
                <w:vertAlign w:val="subscript"/>
                <w:lang w:val="fr-FR"/>
              </w:rPr>
              <w:t>3</w:t>
            </w:r>
            <w:r w:rsidRPr="00543897">
              <w:rPr>
                <w:sz w:val="18"/>
                <w:szCs w:val="18"/>
                <w:lang w:val="fr-FR"/>
              </w:rPr>
              <w:t>, O</w:t>
            </w:r>
            <w:r w:rsidRPr="00543897">
              <w:rPr>
                <w:sz w:val="18"/>
                <w:szCs w:val="18"/>
                <w:vertAlign w:val="subscript"/>
                <w:lang w:val="fr-FR"/>
              </w:rPr>
              <w:t>4</w:t>
            </w:r>
          </w:p>
        </w:tc>
        <w:tc>
          <w:tcPr>
            <w:tcW w:w="1061"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7.1 ou 25.5</w:t>
            </w:r>
          </w:p>
        </w:tc>
        <w:tc>
          <w:tcPr>
            <w:tcW w:w="1134"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16.1/16.2 ou 25.1/25.2</w:t>
            </w:r>
          </w:p>
        </w:tc>
        <w:tc>
          <w:tcPr>
            <w:tcW w:w="1682"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16.4 ou 25.3</w:t>
            </w:r>
          </w:p>
        </w:tc>
        <w:tc>
          <w:tcPr>
            <w:tcW w:w="1432"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A5/3.1.1 à 3.1.2</w:t>
            </w:r>
          </w:p>
        </w:tc>
      </w:tr>
      <w:tr w:rsidR="004D4CCD" w:rsidRPr="00543897" w:rsidTr="0070312E">
        <w:tc>
          <w:tcPr>
            <w:tcW w:w="2061" w:type="dxa"/>
            <w:shd w:val="clear" w:color="auto" w:fill="auto"/>
          </w:tcPr>
          <w:p w:rsidR="004D4CCD" w:rsidRPr="00543897" w:rsidRDefault="004D4CCD" w:rsidP="0070312E">
            <w:pPr>
              <w:spacing w:before="40" w:after="40" w:line="240" w:lineRule="auto"/>
              <w:ind w:left="57" w:right="57"/>
              <w:rPr>
                <w:sz w:val="18"/>
                <w:szCs w:val="18"/>
                <w:lang w:val="fr-FR"/>
              </w:rPr>
            </w:pPr>
            <w:r w:rsidRPr="00543897">
              <w:rPr>
                <w:sz w:val="18"/>
                <w:szCs w:val="18"/>
                <w:lang w:val="fr-FR"/>
              </w:rPr>
              <w:t>Véhicules spéciaux (voir annexe 6)</w:t>
            </w:r>
          </w:p>
        </w:tc>
        <w:tc>
          <w:tcPr>
            <w:tcW w:w="1061"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7.1 ou 25.5</w:t>
            </w:r>
          </w:p>
        </w:tc>
        <w:tc>
          <w:tcPr>
            <w:tcW w:w="1134"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16.1/16.2 ou 25.1/25.2</w:t>
            </w:r>
          </w:p>
        </w:tc>
        <w:tc>
          <w:tcPr>
            <w:tcW w:w="1682"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16.4 ou 25.3</w:t>
            </w:r>
          </w:p>
        </w:tc>
        <w:tc>
          <w:tcPr>
            <w:tcW w:w="1432" w:type="dxa"/>
            <w:shd w:val="clear" w:color="auto" w:fill="auto"/>
            <w:vAlign w:val="bottom"/>
          </w:tcPr>
          <w:p w:rsidR="004D4CCD" w:rsidRPr="00543897" w:rsidRDefault="004D4CCD" w:rsidP="0070312E">
            <w:pPr>
              <w:spacing w:before="40" w:after="40" w:line="240" w:lineRule="auto"/>
              <w:ind w:left="57" w:right="57"/>
              <w:jc w:val="right"/>
              <w:rPr>
                <w:sz w:val="18"/>
                <w:szCs w:val="18"/>
                <w:lang w:val="fr-FR"/>
              </w:rPr>
            </w:pPr>
            <w:r w:rsidRPr="00543897">
              <w:rPr>
                <w:sz w:val="18"/>
                <w:szCs w:val="18"/>
                <w:lang w:val="fr-FR"/>
              </w:rPr>
              <w:t>A5/3.1.3</w:t>
            </w:r>
          </w:p>
        </w:tc>
      </w:tr>
    </w:tbl>
    <w:p w:rsidR="004D4CCD" w:rsidRPr="00543897" w:rsidRDefault="004D4CCD" w:rsidP="0070312E">
      <w:pPr>
        <w:spacing w:before="120"/>
        <w:ind w:left="1134" w:right="1134" w:firstLine="170"/>
        <w:rPr>
          <w:i/>
          <w:sz w:val="18"/>
          <w:szCs w:val="18"/>
          <w:lang w:val="fr-FR"/>
        </w:rPr>
      </w:pPr>
      <w:r w:rsidRPr="00543897">
        <w:rPr>
          <w:sz w:val="18"/>
          <w:szCs w:val="18"/>
          <w:lang w:val="fr-FR"/>
        </w:rPr>
        <w:t>* PTC = poids total en charge.</w:t>
      </w:r>
    </w:p>
    <w:p w:rsidR="004D4CCD" w:rsidRPr="00543897" w:rsidRDefault="004D4CCD" w:rsidP="0070312E">
      <w:pPr>
        <w:spacing w:after="240"/>
        <w:ind w:left="1134" w:right="1134" w:firstLine="170"/>
        <w:rPr>
          <w:lang w:val="fr-FR"/>
        </w:rPr>
      </w:pPr>
      <w:r w:rsidRPr="00543897">
        <w:rPr>
          <w:i/>
          <w:sz w:val="18"/>
          <w:szCs w:val="18"/>
          <w:lang w:val="fr-FR"/>
        </w:rPr>
        <w:t>Note</w:t>
      </w:r>
      <w:r w:rsidRPr="00543897">
        <w:rPr>
          <w:sz w:val="18"/>
          <w:szCs w:val="18"/>
          <w:lang w:val="fr-FR"/>
        </w:rPr>
        <w:t> : Une référence comme par exemple A5/3.1.1 dans le tableau renvoie à l</w:t>
      </w:r>
      <w:r>
        <w:rPr>
          <w:sz w:val="18"/>
          <w:szCs w:val="18"/>
          <w:lang w:val="fr-FR"/>
        </w:rPr>
        <w:t>’</w:t>
      </w:r>
      <w:r w:rsidRPr="00543897">
        <w:rPr>
          <w:sz w:val="18"/>
          <w:szCs w:val="18"/>
          <w:lang w:val="fr-FR"/>
        </w:rPr>
        <w:t>annexe (annexe 5) et au paragraphe (3.1.1) de cette annexe, où le véhicule en question est décrit ou la prescription énoncée. Une référence comme par exemple 2.3 dans le tableau renvoie au paragraphe (2.3) du présent Règlement dans lequel la prescription pertinente est énoncée. </w:t>
      </w:r>
      <w:r w:rsidRPr="00543897">
        <w:rPr>
          <w:lang w:val="fr-FR"/>
        </w:rPr>
        <w:t>».</w:t>
      </w:r>
    </w:p>
    <w:p w:rsidR="004D4CCD" w:rsidRPr="004D4CCD" w:rsidRDefault="004D4CCD" w:rsidP="004D4CC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D4CCD" w:rsidRPr="004D4CCD" w:rsidSect="004D4C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BB0" w:rsidRDefault="00A52BB0"/>
  </w:endnote>
  <w:endnote w:type="continuationSeparator" w:id="0">
    <w:p w:rsidR="00A52BB0" w:rsidRDefault="00A52BB0">
      <w:pPr>
        <w:pStyle w:val="Pieddepage"/>
      </w:pPr>
    </w:p>
  </w:endnote>
  <w:endnote w:type="continuationNotice" w:id="1">
    <w:p w:rsidR="00A52BB0" w:rsidRPr="00C451B9" w:rsidRDefault="00A52BB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CD" w:rsidRPr="004D4CCD" w:rsidRDefault="004D4CCD" w:rsidP="004D4CCD">
    <w:pPr>
      <w:pStyle w:val="Pieddepage"/>
      <w:tabs>
        <w:tab w:val="right" w:pos="9638"/>
      </w:tabs>
    </w:pPr>
    <w:r w:rsidRPr="004D4CCD">
      <w:rPr>
        <w:b/>
        <w:sz w:val="18"/>
      </w:rPr>
      <w:fldChar w:fldCharType="begin"/>
    </w:r>
    <w:r w:rsidRPr="004D4CCD">
      <w:rPr>
        <w:b/>
        <w:sz w:val="18"/>
      </w:rPr>
      <w:instrText xml:space="preserve"> PAGE  \* MERGEFORMAT </w:instrText>
    </w:r>
    <w:r w:rsidRPr="004D4CCD">
      <w:rPr>
        <w:b/>
        <w:sz w:val="18"/>
      </w:rPr>
      <w:fldChar w:fldCharType="separate"/>
    </w:r>
    <w:r w:rsidRPr="004D4CCD">
      <w:rPr>
        <w:b/>
        <w:noProof/>
        <w:sz w:val="18"/>
      </w:rPr>
      <w:t>2</w:t>
    </w:r>
    <w:r w:rsidRPr="004D4CCD">
      <w:rPr>
        <w:b/>
        <w:sz w:val="18"/>
      </w:rPr>
      <w:fldChar w:fldCharType="end"/>
    </w:r>
    <w:r>
      <w:rPr>
        <w:b/>
        <w:sz w:val="18"/>
      </w:rPr>
      <w:tab/>
    </w:r>
    <w:r>
      <w:t>GE.20-08734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CD" w:rsidRPr="004D4CCD" w:rsidRDefault="004D4CCD" w:rsidP="004D4CCD">
    <w:pPr>
      <w:pStyle w:val="Pieddepage"/>
      <w:tabs>
        <w:tab w:val="right" w:pos="9638"/>
      </w:tabs>
      <w:rPr>
        <w:b/>
        <w:sz w:val="18"/>
      </w:rPr>
    </w:pPr>
    <w:r>
      <w:t>GE.20-08734</w:t>
    </w:r>
    <w:r>
      <w:tab/>
    </w:r>
    <w:r w:rsidRPr="004D4CCD">
      <w:rPr>
        <w:b/>
        <w:sz w:val="18"/>
      </w:rPr>
      <w:fldChar w:fldCharType="begin"/>
    </w:r>
    <w:r w:rsidRPr="004D4CCD">
      <w:rPr>
        <w:b/>
        <w:sz w:val="18"/>
      </w:rPr>
      <w:instrText xml:space="preserve"> PAGE  \* MERGEFORMAT </w:instrText>
    </w:r>
    <w:r w:rsidRPr="004D4CCD">
      <w:rPr>
        <w:b/>
        <w:sz w:val="18"/>
      </w:rPr>
      <w:fldChar w:fldCharType="separate"/>
    </w:r>
    <w:r w:rsidRPr="004D4CCD">
      <w:rPr>
        <w:b/>
        <w:noProof/>
        <w:sz w:val="18"/>
      </w:rPr>
      <w:t>3</w:t>
    </w:r>
    <w:r w:rsidRPr="004D4C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4D4CCD" w:rsidRDefault="004D4CCD" w:rsidP="004D4CCD">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20-08734  (F)    181120    181120</w:t>
    </w:r>
    <w:r>
      <w:rPr>
        <w:sz w:val="20"/>
      </w:rPr>
      <w:br/>
    </w:r>
    <w:r w:rsidRPr="004D4CCD">
      <w:rPr>
        <w:rFonts w:ascii="C39T30Lfz" w:hAnsi="C39T30Lfz"/>
        <w:sz w:val="56"/>
      </w:rPr>
      <w:t>*2008734*</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BB0" w:rsidRPr="00D27D5E" w:rsidRDefault="00A52BB0" w:rsidP="00D27D5E">
      <w:pPr>
        <w:tabs>
          <w:tab w:val="right" w:pos="2155"/>
        </w:tabs>
        <w:spacing w:after="80"/>
        <w:ind w:left="680"/>
        <w:rPr>
          <w:u w:val="single"/>
        </w:rPr>
      </w:pPr>
      <w:r>
        <w:rPr>
          <w:u w:val="single"/>
        </w:rPr>
        <w:tab/>
      </w:r>
    </w:p>
  </w:footnote>
  <w:footnote w:type="continuationSeparator" w:id="0">
    <w:p w:rsidR="00A52BB0" w:rsidRPr="00D171D4" w:rsidRDefault="00A52BB0" w:rsidP="00D171D4">
      <w:pPr>
        <w:tabs>
          <w:tab w:val="right" w:pos="2155"/>
        </w:tabs>
        <w:spacing w:after="80"/>
        <w:ind w:left="680"/>
        <w:rPr>
          <w:u w:val="single"/>
        </w:rPr>
      </w:pPr>
      <w:r w:rsidRPr="00D171D4">
        <w:rPr>
          <w:u w:val="single"/>
        </w:rPr>
        <w:tab/>
      </w:r>
    </w:p>
  </w:footnote>
  <w:footnote w:type="continuationNotice" w:id="1">
    <w:p w:rsidR="00A52BB0" w:rsidRPr="00C451B9" w:rsidRDefault="00A52BB0" w:rsidP="00C451B9">
      <w:pPr>
        <w:spacing w:line="240" w:lineRule="auto"/>
        <w:rPr>
          <w:sz w:val="2"/>
          <w:szCs w:val="2"/>
        </w:rPr>
      </w:pPr>
    </w:p>
  </w:footnote>
  <w:footnote w:id="2">
    <w:p w:rsidR="004D4CCD" w:rsidRPr="001E0342" w:rsidRDefault="004D4CCD" w:rsidP="004D4CCD">
      <w:pPr>
        <w:pStyle w:val="Notedebasdepage"/>
        <w:spacing w:line="200" w:lineRule="exact"/>
      </w:pPr>
      <w:r>
        <w:rPr>
          <w:lang w:val="fr-FR"/>
        </w:rPr>
        <w:tab/>
      </w:r>
      <w:r w:rsidRPr="004D4CCD">
        <w:rPr>
          <w:sz w:val="20"/>
          <w:lang w:val="fr-FR"/>
        </w:rPr>
        <w:t>*</w:t>
      </w:r>
      <w:r>
        <w:rPr>
          <w:lang w:val="fr-FR"/>
        </w:rPr>
        <w:tab/>
        <w:t>Anciens titres de l’Accord</w:t>
      </w:r>
      <w:r w:rsidR="0070312E">
        <w:rPr>
          <w:lang w:val="fr-FR"/>
        </w:rPr>
        <w:t> </w:t>
      </w:r>
      <w:r>
        <w:rPr>
          <w:lang w:val="fr-FR"/>
        </w:rPr>
        <w:t>:</w:t>
      </w:r>
    </w:p>
    <w:p w:rsidR="004D4CCD" w:rsidRPr="001E0342" w:rsidRDefault="004D4CCD" w:rsidP="004D4CCD">
      <w:pPr>
        <w:pStyle w:val="Notedebasdepage"/>
        <w:spacing w:line="200" w:lineRule="exact"/>
        <w:rPr>
          <w:sz w:val="20"/>
        </w:rPr>
      </w:pPr>
      <w:r>
        <w:rPr>
          <w:lang w:val="fr-FR"/>
        </w:rPr>
        <w:tab/>
      </w:r>
      <w:r>
        <w:rPr>
          <w:lang w:val="fr-FR"/>
        </w:rPr>
        <w:tab/>
        <w:t>Accord concernant l’adoption de conditions uniformes d’homologation et la reconnaissance réciproque de l’homologation des équipements et pièces de véhicules à moteur, en date, à Genève, du 20 mars 1958 (version originale) ;</w:t>
      </w:r>
    </w:p>
    <w:p w:rsidR="004D4CCD" w:rsidRDefault="004D4CCD" w:rsidP="004D4CCD">
      <w:pPr>
        <w:pStyle w:val="Notedebasdepage"/>
        <w:spacing w:line="200" w:lineRule="exact"/>
      </w:pPr>
      <w:r>
        <w:rPr>
          <w:lang w:val="fr-FR"/>
        </w:rPr>
        <w:tab/>
      </w:r>
      <w:r>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CD" w:rsidRPr="004D4CCD" w:rsidRDefault="004D4CCD">
    <w:pPr>
      <w:pStyle w:val="En-tte"/>
      <w:rPr>
        <w:lang w:val="en-US"/>
      </w:rPr>
    </w:pPr>
    <w:r>
      <w:fldChar w:fldCharType="begin"/>
    </w:r>
    <w:r w:rsidRPr="004D4CCD">
      <w:rPr>
        <w:lang w:val="en-US"/>
      </w:rPr>
      <w:instrText xml:space="preserve"> TITLE  \* MERGEFORMAT </w:instrText>
    </w:r>
    <w:r>
      <w:fldChar w:fldCharType="separate"/>
    </w:r>
    <w:r w:rsidRPr="004D4CCD">
      <w:rPr>
        <w:lang w:val="en-US"/>
      </w:rPr>
      <w:t>E/ECE/324/Rev.1/Add.57/Rev.3/Amend.1</w:t>
    </w:r>
    <w:r>
      <w:fldChar w:fldCharType="end"/>
    </w:r>
    <w:r w:rsidRPr="004D4CCD">
      <w:rPr>
        <w:lang w:val="en-US"/>
      </w:rPr>
      <w:br/>
    </w:r>
    <w:r>
      <w:fldChar w:fldCharType="begin"/>
    </w:r>
    <w:r w:rsidRPr="004D4CCD">
      <w:rPr>
        <w:lang w:val="en-US"/>
      </w:rPr>
      <w:instrText xml:space="preserve"> KEYWORDS  \* MERGEFORMAT </w:instrText>
    </w:r>
    <w:r>
      <w:fldChar w:fldCharType="separate"/>
    </w:r>
    <w:r w:rsidRPr="004D4CCD">
      <w:rPr>
        <w:lang w:val="en-US"/>
      </w:rPr>
      <w:t>E/ECE/TRANS/505/Rev.1/Add.57/Rev.3/Amend.1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CD" w:rsidRPr="004D4CCD" w:rsidRDefault="004D4CCD" w:rsidP="004D4CCD">
    <w:pPr>
      <w:pStyle w:val="En-tte"/>
      <w:jc w:val="right"/>
      <w:rPr>
        <w:lang w:val="en-US"/>
      </w:rPr>
    </w:pPr>
    <w:r>
      <w:fldChar w:fldCharType="begin"/>
    </w:r>
    <w:r w:rsidRPr="004D4CCD">
      <w:rPr>
        <w:lang w:val="en-US"/>
      </w:rPr>
      <w:instrText xml:space="preserve"> TITLE  \* MERGEFORMAT </w:instrText>
    </w:r>
    <w:r>
      <w:fldChar w:fldCharType="separate"/>
    </w:r>
    <w:r w:rsidRPr="004D4CCD">
      <w:rPr>
        <w:lang w:val="en-US"/>
      </w:rPr>
      <w:t>E/ECE/324/Rev.1/Add.57/Rev.3/Amend.1</w:t>
    </w:r>
    <w:r>
      <w:fldChar w:fldCharType="end"/>
    </w:r>
    <w:r w:rsidRPr="004D4CCD">
      <w:rPr>
        <w:lang w:val="en-US"/>
      </w:rPr>
      <w:br/>
    </w:r>
    <w:r>
      <w:fldChar w:fldCharType="begin"/>
    </w:r>
    <w:r w:rsidRPr="004D4CCD">
      <w:rPr>
        <w:lang w:val="en-US"/>
      </w:rPr>
      <w:instrText xml:space="preserve"> KEYWORDS  \* MERGEFORMAT </w:instrText>
    </w:r>
    <w:r>
      <w:fldChar w:fldCharType="separate"/>
    </w:r>
    <w:r w:rsidRPr="004D4CCD">
      <w:rPr>
        <w:lang w:val="en-US"/>
      </w:rPr>
      <w:t>E/ECE/TRANS/505/Rev.1/Add.57/Rev.3/Amend.1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2BB0"/>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D4CCD"/>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12E"/>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368AA"/>
    <w:rsid w:val="00A45E90"/>
    <w:rsid w:val="00A4770F"/>
    <w:rsid w:val="00A50D6B"/>
    <w:rsid w:val="00A51050"/>
    <w:rsid w:val="00A52BB0"/>
    <w:rsid w:val="00A56945"/>
    <w:rsid w:val="00A57027"/>
    <w:rsid w:val="00A5750C"/>
    <w:rsid w:val="00A72C35"/>
    <w:rsid w:val="00A752BB"/>
    <w:rsid w:val="00A81F93"/>
    <w:rsid w:val="00A9247E"/>
    <w:rsid w:val="00AA0DCA"/>
    <w:rsid w:val="00AA7796"/>
    <w:rsid w:val="00AC4A40"/>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645AC41"/>
  <w15:docId w15:val="{BBDDDA97-2503-4653-AC51-3AB61CD1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D5EB0-998C-4ED1-AF74-D063D85013D6}"/>
</file>

<file path=customXml/itemProps2.xml><?xml version="1.0" encoding="utf-8"?>
<ds:datastoreItem xmlns:ds="http://schemas.openxmlformats.org/officeDocument/2006/customXml" ds:itemID="{D1233CC7-E137-4DCD-B1E8-391883D4D5AF}"/>
</file>

<file path=customXml/itemProps3.xml><?xml version="1.0" encoding="utf-8"?>
<ds:datastoreItem xmlns:ds="http://schemas.openxmlformats.org/officeDocument/2006/customXml" ds:itemID="{49083548-5BF4-4082-A40A-529FE0685CDC}"/>
</file>

<file path=docProps/app.xml><?xml version="1.0" encoding="utf-8"?>
<Properties xmlns="http://schemas.openxmlformats.org/officeDocument/2006/extended-properties" xmlns:vt="http://schemas.openxmlformats.org/officeDocument/2006/docPropsVTypes">
  <Template>E_ECE_324.dotm</Template>
  <TotalTime>0</TotalTime>
  <Pages>3</Pages>
  <Words>909</Words>
  <Characters>5911</Characters>
  <Application>Microsoft Office Word</Application>
  <DocSecurity>0</DocSecurity>
  <Lines>591</Lines>
  <Paragraphs>401</Paragraphs>
  <ScaleCrop>false</ScaleCrop>
  <HeadingPairs>
    <vt:vector size="2" baseType="variant">
      <vt:variant>
        <vt:lpstr>Titre</vt:lpstr>
      </vt:variant>
      <vt:variant>
        <vt:i4>1</vt:i4>
      </vt:variant>
    </vt:vector>
  </HeadingPairs>
  <TitlesOfParts>
    <vt:vector size="1" baseType="lpstr">
      <vt:lpstr>E/ECE/324/Rev.1/Add.57/Rev.3/Amend.1</vt:lpstr>
    </vt:vector>
  </TitlesOfParts>
  <Company>CSD</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E/ECE/324/Rev.1/Add.57/Rev.3/Amend.1</dc:title>
  <dc:creator>Sandrine CLERE</dc:creator>
  <cp:keywords>E/ECE/TRANS/505/Rev.1/Add.57/Rev.3/Amend.1</cp:keywords>
  <cp:lastModifiedBy>Sandrine CLERE</cp:lastModifiedBy>
  <cp:revision>2</cp:revision>
  <cp:lastPrinted>2008-11-04T15:54:00Z</cp:lastPrinted>
  <dcterms:created xsi:type="dcterms:W3CDTF">2020-11-18T07:58:00Z</dcterms:created>
  <dcterms:modified xsi:type="dcterms:W3CDTF">2020-11-18T07:58:00Z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