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3C3936" w:rsidRPr="00DF193A">
        <w:trPr>
          <w:cantSplit/>
          <w:trHeight w:hRule="exact" w:val="284"/>
        </w:trPr>
        <w:tc>
          <w:tcPr>
            <w:tcW w:w="1276" w:type="dxa"/>
            <w:vAlign w:val="bottom"/>
          </w:tcPr>
          <w:p w:rsidR="003C3936" w:rsidRPr="00DF193A" w:rsidRDefault="003C3936" w:rsidP="003C3936">
            <w:pPr>
              <w:rPr>
                <w:lang w:val="en-GB"/>
              </w:rPr>
            </w:pPr>
          </w:p>
        </w:tc>
        <w:tc>
          <w:tcPr>
            <w:tcW w:w="2268" w:type="dxa"/>
            <w:vAlign w:val="bottom"/>
          </w:tcPr>
          <w:p w:rsidR="003C3936" w:rsidRPr="00DF193A" w:rsidRDefault="003C3936" w:rsidP="003C393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DF193A" w:rsidRDefault="003C3936" w:rsidP="003C3936">
            <w:pPr>
              <w:jc w:val="right"/>
              <w:rPr>
                <w:lang w:val="en-GB"/>
              </w:rPr>
            </w:pPr>
          </w:p>
        </w:tc>
      </w:tr>
      <w:tr w:rsidR="003C3936" w:rsidRPr="006F5D95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:rsidR="003C3936" w:rsidRPr="00DF193A" w:rsidRDefault="003C3936" w:rsidP="00755C5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3C3936" w:rsidRPr="00DF193A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9C602B" w:rsidRPr="00DF193A" w:rsidRDefault="009C602B" w:rsidP="009C602B">
            <w:pPr>
              <w:pStyle w:val="HChG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Corrigendum</w:t>
            </w:r>
          </w:p>
          <w:p w:rsidR="009C602B" w:rsidRPr="00DF193A" w:rsidRDefault="00755C54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Ref. Sales No. E.</w:t>
            </w:r>
            <w:r w:rsidR="00D40EE9">
              <w:rPr>
                <w:sz w:val="20"/>
                <w:lang w:val="en-GB"/>
              </w:rPr>
              <w:t>18</w:t>
            </w:r>
            <w:r w:rsidR="004A0CC1" w:rsidRPr="00DF193A">
              <w:rPr>
                <w:sz w:val="20"/>
                <w:lang w:val="en-GB"/>
              </w:rPr>
              <w:t>.VIII.</w:t>
            </w:r>
            <w:r w:rsidR="00D40EE9">
              <w:rPr>
                <w:sz w:val="20"/>
                <w:lang w:val="en-GB"/>
              </w:rPr>
              <w:t>2</w:t>
            </w:r>
          </w:p>
          <w:p w:rsidR="009C602B" w:rsidRPr="00DF193A" w:rsidRDefault="000E3689" w:rsidP="009C602B">
            <w:pPr>
              <w:pStyle w:val="H1G"/>
              <w:spacing w:before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(ECE/TRANS/</w:t>
            </w:r>
            <w:r w:rsidR="00D40EE9" w:rsidRPr="00DF193A">
              <w:rPr>
                <w:sz w:val="20"/>
                <w:lang w:val="en-GB"/>
              </w:rPr>
              <w:t>2</w:t>
            </w:r>
            <w:r w:rsidR="00D40EE9">
              <w:rPr>
                <w:sz w:val="20"/>
                <w:lang w:val="en-GB"/>
              </w:rPr>
              <w:t>76</w:t>
            </w:r>
            <w:r w:rsidR="001668E2" w:rsidRPr="00DF193A">
              <w:rPr>
                <w:sz w:val="20"/>
                <w:lang w:val="en-GB"/>
              </w:rPr>
              <w:t xml:space="preserve">, Vol. I </w:t>
            </w:r>
            <w:r w:rsidR="00FB4896" w:rsidRPr="00DF193A">
              <w:rPr>
                <w:sz w:val="20"/>
                <w:lang w:val="en-GB"/>
              </w:rPr>
              <w:t>and</w:t>
            </w:r>
            <w:r w:rsidR="001668E2" w:rsidRPr="00DF193A">
              <w:rPr>
                <w:sz w:val="20"/>
                <w:lang w:val="en-GB"/>
              </w:rPr>
              <w:t xml:space="preserve"> II</w:t>
            </w:r>
            <w:r w:rsidR="009C602B" w:rsidRPr="00DF193A">
              <w:rPr>
                <w:sz w:val="20"/>
                <w:lang w:val="en-GB"/>
              </w:rPr>
              <w:t>)</w:t>
            </w:r>
          </w:p>
          <w:p w:rsidR="009C602B" w:rsidRPr="00DF193A" w:rsidRDefault="00DD4D3F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April</w:t>
            </w:r>
            <w:r w:rsidR="00D40EE9" w:rsidRPr="00DF193A">
              <w:rPr>
                <w:sz w:val="20"/>
                <w:lang w:val="en-GB"/>
              </w:rPr>
              <w:t xml:space="preserve"> 20</w:t>
            </w:r>
            <w:r w:rsidR="00D40EE9">
              <w:rPr>
                <w:sz w:val="20"/>
                <w:lang w:val="en-GB"/>
              </w:rPr>
              <w:t>20</w:t>
            </w:r>
          </w:p>
          <w:p w:rsidR="003C3936" w:rsidRPr="00DF193A" w:rsidRDefault="009C602B" w:rsidP="009C602B">
            <w:pPr>
              <w:pStyle w:val="H1G"/>
              <w:spacing w:before="0" w:after="120"/>
              <w:ind w:right="0"/>
              <w:jc w:val="right"/>
              <w:rPr>
                <w:lang w:val="en-GB"/>
              </w:rPr>
            </w:pPr>
            <w:r w:rsidRPr="00DF193A">
              <w:rPr>
                <w:sz w:val="20"/>
                <w:lang w:val="en-GB"/>
              </w:rPr>
              <w:t>New York and Geneva</w:t>
            </w:r>
          </w:p>
        </w:tc>
      </w:tr>
    </w:tbl>
    <w:p w:rsidR="007E4293" w:rsidRPr="003A705B" w:rsidRDefault="007E4293" w:rsidP="009C602B">
      <w:pPr>
        <w:jc w:val="left"/>
        <w:rPr>
          <w:sz w:val="24"/>
          <w:szCs w:val="24"/>
          <w:lang w:val="en-GB"/>
        </w:rPr>
      </w:pPr>
    </w:p>
    <w:p w:rsidR="009C602B" w:rsidRPr="00DF193A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European Agreement concerning the</w:t>
      </w:r>
    </w:p>
    <w:p w:rsidR="009C602B" w:rsidRPr="00DF193A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I</w:t>
      </w:r>
      <w:r w:rsidR="00B03463" w:rsidRPr="00DF193A">
        <w:rPr>
          <w:b/>
          <w:bCs/>
          <w:sz w:val="24"/>
          <w:szCs w:val="24"/>
          <w:lang w:val="en-GB"/>
        </w:rPr>
        <w:t>nternational C</w:t>
      </w:r>
      <w:r w:rsidRPr="00DF193A">
        <w:rPr>
          <w:b/>
          <w:bCs/>
          <w:sz w:val="24"/>
          <w:szCs w:val="24"/>
          <w:lang w:val="en-GB"/>
        </w:rPr>
        <w:t xml:space="preserve">arriage of Dangerous Goods by </w:t>
      </w:r>
    </w:p>
    <w:p w:rsidR="009C602B" w:rsidRPr="00DF193A" w:rsidRDefault="009C602B" w:rsidP="009C602B">
      <w:pPr>
        <w:jc w:val="left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Inland Waterways (ADN)</w:t>
      </w:r>
    </w:p>
    <w:p w:rsidR="002405A7" w:rsidRPr="00DF193A" w:rsidRDefault="00755C54" w:rsidP="009C602B">
      <w:pPr>
        <w:spacing w:after="240"/>
        <w:rPr>
          <w:b/>
          <w:bCs/>
          <w:sz w:val="24"/>
          <w:szCs w:val="24"/>
          <w:lang w:val="en-GB"/>
        </w:rPr>
      </w:pPr>
      <w:r w:rsidRPr="00DF193A">
        <w:rPr>
          <w:b/>
          <w:bCs/>
          <w:sz w:val="24"/>
          <w:szCs w:val="24"/>
          <w:lang w:val="en-GB"/>
        </w:rPr>
        <w:t>(</w:t>
      </w:r>
      <w:r w:rsidR="00CC6EB6" w:rsidRPr="00DF193A">
        <w:rPr>
          <w:b/>
          <w:bCs/>
          <w:sz w:val="24"/>
          <w:szCs w:val="24"/>
          <w:lang w:val="en-GB"/>
        </w:rPr>
        <w:t xml:space="preserve">applicable as from 1 January </w:t>
      </w:r>
      <w:r w:rsidR="00D40EE9" w:rsidRPr="00DF193A">
        <w:rPr>
          <w:b/>
          <w:bCs/>
          <w:sz w:val="24"/>
          <w:szCs w:val="24"/>
          <w:lang w:val="en-GB"/>
        </w:rPr>
        <w:t>20</w:t>
      </w:r>
      <w:r w:rsidR="00D40EE9">
        <w:rPr>
          <w:b/>
          <w:bCs/>
          <w:sz w:val="24"/>
          <w:szCs w:val="24"/>
          <w:lang w:val="en-GB"/>
        </w:rPr>
        <w:t>19</w:t>
      </w:r>
      <w:r w:rsidR="009C602B" w:rsidRPr="00DF193A">
        <w:rPr>
          <w:b/>
          <w:bCs/>
          <w:sz w:val="24"/>
          <w:szCs w:val="24"/>
          <w:lang w:val="en-GB"/>
        </w:rPr>
        <w:t>)</w:t>
      </w:r>
    </w:p>
    <w:p w:rsidR="009C602B" w:rsidRPr="00DF193A" w:rsidRDefault="009C602B" w:rsidP="009C602B">
      <w:pPr>
        <w:pStyle w:val="HChG"/>
        <w:rPr>
          <w:lang w:val="en-GB"/>
        </w:rPr>
      </w:pPr>
      <w:r w:rsidRPr="00DF193A">
        <w:rPr>
          <w:lang w:val="en-GB"/>
        </w:rPr>
        <w:tab/>
      </w:r>
      <w:r w:rsidRPr="00DF193A">
        <w:rPr>
          <w:lang w:val="en-GB"/>
        </w:rPr>
        <w:tab/>
        <w:t>Corrigendum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9C602B" w:rsidRPr="006F5D95" w:rsidTr="00772ED0">
        <w:trPr>
          <w:jc w:val="center"/>
        </w:trPr>
        <w:tc>
          <w:tcPr>
            <w:tcW w:w="7657" w:type="dxa"/>
            <w:shd w:val="clear" w:color="auto" w:fill="auto"/>
          </w:tcPr>
          <w:p w:rsidR="009C602B" w:rsidRPr="00DF193A" w:rsidRDefault="009C602B" w:rsidP="00CC6EB6">
            <w:pPr>
              <w:suppressAutoHyphens/>
              <w:spacing w:before="240" w:after="120" w:line="240" w:lineRule="atLeast"/>
              <w:ind w:left="255" w:right="113"/>
              <w:rPr>
                <w:i/>
                <w:sz w:val="20"/>
                <w:lang w:val="en-GB"/>
              </w:rPr>
            </w:pPr>
            <w:r w:rsidRPr="00DF193A">
              <w:rPr>
                <w:i/>
                <w:sz w:val="20"/>
                <w:lang w:val="en-GB"/>
              </w:rPr>
              <w:t xml:space="preserve">Note: </w:t>
            </w:r>
            <w:r w:rsidR="00CC6EB6" w:rsidRPr="00DF193A">
              <w:rPr>
                <w:i/>
                <w:sz w:val="20"/>
                <w:lang w:val="en-GB"/>
              </w:rPr>
              <w:t>As soon as they are issued, c</w:t>
            </w:r>
            <w:r w:rsidRPr="00DF193A">
              <w:rPr>
                <w:i/>
                <w:iCs/>
                <w:sz w:val="20"/>
                <w:lang w:val="en-GB"/>
              </w:rPr>
              <w:t>orrigenda to th</w:t>
            </w:r>
            <w:r w:rsidR="00CC6EB6" w:rsidRPr="00DF193A">
              <w:rPr>
                <w:i/>
                <w:iCs/>
                <w:sz w:val="20"/>
                <w:lang w:val="en-GB"/>
              </w:rPr>
              <w:t>e published versions of ADN</w:t>
            </w:r>
            <w:r w:rsidRPr="00DF193A">
              <w:rPr>
                <w:i/>
                <w:iCs/>
                <w:sz w:val="20"/>
                <w:lang w:val="en-GB"/>
              </w:rPr>
              <w:t xml:space="preserve">, as well as amendments </w:t>
            </w:r>
            <w:r w:rsidR="00CC6EB6" w:rsidRPr="00DF193A">
              <w:rPr>
                <w:i/>
                <w:iCs/>
                <w:sz w:val="20"/>
                <w:lang w:val="en-GB"/>
              </w:rPr>
              <w:t>entering into force before the next version</w:t>
            </w:r>
            <w:r w:rsidR="009B5692" w:rsidRPr="00DF193A">
              <w:rPr>
                <w:i/>
                <w:iCs/>
                <w:sz w:val="20"/>
                <w:lang w:val="en-GB"/>
              </w:rPr>
              <w:t>,</w:t>
            </w:r>
            <w:r w:rsidR="00CC6EB6" w:rsidRPr="00DF193A">
              <w:rPr>
                <w:i/>
                <w:iCs/>
                <w:sz w:val="20"/>
                <w:lang w:val="en-GB"/>
              </w:rPr>
              <w:t xml:space="preserve"> are</w:t>
            </w:r>
            <w:r w:rsidRPr="00DF193A">
              <w:rPr>
                <w:i/>
                <w:iCs/>
                <w:sz w:val="20"/>
                <w:lang w:val="en-GB"/>
              </w:rPr>
              <w:t xml:space="preserve"> made available on the United Nations Economic Commission for Europe web site at the following address: </w:t>
            </w:r>
            <w:r w:rsidR="000B57D1" w:rsidRPr="00DF193A">
              <w:rPr>
                <w:i/>
                <w:iCs/>
                <w:sz w:val="20"/>
                <w:lang w:val="en-GB"/>
              </w:rPr>
              <w:t xml:space="preserve"> </w:t>
            </w:r>
            <w:hyperlink r:id="rId8" w:history="1">
              <w:r w:rsidR="000B57D1" w:rsidRPr="00DF193A">
                <w:rPr>
                  <w:rStyle w:val="Hyperlink"/>
                  <w:i/>
                  <w:iCs/>
                  <w:sz w:val="20"/>
                  <w:lang w:val="en-GB"/>
                </w:rPr>
                <w:t>www.unece.org/trans/danger/danger.html</w:t>
              </w:r>
            </w:hyperlink>
          </w:p>
        </w:tc>
      </w:tr>
    </w:tbl>
    <w:p w:rsidR="00E766B5" w:rsidRPr="00EB7F91" w:rsidRDefault="00E766B5" w:rsidP="00E766B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en-GB"/>
        </w:rPr>
      </w:pPr>
      <w:r w:rsidRPr="006F5D95">
        <w:rPr>
          <w:rFonts w:asciiTheme="majorBidi" w:hAnsiTheme="majorBidi" w:cstheme="majorBidi"/>
          <w:b/>
          <w:sz w:val="20"/>
          <w:lang w:val="en-GB"/>
        </w:rPr>
        <w:tab/>
      </w:r>
      <w:r w:rsidRPr="00EB7F91">
        <w:rPr>
          <w:rFonts w:asciiTheme="majorBidi" w:hAnsiTheme="majorBidi" w:cstheme="majorBidi"/>
          <w:b/>
          <w:sz w:val="20"/>
          <w:lang w:val="en-GB"/>
        </w:rPr>
        <w:t>1.</w:t>
      </w:r>
      <w:r w:rsidRPr="00EB7F91">
        <w:rPr>
          <w:rFonts w:asciiTheme="majorBidi" w:hAnsiTheme="majorBidi" w:cstheme="majorBidi"/>
          <w:b/>
          <w:sz w:val="20"/>
          <w:lang w:val="en-GB"/>
        </w:rPr>
        <w:tab/>
        <w:t xml:space="preserve">Volume I, Table of contents </w:t>
      </w:r>
    </w:p>
    <w:p w:rsidR="00E766B5" w:rsidRPr="00EB7F91" w:rsidRDefault="00E766B5" w:rsidP="00E766B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>Insert</w:t>
      </w:r>
      <w:r w:rsidRPr="00EB7F91">
        <w:rPr>
          <w:rFonts w:asciiTheme="majorBidi" w:hAnsiTheme="majorBidi" w:cstheme="majorBidi"/>
          <w:sz w:val="20"/>
          <w:lang w:val="en-GB"/>
        </w:rPr>
        <w:t>: 7.1.7</w:t>
      </w:r>
      <w:r w:rsidRPr="00EB7F91">
        <w:rPr>
          <w:rFonts w:asciiTheme="majorBidi" w:hAnsiTheme="majorBidi" w:cstheme="majorBidi"/>
          <w:sz w:val="20"/>
          <w:lang w:val="en-GB"/>
        </w:rPr>
        <w:tab/>
        <w:t>Special provisions applicable to the carriage of self-reactive substances of Class 4.1, organic peroxides of Class 5.2 and substances stabilized by temperature control (other than self-reactive substances and organic peroxides)</w:t>
      </w:r>
    </w:p>
    <w:p w:rsidR="00783DA1" w:rsidRPr="00EB7F91" w:rsidRDefault="00783DA1" w:rsidP="00783DA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1.2, Definition for “Explosion protection”, under “And technical requirements such as, for example, in (b)</w:t>
      </w:r>
    </w:p>
    <w:p w:rsidR="00783DA1" w:rsidRPr="00EB7F91" w:rsidRDefault="00783DA1" w:rsidP="00783DA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C437A5" w:rsidRPr="00EB7F91" w:rsidRDefault="00C437A5" w:rsidP="00C437A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bCs/>
          <w:sz w:val="20"/>
          <w:lang w:val="en-GB"/>
        </w:rPr>
      </w:pPr>
      <w:r w:rsidRPr="00EB7F91">
        <w:rPr>
          <w:rFonts w:asciiTheme="majorBidi" w:hAnsiTheme="majorBidi" w:cstheme="majorBidi"/>
          <w:b/>
          <w:bCs/>
          <w:sz w:val="20"/>
          <w:lang w:val="en-GB"/>
        </w:rPr>
        <w:tab/>
      </w:r>
      <w:r w:rsidR="00DC6394">
        <w:rPr>
          <w:rFonts w:asciiTheme="majorBidi" w:hAnsiTheme="majorBidi" w:cstheme="majorBidi"/>
          <w:b/>
          <w:bCs/>
          <w:sz w:val="20"/>
          <w:lang w:val="en-GB"/>
        </w:rPr>
        <w:t>3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>.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b/>
          <w:sz w:val="20"/>
          <w:lang w:val="en-GB"/>
        </w:rPr>
        <w:t>Part 1,</w:t>
      </w:r>
      <w:r w:rsidR="00EB7F91">
        <w:rPr>
          <w:rFonts w:asciiTheme="majorBidi" w:hAnsiTheme="majorBidi" w:cstheme="majorBidi"/>
          <w:b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 xml:space="preserve">Chapter 1.2, Definition for </w:t>
      </w:r>
      <w:r w:rsidRPr="00EB7F91">
        <w:rPr>
          <w:rFonts w:asciiTheme="majorBidi" w:hAnsiTheme="majorBidi" w:cstheme="majorBidi"/>
          <w:b/>
          <w:bCs/>
          <w:iCs/>
          <w:sz w:val="20"/>
          <w:lang w:val="en-GB"/>
        </w:rPr>
        <w:t>Limited explosion risk electrical apparatus</w:t>
      </w:r>
    </w:p>
    <w:p w:rsidR="00C437A5" w:rsidRPr="00EB7F91" w:rsidRDefault="00C437A5" w:rsidP="00C437A5">
      <w:pPr>
        <w:pStyle w:val="SingleTxtG"/>
        <w:rPr>
          <w:rFonts w:asciiTheme="majorBidi" w:hAnsiTheme="majorBidi" w:cstheme="majorBidi"/>
          <w:i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existing definition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</w:p>
    <w:p w:rsidR="00C437A5" w:rsidRPr="00EB7F91" w:rsidRDefault="00C437A5" w:rsidP="00C437A5">
      <w:pPr>
        <w:spacing w:after="24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Limited explosion risk electrical installations and equipment </w:t>
      </w:r>
      <w:r w:rsidRPr="00EB7F91">
        <w:rPr>
          <w:rFonts w:asciiTheme="majorBidi" w:hAnsiTheme="majorBidi" w:cstheme="majorBidi"/>
          <w:sz w:val="20"/>
          <w:lang w:val="en-GB"/>
        </w:rPr>
        <w:t>means electrical installations and equipment which, during normal operation, do not cause sparks or exhibits surface temperatures which are above 200 °C, including e.g.:</w:t>
      </w:r>
    </w:p>
    <w:p w:rsidR="00C437A5" w:rsidRPr="00EB7F91" w:rsidRDefault="00C437A5" w:rsidP="00C437A5">
      <w:pPr>
        <w:spacing w:after="12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– three-phase squirrel cage rotor motors;</w:t>
      </w:r>
    </w:p>
    <w:p w:rsidR="00C437A5" w:rsidRPr="00EB7F91" w:rsidRDefault="00C437A5" w:rsidP="00C437A5">
      <w:pPr>
        <w:spacing w:after="12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– brushless generators with contactless excitation;</w:t>
      </w:r>
    </w:p>
    <w:p w:rsidR="00C437A5" w:rsidRPr="00EB7F91" w:rsidRDefault="00C437A5" w:rsidP="00C437A5">
      <w:pPr>
        <w:spacing w:after="12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– fuses with an enclosed fuse element;</w:t>
      </w:r>
    </w:p>
    <w:p w:rsidR="00C437A5" w:rsidRPr="00EB7F91" w:rsidRDefault="00C437A5" w:rsidP="00C437A5">
      <w:pPr>
        <w:spacing w:after="24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– contactless electronic apparatus;</w:t>
      </w:r>
    </w:p>
    <w:p w:rsidR="00C437A5" w:rsidRPr="00EB7F91" w:rsidRDefault="00C437A5" w:rsidP="00C437A5">
      <w:pPr>
        <w:spacing w:after="240"/>
        <w:ind w:left="1843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or means electrical installations and equipment with at least an enclosure protected against water jets (protection rating IP55 or higher) which during normal operation do not exhibit surface temperatures above 200 °C;</w:t>
      </w:r>
      <w:bookmarkStart w:id="0" w:name="_GoBack"/>
      <w:bookmarkEnd w:id="0"/>
    </w:p>
    <w:p w:rsidR="00EE11C3" w:rsidRPr="00EB7F91" w:rsidRDefault="00EE11C3" w:rsidP="00EE11C3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4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1.2, Definition for Self-contained protection systems</w:t>
      </w:r>
    </w:p>
    <w:p w:rsidR="00EE11C3" w:rsidRPr="00EB7F91" w:rsidRDefault="00747C9D" w:rsidP="00EE11C3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747C9D">
        <w:rPr>
          <w:rFonts w:asciiTheme="majorBidi" w:hAnsiTheme="majorBidi" w:cstheme="majorBidi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864978</wp:posOffset>
                </wp:positionV>
                <wp:extent cx="176784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9D" w:rsidRDefault="00747C9D" w:rsidP="00747C9D">
                            <w:pPr>
                              <w:pStyle w:val="Footer"/>
                              <w:ind w:right="1134"/>
                              <w:jc w:val="left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GE.20-05684(E)</w:t>
                            </w:r>
                          </w:p>
                          <w:p w:rsidR="00747C9D" w:rsidRDefault="00747C9D" w:rsidP="00747C9D"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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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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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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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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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lang w:val="en-GB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68.1pt;width:13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" stroked="f">
                <v:textbox style="mso-fit-shape-to-text:t">
                  <w:txbxContent>
                    <w:p w:rsidR="00747C9D" w:rsidRDefault="00747C9D" w:rsidP="00747C9D">
                      <w:pPr>
                        <w:pStyle w:val="Footer"/>
                        <w:ind w:right="1134"/>
                        <w:jc w:val="left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GE.20-05684(E)</w:t>
                      </w:r>
                    </w:p>
                    <w:p w:rsidR="00747C9D" w:rsidRDefault="00747C9D" w:rsidP="00747C9D"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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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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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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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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</w:t>
                      </w:r>
                      <w:r>
                        <w:rPr>
                          <w:rFonts w:ascii="C39T30Lfz" w:hAnsi="C39T30Lfz"/>
                          <w:sz w:val="56"/>
                          <w:lang w:val="en-GB"/>
                        </w:rPr>
                        <w:t>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1C3"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="00EE11C3"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="00EE11C3"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="00EE11C3"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632369" w:rsidRPr="00EB7F91" w:rsidRDefault="00632369" w:rsidP="00632369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lastRenderedPageBreak/>
        <w:tab/>
      </w:r>
      <w:r w:rsidR="00DC6394">
        <w:rPr>
          <w:rFonts w:asciiTheme="majorBidi" w:hAnsiTheme="majorBidi" w:cstheme="majorBidi"/>
          <w:sz w:val="20"/>
          <w:lang w:val="en-GB"/>
        </w:rPr>
        <w:t>5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 xml:space="preserve">Chapter 1.6, 1.6.7.2.2.2, Transitional provision for </w:t>
      </w:r>
      <w:r w:rsidRPr="00EB7F91">
        <w:rPr>
          <w:rFonts w:asciiTheme="majorBidi" w:hAnsiTheme="majorBidi" w:cstheme="majorBidi"/>
          <w:sz w:val="20"/>
          <w:lang w:val="en-US"/>
        </w:rPr>
        <w:t>8.1.2.3 (r), (s), (t), (v), third column subparagraph (c)</w:t>
      </w:r>
    </w:p>
    <w:p w:rsidR="00632369" w:rsidRPr="00EB7F91" w:rsidRDefault="00632369" w:rsidP="00632369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6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8.1.7.2 (three times)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7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>Part 1,</w:t>
      </w:r>
      <w:r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9.3.1.12.4 and 9.3.3.12.4, second column</w:t>
      </w:r>
    </w:p>
    <w:p w:rsidR="00EB7F91" w:rsidRPr="006F5D95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6F5D95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6F5D95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6F5D95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E766B5" w:rsidRPr="00EB7F91" w:rsidRDefault="00E766B5" w:rsidP="00E766B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bCs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b/>
          <w:bCs/>
          <w:sz w:val="20"/>
          <w:lang w:val="en-GB"/>
        </w:rPr>
        <w:t>8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>.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b/>
          <w:sz w:val="20"/>
          <w:lang w:val="en-GB"/>
        </w:rPr>
        <w:t>Part 1,</w:t>
      </w:r>
      <w:r w:rsidR="00EB7F91">
        <w:rPr>
          <w:rFonts w:asciiTheme="majorBidi" w:hAnsiTheme="majorBidi" w:cstheme="majorBidi"/>
          <w:b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 xml:space="preserve">Chapter 1.6, 1.6.7.2.2.2, transitional provision for 9.3.1.17.4, 9.3.3.17.4: Distance of openings from the cargo area, column: Time limit and comments </w:t>
      </w:r>
    </w:p>
    <w:p w:rsidR="00E766B5" w:rsidRPr="00EB7F91" w:rsidRDefault="00E766B5" w:rsidP="00E766B5">
      <w:pPr>
        <w:pStyle w:val="SingleTxtG"/>
        <w:rPr>
          <w:rFonts w:asciiTheme="majorBidi" w:hAnsiTheme="majorBidi" w:cstheme="majorBidi"/>
          <w:color w:val="000000"/>
          <w:sz w:val="20"/>
          <w:lang w:val="en-US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>For</w:t>
      </w:r>
      <w:r w:rsidRPr="00EB7F91">
        <w:rPr>
          <w:rFonts w:asciiTheme="majorBidi" w:hAnsiTheme="majorBidi" w:cstheme="majorBidi"/>
          <w:sz w:val="20"/>
          <w:lang w:val="en-GB"/>
        </w:rPr>
        <w:t xml:space="preserve"> existing text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N.R.M </w:t>
      </w:r>
      <w:r w:rsidRPr="00EB7F91">
        <w:rPr>
          <w:rFonts w:asciiTheme="majorBidi" w:hAnsiTheme="majorBidi" w:cstheme="majorBidi"/>
          <w:color w:val="000000"/>
          <w:sz w:val="20"/>
          <w:lang w:val="en-US"/>
        </w:rPr>
        <w:t>Renewal of the certificate of approval after 31 December 2044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9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>Part 1,</w:t>
      </w:r>
      <w:r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9.3.1.52.1, 9.3.2.52.1 and 9.3.3.52.1, third column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10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>Part 1,</w:t>
      </w:r>
      <w:r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9.3.1.52.1 and 9.3.3.52.1, third column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11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>Part 1,</w:t>
      </w:r>
      <w:r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9.3.1.53.1, 9.3.2.53.1 and 9.3.3.53.1, third column, second to last paragraph</w:t>
      </w:r>
    </w:p>
    <w:p w:rsidR="00EB7F91" w:rsidRPr="006F5D95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6F5D95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6F5D95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6F5D95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C23F7E" w:rsidRPr="00EB7F91" w:rsidRDefault="00C23F7E" w:rsidP="00C23F7E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</w:t>
      </w:r>
      <w:r w:rsidRPr="00EB7F91">
        <w:rPr>
          <w:rFonts w:asciiTheme="majorBidi" w:hAnsiTheme="majorBidi" w:cstheme="majorBidi"/>
          <w:sz w:val="20"/>
          <w:lang w:val="en-GB"/>
        </w:rPr>
        <w:t>2.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9.3.3.52.1</w:t>
      </w:r>
    </w:p>
    <w:p w:rsidR="00C23F7E" w:rsidRPr="00EB7F91" w:rsidRDefault="00C23F7E" w:rsidP="00C23F7E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electrical installations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electrical installations and equipment</w:t>
      </w:r>
    </w:p>
    <w:p w:rsidR="00C23F7E" w:rsidRPr="00EB7F91" w:rsidRDefault="00C23F7E" w:rsidP="00C23F7E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</w:t>
      </w:r>
      <w:r w:rsidRPr="00EB7F91">
        <w:rPr>
          <w:rFonts w:asciiTheme="majorBidi" w:hAnsiTheme="majorBidi" w:cstheme="majorBidi"/>
          <w:sz w:val="20"/>
          <w:lang w:val="en-GB"/>
        </w:rPr>
        <w:t>3.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9.3.3.52.2</w:t>
      </w:r>
    </w:p>
    <w:p w:rsidR="00C23F7E" w:rsidRPr="00EB7F91" w:rsidRDefault="00C23F7E" w:rsidP="00C23F7E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Electrical installations/echo sounding devices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Electrical installations and equipment/echo sounding devices</w:t>
      </w:r>
    </w:p>
    <w:p w:rsidR="00C23F7E" w:rsidRPr="00EB7F91" w:rsidRDefault="00C23F7E" w:rsidP="00C23F7E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</w:t>
      </w:r>
      <w:r w:rsidRPr="00EB7F91">
        <w:rPr>
          <w:rFonts w:asciiTheme="majorBidi" w:hAnsiTheme="majorBidi" w:cstheme="majorBidi"/>
          <w:sz w:val="20"/>
          <w:lang w:val="en-GB"/>
        </w:rPr>
        <w:t>4.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9.3.x.52.3, last sentence</w:t>
      </w:r>
    </w:p>
    <w:p w:rsidR="00C23F7E" w:rsidRPr="00EB7F91" w:rsidRDefault="00C23F7E" w:rsidP="00C23F7E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napToGrid w:val="0"/>
          <w:sz w:val="20"/>
          <w:lang w:val="en-GB"/>
        </w:rPr>
        <w:t>Disconnection of such installations from a centralized location</w:t>
      </w:r>
      <w:r w:rsidRP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napToGrid w:val="0"/>
          <w:sz w:val="20"/>
          <w:lang w:val="en-GB"/>
        </w:rPr>
        <w:t>Disconnection of such electrical installations and equipment from a centralized location</w:t>
      </w:r>
    </w:p>
    <w:p w:rsidR="00C23F7E" w:rsidRPr="00EB7F91" w:rsidRDefault="00C23F7E" w:rsidP="00C23F7E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1</w:t>
      </w:r>
      <w:r w:rsidRPr="00EB7F91">
        <w:rPr>
          <w:rFonts w:asciiTheme="majorBidi" w:hAnsiTheme="majorBidi" w:cstheme="majorBidi"/>
          <w:sz w:val="20"/>
          <w:lang w:val="en-GB"/>
        </w:rPr>
        <w:t>5.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Chapter 1.6, 1.6.7.2.2.2, Transitional provision for 9.3.1.53.1, 9.3.2.53.1, 9.3.3.53.1, paragraph (d)</w:t>
      </w:r>
    </w:p>
    <w:p w:rsidR="00C23F7E" w:rsidRPr="00EB7F91" w:rsidRDefault="00C23F7E" w:rsidP="00C23F7E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after 31 December 1977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before 31 December 1977</w:t>
      </w:r>
    </w:p>
    <w:p w:rsidR="007C5DD7" w:rsidRPr="00EB7F91" w:rsidRDefault="008B41CF" w:rsidP="007C5DD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en-GB"/>
        </w:rPr>
      </w:pPr>
      <w:r w:rsidRPr="00EB7F91">
        <w:rPr>
          <w:rFonts w:asciiTheme="majorBidi" w:hAnsiTheme="majorBidi" w:cstheme="majorBidi"/>
          <w:b/>
          <w:sz w:val="20"/>
          <w:lang w:val="en-GB"/>
        </w:rPr>
        <w:tab/>
      </w:r>
      <w:r w:rsidR="005774E3" w:rsidRPr="00EB7F91">
        <w:rPr>
          <w:rFonts w:asciiTheme="majorBidi" w:hAnsiTheme="majorBidi" w:cstheme="majorBidi"/>
          <w:b/>
          <w:sz w:val="20"/>
          <w:lang w:val="en-GB"/>
        </w:rPr>
        <w:t>1</w:t>
      </w:r>
      <w:r w:rsidR="00DC6394">
        <w:rPr>
          <w:rFonts w:asciiTheme="majorBidi" w:hAnsiTheme="majorBidi" w:cstheme="majorBidi"/>
          <w:b/>
          <w:sz w:val="20"/>
          <w:lang w:val="en-GB"/>
        </w:rPr>
        <w:t>6</w:t>
      </w:r>
      <w:r w:rsidR="005774E3" w:rsidRPr="00EB7F91">
        <w:rPr>
          <w:rFonts w:asciiTheme="majorBidi" w:hAnsiTheme="majorBidi" w:cstheme="majorBidi"/>
          <w:b/>
          <w:sz w:val="20"/>
          <w:lang w:val="en-GB"/>
        </w:rPr>
        <w:t>.</w:t>
      </w:r>
      <w:r w:rsidR="007C5DD7" w:rsidRPr="00EB7F91">
        <w:rPr>
          <w:rFonts w:asciiTheme="majorBidi" w:hAnsiTheme="majorBidi" w:cstheme="majorBidi"/>
          <w:b/>
          <w:sz w:val="20"/>
          <w:lang w:val="en-GB"/>
        </w:rPr>
        <w:tab/>
        <w:t>Part 1, Chapter 1.6, 1.6.7.2.</w:t>
      </w:r>
      <w:r w:rsidR="006D2F29" w:rsidRPr="00EB7F91">
        <w:rPr>
          <w:rFonts w:asciiTheme="majorBidi" w:hAnsiTheme="majorBidi" w:cstheme="majorBidi"/>
          <w:b/>
          <w:sz w:val="20"/>
          <w:lang w:val="en-GB"/>
        </w:rPr>
        <w:t>2.5</w:t>
      </w:r>
    </w:p>
    <w:p w:rsidR="006D2F29" w:rsidRPr="00EB7F91" w:rsidRDefault="00CB221C" w:rsidP="007C5DD7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1 January July 2017</w:t>
      </w:r>
      <w:r w:rsidRPr="00EB7F91">
        <w:rPr>
          <w:rFonts w:asciiTheme="majorBidi" w:hAnsiTheme="majorBidi" w:cstheme="majorBidi"/>
          <w:i/>
          <w:sz w:val="20"/>
          <w:lang w:val="en-GB"/>
        </w:rPr>
        <w:t xml:space="preserve"> read </w:t>
      </w:r>
      <w:r w:rsidRPr="00EB7F91">
        <w:rPr>
          <w:rFonts w:asciiTheme="majorBidi" w:hAnsiTheme="majorBidi" w:cstheme="majorBidi"/>
          <w:sz w:val="20"/>
          <w:lang w:val="en-GB"/>
        </w:rPr>
        <w:t>1 July 2017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DC6394">
        <w:rPr>
          <w:rFonts w:asciiTheme="majorBidi" w:hAnsiTheme="majorBidi" w:cstheme="majorBidi"/>
          <w:bCs/>
          <w:sz w:val="20"/>
          <w:lang w:val="en-GB"/>
        </w:rPr>
        <w:t>17</w:t>
      </w:r>
      <w:r w:rsidRPr="00EB7F91">
        <w:rPr>
          <w:rFonts w:asciiTheme="majorBidi" w:hAnsiTheme="majorBidi" w:cstheme="majorBidi"/>
          <w:bCs/>
          <w:sz w:val="20"/>
          <w:lang w:val="en-GB"/>
        </w:rPr>
        <w:t>.</w:t>
      </w: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bCs/>
          <w:sz w:val="20"/>
          <w:lang w:val="en-GB"/>
        </w:rPr>
        <w:t>Chapter 1.8, 1.8.3.3, sixth indent of the second paragraph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>For</w:t>
      </w:r>
      <w:r w:rsidRPr="00EB7F91">
        <w:rPr>
          <w:rFonts w:asciiTheme="majorBidi" w:hAnsiTheme="majorBidi" w:cstheme="majorBidi"/>
          <w:sz w:val="20"/>
          <w:lang w:val="en-GB"/>
        </w:rPr>
        <w:t xml:space="preserve"> recorded during the consigning, carriage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recorded during the carriage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DC6394">
        <w:rPr>
          <w:rFonts w:asciiTheme="majorBidi" w:hAnsiTheme="majorBidi" w:cstheme="majorBidi"/>
          <w:bCs/>
          <w:sz w:val="20"/>
          <w:lang w:val="en-GB"/>
        </w:rPr>
        <w:t>18</w:t>
      </w:r>
      <w:r w:rsidRPr="00EB7F91">
        <w:rPr>
          <w:rFonts w:asciiTheme="majorBidi" w:hAnsiTheme="majorBidi" w:cstheme="majorBidi"/>
          <w:bCs/>
          <w:sz w:val="20"/>
          <w:lang w:val="en-GB"/>
        </w:rPr>
        <w:t>.</w:t>
      </w: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>Part 1,</w:t>
      </w:r>
      <w:r w:rsidR="00EB7F91">
        <w:rPr>
          <w:rFonts w:asciiTheme="majorBidi" w:hAnsiTheme="majorBidi" w:cstheme="majorBidi"/>
          <w:b w:val="0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bCs/>
          <w:sz w:val="20"/>
          <w:lang w:val="en-GB"/>
        </w:rPr>
        <w:t>Chapter 1.8, 1.8.3.3, ninth indent of the second paragraph</w:t>
      </w:r>
    </w:p>
    <w:p w:rsidR="00F72DA5" w:rsidRPr="00EB7F91" w:rsidRDefault="00F72DA5" w:rsidP="00F72DA5">
      <w:pPr>
        <w:pStyle w:val="SingleTxtG"/>
        <w:tabs>
          <w:tab w:val="left" w:pos="1560"/>
        </w:tabs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verification that employees involved in the carriage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verification that employees involved in the consigning, carriage</w:t>
      </w:r>
    </w:p>
    <w:p w:rsidR="00EC5D3F" w:rsidRPr="00EB7F91" w:rsidRDefault="00E05C98" w:rsidP="00EC5D3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en-GB"/>
        </w:rPr>
      </w:pPr>
      <w:r w:rsidRPr="00EB7F91">
        <w:rPr>
          <w:rFonts w:asciiTheme="majorBidi" w:hAnsiTheme="majorBidi" w:cstheme="majorBidi"/>
          <w:b/>
          <w:sz w:val="20"/>
          <w:lang w:val="en-GB"/>
        </w:rPr>
        <w:lastRenderedPageBreak/>
        <w:tab/>
      </w:r>
      <w:r w:rsidR="00DC6394">
        <w:rPr>
          <w:rFonts w:asciiTheme="majorBidi" w:hAnsiTheme="majorBidi" w:cstheme="majorBidi"/>
          <w:b/>
          <w:sz w:val="20"/>
          <w:lang w:val="en-GB"/>
        </w:rPr>
        <w:t>19</w:t>
      </w:r>
      <w:r w:rsidRPr="00EB7F91">
        <w:rPr>
          <w:rFonts w:asciiTheme="majorBidi" w:hAnsiTheme="majorBidi" w:cstheme="majorBidi"/>
          <w:b/>
          <w:sz w:val="20"/>
          <w:lang w:val="en-GB"/>
        </w:rPr>
        <w:t>.</w:t>
      </w:r>
      <w:r w:rsidRPr="00EB7F91">
        <w:rPr>
          <w:rFonts w:asciiTheme="majorBidi" w:hAnsiTheme="majorBidi" w:cstheme="majorBidi"/>
          <w:b/>
          <w:sz w:val="20"/>
          <w:lang w:val="en-GB"/>
        </w:rPr>
        <w:tab/>
        <w:t xml:space="preserve">Part </w:t>
      </w:r>
      <w:r w:rsidR="00EC5D3F" w:rsidRPr="00EB7F91">
        <w:rPr>
          <w:rFonts w:asciiTheme="majorBidi" w:hAnsiTheme="majorBidi" w:cstheme="majorBidi"/>
          <w:b/>
          <w:sz w:val="20"/>
          <w:lang w:val="en-GB"/>
        </w:rPr>
        <w:t>3</w:t>
      </w:r>
      <w:r w:rsidRPr="00EB7F91">
        <w:rPr>
          <w:rFonts w:asciiTheme="majorBidi" w:hAnsiTheme="majorBidi" w:cstheme="majorBidi"/>
          <w:b/>
          <w:sz w:val="20"/>
          <w:lang w:val="en-GB"/>
        </w:rPr>
        <w:t xml:space="preserve">, Chapter </w:t>
      </w:r>
      <w:r w:rsidR="00EC5D3F" w:rsidRPr="00EB7F91">
        <w:rPr>
          <w:rFonts w:asciiTheme="majorBidi" w:hAnsiTheme="majorBidi" w:cstheme="majorBidi"/>
          <w:b/>
          <w:sz w:val="20"/>
          <w:lang w:val="en-GB"/>
        </w:rPr>
        <w:t>3.2</w:t>
      </w:r>
      <w:r w:rsidRPr="00EB7F91">
        <w:rPr>
          <w:rFonts w:asciiTheme="majorBidi" w:hAnsiTheme="majorBidi" w:cstheme="majorBidi"/>
          <w:b/>
          <w:sz w:val="20"/>
          <w:lang w:val="en-GB"/>
        </w:rPr>
        <w:t xml:space="preserve">, </w:t>
      </w:r>
      <w:r w:rsidR="00EC5D3F" w:rsidRPr="00EB7F91">
        <w:rPr>
          <w:rFonts w:asciiTheme="majorBidi" w:hAnsiTheme="majorBidi" w:cstheme="majorBidi"/>
          <w:b/>
          <w:sz w:val="20"/>
          <w:lang w:val="en-GB"/>
        </w:rPr>
        <w:t xml:space="preserve">Table A, UN Nos. </w:t>
      </w:r>
      <w:r w:rsidR="00EC5D3F" w:rsidRPr="00EB7F91">
        <w:rPr>
          <w:rFonts w:asciiTheme="majorBidi" w:hAnsiTheme="majorBidi" w:cstheme="majorBidi"/>
          <w:b/>
          <w:bCs/>
          <w:sz w:val="20"/>
          <w:lang w:val="en-GB"/>
        </w:rPr>
        <w:t>3090, 3091, 3480, and 3481, Column (3)</w:t>
      </w:r>
    </w:p>
    <w:p w:rsidR="006D2F29" w:rsidRPr="00EB7F91" w:rsidRDefault="00EC5D3F" w:rsidP="007C5DD7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sz w:val="20"/>
          <w:lang w:val="en-GB"/>
        </w:rPr>
        <w:t xml:space="preserve">For </w:t>
      </w:r>
      <w:r w:rsidR="00DE0417" w:rsidRPr="00EB7F91">
        <w:rPr>
          <w:rFonts w:asciiTheme="majorBidi" w:hAnsiTheme="majorBidi" w:cstheme="majorBidi"/>
          <w:sz w:val="20"/>
          <w:lang w:val="en-GB"/>
        </w:rPr>
        <w:t>9A</w:t>
      </w:r>
      <w:r w:rsidRPr="00EB7F91">
        <w:rPr>
          <w:rFonts w:asciiTheme="majorBidi" w:hAnsiTheme="majorBidi" w:cstheme="majorBidi"/>
          <w:i/>
          <w:sz w:val="20"/>
          <w:lang w:val="en-GB"/>
        </w:rPr>
        <w:t xml:space="preserve"> read </w:t>
      </w:r>
      <w:r w:rsidR="00DE0417" w:rsidRPr="00EB7F91">
        <w:rPr>
          <w:rFonts w:asciiTheme="majorBidi" w:hAnsiTheme="majorBidi" w:cstheme="majorBidi"/>
          <w:sz w:val="20"/>
          <w:lang w:val="en-GB"/>
        </w:rPr>
        <w:t>9</w:t>
      </w:r>
    </w:p>
    <w:p w:rsidR="006D2F29" w:rsidRPr="00EB7F91" w:rsidRDefault="00EC5D3F" w:rsidP="00EC5D3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en-GB"/>
        </w:rPr>
      </w:pPr>
      <w:r w:rsidRPr="00EB7F91">
        <w:rPr>
          <w:rFonts w:asciiTheme="majorBidi" w:hAnsiTheme="majorBidi" w:cstheme="majorBidi"/>
          <w:b/>
          <w:sz w:val="20"/>
          <w:lang w:val="en-GB"/>
        </w:rPr>
        <w:tab/>
        <w:t>2</w:t>
      </w:r>
      <w:r w:rsidR="00DC6394">
        <w:rPr>
          <w:rFonts w:asciiTheme="majorBidi" w:hAnsiTheme="majorBidi" w:cstheme="majorBidi"/>
          <w:b/>
          <w:sz w:val="20"/>
          <w:lang w:val="en-GB"/>
        </w:rPr>
        <w:t>0</w:t>
      </w:r>
      <w:r w:rsidRPr="00EB7F91">
        <w:rPr>
          <w:rFonts w:asciiTheme="majorBidi" w:hAnsiTheme="majorBidi" w:cstheme="majorBidi"/>
          <w:b/>
          <w:sz w:val="20"/>
          <w:lang w:val="en-GB"/>
        </w:rPr>
        <w:t>.</w:t>
      </w:r>
      <w:r w:rsidRPr="00EB7F91">
        <w:rPr>
          <w:rFonts w:asciiTheme="majorBidi" w:hAnsiTheme="majorBidi" w:cstheme="majorBidi"/>
          <w:b/>
          <w:sz w:val="20"/>
          <w:lang w:val="en-GB"/>
        </w:rPr>
        <w:tab/>
        <w:t xml:space="preserve">Part 3, Chapter 3.2, Table A, UN Nos. </w:t>
      </w:r>
      <w:r w:rsidRPr="00EB7F91">
        <w:rPr>
          <w:rFonts w:asciiTheme="majorBidi" w:hAnsiTheme="majorBidi" w:cstheme="majorBidi"/>
          <w:b/>
          <w:bCs/>
          <w:sz w:val="20"/>
          <w:lang w:val="en-GB"/>
        </w:rPr>
        <w:t>3090, 3091, 3480, and 3481, Column (5)</w:t>
      </w:r>
    </w:p>
    <w:p w:rsidR="006D2F29" w:rsidRPr="00EB7F91" w:rsidRDefault="00DE0417" w:rsidP="007C5DD7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9</w:t>
      </w:r>
      <w:r w:rsidRPr="00EB7F91">
        <w:rPr>
          <w:rFonts w:asciiTheme="majorBidi" w:hAnsiTheme="majorBidi" w:cstheme="majorBidi"/>
          <w:i/>
          <w:sz w:val="20"/>
          <w:lang w:val="en-GB"/>
        </w:rPr>
        <w:t xml:space="preserve"> read </w:t>
      </w:r>
      <w:r w:rsidRPr="00EB7F91">
        <w:rPr>
          <w:rFonts w:asciiTheme="majorBidi" w:hAnsiTheme="majorBidi" w:cstheme="majorBidi"/>
          <w:sz w:val="20"/>
          <w:lang w:val="en-GB"/>
        </w:rPr>
        <w:t>9A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21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3, </w:t>
      </w:r>
      <w:r w:rsidRPr="00EB7F91">
        <w:rPr>
          <w:rFonts w:asciiTheme="majorBidi" w:hAnsiTheme="majorBidi" w:cstheme="majorBidi"/>
          <w:sz w:val="20"/>
          <w:lang w:val="en-GB"/>
        </w:rPr>
        <w:t xml:space="preserve">Chapter 3.2, 3.2.3.1, </w:t>
      </w:r>
      <w:r w:rsidRPr="00EB7F91">
        <w:rPr>
          <w:rFonts w:asciiTheme="majorBidi" w:hAnsiTheme="majorBidi" w:cstheme="majorBidi"/>
          <w:bCs/>
          <w:iCs/>
          <w:sz w:val="20"/>
          <w:lang w:val="en-GB"/>
        </w:rPr>
        <w:t>Explanations concerning Table C, column (16) and Note</w:t>
      </w:r>
      <w:r w:rsidRPr="00EB7F91">
        <w:rPr>
          <w:rFonts w:asciiTheme="majorBidi" w:hAnsiTheme="majorBidi" w:cstheme="majorBidi"/>
          <w:sz w:val="20"/>
          <w:lang w:val="en-GB"/>
        </w:rPr>
        <w:t xml:space="preserve"> (five times)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101AB0" w:rsidRPr="00EB7F91" w:rsidRDefault="00101AB0" w:rsidP="00101AB0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22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3, </w:t>
      </w:r>
      <w:r w:rsidRPr="00EB7F91">
        <w:rPr>
          <w:rFonts w:asciiTheme="majorBidi" w:hAnsiTheme="majorBidi" w:cstheme="majorBidi"/>
          <w:sz w:val="20"/>
          <w:lang w:val="en-GB"/>
        </w:rPr>
        <w:t>Chapter 3.2, 3.2.3.3 Schema A, heading of the third column</w:t>
      </w:r>
    </w:p>
    <w:p w:rsidR="00101AB0" w:rsidRPr="00EB7F91" w:rsidRDefault="00101AB0" w:rsidP="00101AB0">
      <w:pPr>
        <w:pStyle w:val="SingleTxtG"/>
        <w:rPr>
          <w:rFonts w:asciiTheme="majorBidi" w:hAnsiTheme="majorBidi" w:cstheme="majorBidi"/>
          <w:i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Cargo tank internal pressure at liquid temperature of 30 °C and gaseous phase temperature of 37.8 °C &gt; 50 kPa</w:t>
      </w:r>
    </w:p>
    <w:p w:rsidR="00101AB0" w:rsidRPr="00EB7F91" w:rsidRDefault="00101AB0" w:rsidP="00101AB0">
      <w:pPr>
        <w:pStyle w:val="SingleTxtG"/>
        <w:rPr>
          <w:rFonts w:asciiTheme="majorBidi" w:hAnsiTheme="majorBidi" w:cstheme="majorBidi"/>
          <w:b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Read </w:t>
      </w:r>
      <w:r w:rsidRPr="00EB7F91">
        <w:rPr>
          <w:rFonts w:asciiTheme="majorBidi" w:hAnsiTheme="majorBidi" w:cstheme="majorBidi"/>
          <w:sz w:val="20"/>
          <w:lang w:val="en-GB"/>
        </w:rPr>
        <w:t>Cargo tank internal pressure at liquid temperature of 30 °C and gaseous phase temperature of 37.8 °C ≤ 50 kPa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b w:val="0"/>
          <w:bCs/>
          <w:sz w:val="20"/>
          <w:lang w:val="en-GB"/>
        </w:rPr>
      </w:pP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DC6394">
        <w:rPr>
          <w:rFonts w:asciiTheme="majorBidi" w:hAnsiTheme="majorBidi" w:cstheme="majorBidi"/>
          <w:bCs/>
          <w:sz w:val="20"/>
          <w:lang w:val="en-GB"/>
        </w:rPr>
        <w:t>23</w:t>
      </w:r>
      <w:r w:rsidRPr="00EB7F91">
        <w:rPr>
          <w:rFonts w:asciiTheme="majorBidi" w:hAnsiTheme="majorBidi" w:cstheme="majorBidi"/>
          <w:bCs/>
          <w:sz w:val="20"/>
          <w:lang w:val="en-GB"/>
        </w:rPr>
        <w:t>.</w:t>
      </w:r>
      <w:r w:rsidRPr="00EB7F91">
        <w:rPr>
          <w:rFonts w:asciiTheme="majorBidi" w:hAnsiTheme="majorBidi" w:cstheme="majorBidi"/>
          <w:bCs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3, </w:t>
      </w:r>
      <w:r w:rsidRPr="00EB7F91">
        <w:rPr>
          <w:rFonts w:asciiTheme="majorBidi" w:hAnsiTheme="majorBidi" w:cstheme="majorBidi"/>
          <w:bCs/>
          <w:sz w:val="20"/>
          <w:lang w:val="en-GB"/>
        </w:rPr>
        <w:t>Chapter 3.2, 3.2.4.3 B, paragraph 4 at the beginning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bCs/>
          <w:i/>
          <w:iCs/>
          <w:sz w:val="20"/>
          <w:lang w:val="en-GB"/>
        </w:rPr>
      </w:pPr>
      <w:r w:rsidRPr="00EB7F91">
        <w:rPr>
          <w:rFonts w:asciiTheme="majorBidi" w:hAnsiTheme="majorBidi" w:cstheme="majorBidi"/>
          <w:bCs/>
          <w:i/>
          <w:iCs/>
          <w:sz w:val="20"/>
          <w:lang w:val="en-GB"/>
        </w:rPr>
        <w:t>Insert</w:t>
      </w:r>
    </w:p>
    <w:p w:rsidR="00F72DA5" w:rsidRPr="00EB7F91" w:rsidRDefault="00F72DA5" w:rsidP="00F72DA5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>A cargo heating system on board shall be required:</w:t>
      </w:r>
    </w:p>
    <w:p w:rsidR="006908FF" w:rsidRPr="00EB7F91" w:rsidRDefault="006908FF" w:rsidP="006908FF">
      <w:pPr>
        <w:pStyle w:val="H23G"/>
        <w:kinsoku w:val="0"/>
        <w:overflowPunct w:val="0"/>
        <w:autoSpaceDE w:val="0"/>
        <w:autoSpaceDN w:val="0"/>
        <w:adjustRightInd w:val="0"/>
        <w:snapToGrid w:val="0"/>
        <w:rPr>
          <w:rFonts w:asciiTheme="majorBidi" w:eastAsiaTheme="minorHAnsi" w:hAnsiTheme="majorBidi" w:cstheme="majorBidi"/>
          <w:b w:val="0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24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7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7.2, 7.2.3.1.6</w:t>
      </w:r>
    </w:p>
    <w:p w:rsidR="006908FF" w:rsidRPr="00822751" w:rsidRDefault="006908FF" w:rsidP="006908FF">
      <w:pPr>
        <w:pStyle w:val="SingleTxtG"/>
        <w:rPr>
          <w:rFonts w:asciiTheme="majorBidi" w:hAnsiTheme="majorBidi" w:cstheme="majorBidi"/>
          <w:bCs/>
          <w:i/>
          <w:iCs/>
          <w:sz w:val="20"/>
          <w:lang w:val="en-GB"/>
        </w:rPr>
      </w:pPr>
      <w:r w:rsidRPr="00822751">
        <w:rPr>
          <w:rFonts w:asciiTheme="majorBidi" w:hAnsiTheme="majorBidi" w:cstheme="majorBidi"/>
          <w:bCs/>
          <w:i/>
          <w:iCs/>
          <w:sz w:val="20"/>
          <w:lang w:val="en-GB"/>
        </w:rPr>
        <w:t>Not applicable to English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25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7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7.2, 7.2.3.29.1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accommodation area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accommodation areas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tab/>
      </w:r>
      <w:r w:rsidR="00DC6394" w:rsidRPr="006F5D95">
        <w:rPr>
          <w:rFonts w:asciiTheme="majorBidi" w:hAnsiTheme="majorBidi" w:cstheme="majorBidi"/>
          <w:sz w:val="20"/>
          <w:lang w:val="en-GB"/>
        </w:rPr>
        <w:t>2</w:t>
      </w:r>
      <w:r w:rsidRPr="00EB7F91">
        <w:rPr>
          <w:rFonts w:asciiTheme="majorBidi" w:hAnsiTheme="majorBidi" w:cstheme="majorBidi"/>
          <w:sz w:val="20"/>
          <w:lang w:val="en-GB"/>
        </w:rPr>
        <w:t>6.</w:t>
      </w:r>
      <w:r w:rsidRPr="00EB7F91">
        <w:rPr>
          <w:rFonts w:asciiTheme="majorBidi" w:hAnsiTheme="majorBidi" w:cstheme="majorBidi"/>
          <w:sz w:val="20"/>
          <w:lang w:val="en-GB"/>
        </w:rPr>
        <w:tab/>
        <w:t xml:space="preserve">Part </w:t>
      </w:r>
      <w:r>
        <w:rPr>
          <w:rFonts w:asciiTheme="majorBidi" w:hAnsiTheme="majorBidi" w:cstheme="majorBidi"/>
          <w:sz w:val="20"/>
          <w:lang w:val="en-GB"/>
        </w:rPr>
        <w:t>7</w:t>
      </w:r>
      <w:r w:rsidRPr="00EB7F91">
        <w:rPr>
          <w:rFonts w:asciiTheme="majorBidi" w:hAnsiTheme="majorBidi" w:cstheme="majorBidi"/>
          <w:sz w:val="20"/>
          <w:lang w:val="en-GB"/>
        </w:rPr>
        <w:t xml:space="preserve">, Chapter 7.2, </w:t>
      </w:r>
      <w:r w:rsidRPr="00EB7F91">
        <w:rPr>
          <w:rFonts w:asciiTheme="majorBidi" w:hAnsiTheme="majorBidi" w:cstheme="majorBidi"/>
          <w:sz w:val="20"/>
          <w:lang w:val="en-US"/>
        </w:rPr>
        <w:t>7.2.3.51.4</w:t>
      </w:r>
      <w:r w:rsidRPr="00EB7F91">
        <w:rPr>
          <w:rFonts w:asciiTheme="majorBidi" w:hAnsiTheme="majorBidi" w:cstheme="majorBidi"/>
          <w:sz w:val="20"/>
          <w:lang w:val="en-GB"/>
        </w:rPr>
        <w:t>, second paragraph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i/>
          <w:iCs/>
          <w:sz w:val="20"/>
          <w:lang w:val="fr-CH"/>
        </w:rPr>
      </w:pPr>
      <w:r w:rsidRPr="00EB7F91">
        <w:rPr>
          <w:rFonts w:asciiTheme="majorBidi" w:hAnsiTheme="majorBidi" w:cstheme="majorBidi"/>
          <w:i/>
          <w:iCs/>
          <w:sz w:val="20"/>
          <w:lang w:val="fr-CH"/>
        </w:rPr>
        <w:t xml:space="preserve">(Reference </w:t>
      </w:r>
      <w:proofErr w:type="gramStart"/>
      <w:r w:rsidRPr="00EB7F91">
        <w:rPr>
          <w:rFonts w:asciiTheme="majorBidi" w:hAnsiTheme="majorBidi" w:cstheme="majorBidi"/>
          <w:i/>
          <w:iCs/>
          <w:sz w:val="20"/>
          <w:lang w:val="fr-CH"/>
        </w:rPr>
        <w:t>document:</w:t>
      </w:r>
      <w:proofErr w:type="gramEnd"/>
      <w:r w:rsidRPr="00EB7F91">
        <w:rPr>
          <w:rFonts w:asciiTheme="majorBidi" w:hAnsiTheme="majorBidi" w:cstheme="majorBidi"/>
          <w:i/>
          <w:iCs/>
          <w:sz w:val="20"/>
          <w:lang w:val="fr-CH"/>
        </w:rPr>
        <w:t xml:space="preserve"> </w:t>
      </w:r>
      <w:proofErr w:type="spellStart"/>
      <w:r w:rsidRPr="00EB7F91">
        <w:rPr>
          <w:rFonts w:asciiTheme="majorBidi" w:hAnsiTheme="majorBidi" w:cstheme="majorBidi"/>
          <w:i/>
          <w:iCs/>
          <w:sz w:val="20"/>
          <w:lang w:val="fr-CH"/>
        </w:rPr>
        <w:t>informal</w:t>
      </w:r>
      <w:proofErr w:type="spellEnd"/>
      <w:r w:rsidRPr="00EB7F91">
        <w:rPr>
          <w:rFonts w:asciiTheme="majorBidi" w:hAnsiTheme="majorBidi" w:cstheme="majorBidi"/>
          <w:i/>
          <w:iCs/>
          <w:sz w:val="20"/>
          <w:lang w:val="fr-CH"/>
        </w:rPr>
        <w:t xml:space="preserve"> document INF.6)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fr-CH"/>
        </w:rPr>
        <w:tab/>
      </w:r>
      <w:r w:rsidR="00DC6394" w:rsidRPr="006F5D95">
        <w:rPr>
          <w:rFonts w:asciiTheme="majorBidi" w:hAnsiTheme="majorBidi" w:cstheme="majorBidi"/>
          <w:sz w:val="20"/>
          <w:lang w:val="en-GB"/>
        </w:rPr>
        <w:t>2</w:t>
      </w:r>
      <w:r w:rsidRPr="00EB7F91">
        <w:rPr>
          <w:rFonts w:asciiTheme="majorBidi" w:hAnsiTheme="majorBidi" w:cstheme="majorBidi"/>
          <w:sz w:val="20"/>
          <w:lang w:val="en-GB"/>
        </w:rPr>
        <w:t>7.</w:t>
      </w:r>
      <w:r w:rsidRPr="00EB7F91">
        <w:rPr>
          <w:rFonts w:asciiTheme="majorBidi" w:hAnsiTheme="majorBidi" w:cstheme="majorBidi"/>
          <w:sz w:val="20"/>
          <w:lang w:val="en-GB"/>
        </w:rPr>
        <w:tab/>
        <w:t xml:space="preserve">Part </w:t>
      </w:r>
      <w:r>
        <w:rPr>
          <w:rFonts w:asciiTheme="majorBidi" w:hAnsiTheme="majorBidi" w:cstheme="majorBidi"/>
          <w:sz w:val="20"/>
          <w:lang w:val="en-GB"/>
        </w:rPr>
        <w:t>7</w:t>
      </w:r>
      <w:r w:rsidRPr="00EB7F91">
        <w:rPr>
          <w:rFonts w:asciiTheme="majorBidi" w:hAnsiTheme="majorBidi" w:cstheme="majorBidi"/>
          <w:sz w:val="20"/>
          <w:lang w:val="en-GB"/>
        </w:rPr>
        <w:t xml:space="preserve">, Chapter 7.2, </w:t>
      </w:r>
      <w:r w:rsidRPr="00EB7F91">
        <w:rPr>
          <w:rFonts w:asciiTheme="majorBidi" w:hAnsiTheme="majorBidi" w:cstheme="majorBidi"/>
          <w:sz w:val="20"/>
          <w:lang w:val="en-US"/>
        </w:rPr>
        <w:t>7.2.3.51.7, first paragraph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99768D" w:rsidRPr="00EB7F91" w:rsidRDefault="00437CB6" w:rsidP="0099768D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28</w:t>
      </w:r>
      <w:r w:rsidR="0099768D" w:rsidRPr="00EB7F91">
        <w:rPr>
          <w:rFonts w:asciiTheme="majorBidi" w:hAnsiTheme="majorBidi" w:cstheme="majorBidi"/>
          <w:sz w:val="20"/>
          <w:lang w:val="en-GB"/>
        </w:rPr>
        <w:t>.</w:t>
      </w:r>
      <w:r w:rsidR="0099768D"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="0099768D" w:rsidRPr="00EB7F91">
        <w:rPr>
          <w:rFonts w:asciiTheme="majorBidi" w:hAnsiTheme="majorBidi" w:cstheme="majorBidi"/>
          <w:sz w:val="20"/>
          <w:lang w:val="en-GB"/>
        </w:rPr>
        <w:t>Chapter 8.1, 8.1.2.1 (e)</w:t>
      </w:r>
    </w:p>
    <w:p w:rsidR="0099768D" w:rsidRPr="00EB7F91" w:rsidRDefault="0099768D" w:rsidP="0099768D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installations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installations and equipment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2</w:t>
      </w:r>
      <w:r w:rsidRPr="00EB7F91">
        <w:rPr>
          <w:rFonts w:asciiTheme="majorBidi" w:hAnsiTheme="majorBidi" w:cstheme="majorBidi"/>
          <w:sz w:val="20"/>
          <w:lang w:val="en-GB"/>
        </w:rPr>
        <w:t>9.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8.1, 8.1.2.1 (e)</w:t>
      </w:r>
    </w:p>
    <w:p w:rsidR="00F72DA5" w:rsidRPr="00EB7F91" w:rsidRDefault="00F72DA5" w:rsidP="00F72DA5">
      <w:pPr>
        <w:pStyle w:val="SingleTxtG"/>
        <w:keepNext/>
        <w:keepLines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30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 xml:space="preserve">Part </w:t>
      </w:r>
      <w:r>
        <w:rPr>
          <w:rFonts w:asciiTheme="majorBidi" w:hAnsiTheme="majorBidi" w:cstheme="majorBidi"/>
          <w:sz w:val="20"/>
          <w:lang w:val="en-GB"/>
        </w:rPr>
        <w:t>8</w:t>
      </w:r>
      <w:r w:rsidRPr="00EB7F91">
        <w:rPr>
          <w:rFonts w:asciiTheme="majorBidi" w:hAnsiTheme="majorBidi" w:cstheme="majorBidi"/>
          <w:sz w:val="20"/>
          <w:lang w:val="en-GB"/>
        </w:rPr>
        <w:t>, Chapter 8.1, 8.1.2.3 (s)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31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8.1, 8.1.2.3 (t)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32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8.1, 8.1.2.3 (u)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33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 xml:space="preserve">Part </w:t>
      </w:r>
      <w:r>
        <w:rPr>
          <w:rFonts w:asciiTheme="majorBidi" w:hAnsiTheme="majorBidi" w:cstheme="majorBidi"/>
          <w:sz w:val="20"/>
          <w:lang w:val="en-GB"/>
        </w:rPr>
        <w:t>8</w:t>
      </w:r>
      <w:r w:rsidRPr="00EB7F91">
        <w:rPr>
          <w:rFonts w:asciiTheme="majorBidi" w:hAnsiTheme="majorBidi" w:cstheme="majorBidi"/>
          <w:sz w:val="20"/>
          <w:lang w:val="en-GB"/>
        </w:rPr>
        <w:t>, Chapter 8.1, 8.1.2.3 (v)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gas-freeing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degassing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lastRenderedPageBreak/>
        <w:tab/>
      </w:r>
      <w:r w:rsidR="00DC6394">
        <w:rPr>
          <w:rFonts w:asciiTheme="majorBidi" w:hAnsiTheme="majorBidi" w:cstheme="majorBidi"/>
          <w:sz w:val="20"/>
          <w:lang w:val="en-GB"/>
        </w:rPr>
        <w:t>34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8.1, 8.1.7, title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F72DA5" w:rsidRPr="00EB7F91" w:rsidRDefault="00F72DA5" w:rsidP="00F72DA5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35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8.1, 8.1.7.2, second paragraph</w:t>
      </w:r>
    </w:p>
    <w:p w:rsidR="00F72DA5" w:rsidRPr="00EB7F91" w:rsidRDefault="00F72DA5" w:rsidP="00F72DA5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self-contained protection systems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autonomous protection systems</w:t>
      </w:r>
    </w:p>
    <w:p w:rsidR="006D2F29" w:rsidRPr="00EB7F91" w:rsidRDefault="00720723" w:rsidP="006908F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Theme="majorBidi" w:hAnsiTheme="majorBidi" w:cstheme="majorBidi"/>
          <w:b/>
          <w:sz w:val="20"/>
          <w:lang w:val="en-GB"/>
        </w:rPr>
      </w:pPr>
      <w:r w:rsidRPr="00EB7F91">
        <w:rPr>
          <w:rFonts w:asciiTheme="majorBidi" w:hAnsiTheme="majorBidi" w:cstheme="majorBidi"/>
          <w:b/>
          <w:sz w:val="20"/>
          <w:lang w:val="en-GB"/>
        </w:rPr>
        <w:tab/>
      </w:r>
      <w:r w:rsidR="00DC6394">
        <w:rPr>
          <w:rFonts w:asciiTheme="majorBidi" w:hAnsiTheme="majorBidi" w:cstheme="majorBidi"/>
          <w:b/>
          <w:sz w:val="20"/>
          <w:lang w:val="en-GB"/>
        </w:rPr>
        <w:t>36</w:t>
      </w:r>
      <w:r w:rsidRPr="00EB7F91">
        <w:rPr>
          <w:rFonts w:asciiTheme="majorBidi" w:hAnsiTheme="majorBidi" w:cstheme="majorBidi"/>
          <w:b/>
          <w:sz w:val="20"/>
          <w:lang w:val="en-GB"/>
        </w:rPr>
        <w:t>.</w:t>
      </w:r>
      <w:r w:rsidRPr="00EB7F91">
        <w:rPr>
          <w:rFonts w:asciiTheme="majorBidi" w:hAnsiTheme="majorBidi" w:cstheme="majorBidi"/>
          <w:b/>
          <w:sz w:val="20"/>
          <w:lang w:val="en-GB"/>
        </w:rPr>
        <w:tab/>
        <w:t xml:space="preserve">Part 8, Chapter </w:t>
      </w:r>
      <w:r w:rsidR="00E41921" w:rsidRPr="00EB7F91">
        <w:rPr>
          <w:rFonts w:asciiTheme="majorBidi" w:hAnsiTheme="majorBidi" w:cstheme="majorBidi"/>
          <w:b/>
          <w:sz w:val="20"/>
          <w:lang w:val="en-GB"/>
        </w:rPr>
        <w:t xml:space="preserve">8.2, </w:t>
      </w:r>
      <w:r w:rsidRPr="00EB7F91">
        <w:rPr>
          <w:rFonts w:asciiTheme="majorBidi" w:hAnsiTheme="majorBidi" w:cstheme="majorBidi"/>
          <w:b/>
          <w:sz w:val="20"/>
          <w:lang w:val="en-GB"/>
        </w:rPr>
        <w:t>8.2.2.8.4 (a)</w:t>
      </w:r>
    </w:p>
    <w:p w:rsidR="006D2F29" w:rsidRPr="00EB7F91" w:rsidRDefault="00720723" w:rsidP="007C5DD7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i/>
          <w:sz w:val="20"/>
          <w:lang w:val="en-GB"/>
        </w:rPr>
        <w:t xml:space="preserve">For </w:t>
      </w:r>
      <w:r w:rsidRPr="006F5D95">
        <w:rPr>
          <w:rFonts w:asciiTheme="majorBidi" w:hAnsiTheme="majorBidi" w:cstheme="majorBidi"/>
          <w:sz w:val="20"/>
          <w:lang w:val="en-GB"/>
        </w:rPr>
        <w:t>(basic</w:t>
      </w:r>
      <w:r w:rsidRPr="00EB7F91">
        <w:rPr>
          <w:rFonts w:asciiTheme="majorBidi" w:hAnsiTheme="majorBidi" w:cstheme="majorBidi"/>
          <w:sz w:val="20"/>
          <w:lang w:val="en-GB"/>
        </w:rPr>
        <w:t xml:space="preserve"> training</w:t>
      </w:r>
      <w:r w:rsidRPr="00EB7F91">
        <w:rPr>
          <w:rFonts w:asciiTheme="majorBidi" w:hAnsiTheme="majorBidi" w:cstheme="majorBidi"/>
          <w:i/>
          <w:sz w:val="20"/>
          <w:lang w:val="en-GB"/>
        </w:rPr>
        <w:t xml:space="preserve"> read </w:t>
      </w:r>
      <w:r w:rsidRPr="00EB7F91">
        <w:rPr>
          <w:rFonts w:asciiTheme="majorBidi" w:hAnsiTheme="majorBidi" w:cstheme="majorBidi"/>
          <w:sz w:val="20"/>
          <w:lang w:val="en-GB"/>
        </w:rPr>
        <w:t>(basic training)</w:t>
      </w:r>
    </w:p>
    <w:p w:rsidR="00EB7F91" w:rsidRPr="00EB7F91" w:rsidRDefault="00EB7F91" w:rsidP="00EB7F91">
      <w:pPr>
        <w:pStyle w:val="H23G"/>
        <w:rPr>
          <w:rFonts w:asciiTheme="majorBidi" w:hAnsiTheme="majorBidi" w:cstheme="majorBidi"/>
          <w:sz w:val="20"/>
          <w:lang w:val="en-GB"/>
        </w:rPr>
      </w:pPr>
      <w:r w:rsidRPr="006F5D95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37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  <w:t xml:space="preserve">Part </w:t>
      </w:r>
      <w:r>
        <w:rPr>
          <w:rFonts w:asciiTheme="majorBidi" w:hAnsiTheme="majorBidi" w:cstheme="majorBidi"/>
          <w:sz w:val="20"/>
          <w:lang w:val="en-GB"/>
        </w:rPr>
        <w:t>8</w:t>
      </w:r>
      <w:r w:rsidRPr="00EB7F91">
        <w:rPr>
          <w:rFonts w:asciiTheme="majorBidi" w:hAnsiTheme="majorBidi" w:cstheme="majorBidi"/>
          <w:sz w:val="20"/>
          <w:lang w:val="en-GB"/>
        </w:rPr>
        <w:t>, Chapter 8.3, 8.3.5, second indent</w:t>
      </w:r>
    </w:p>
    <w:p w:rsidR="00EB7F91" w:rsidRPr="00EB7F91" w:rsidRDefault="00EB7F91" w:rsidP="00EB7F91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gas-freed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degassed</w:t>
      </w:r>
    </w:p>
    <w:p w:rsidR="00437CB6" w:rsidRPr="00EB7F91" w:rsidRDefault="00437CB6" w:rsidP="00437CB6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</w:t>
      </w:r>
      <w:r w:rsidRPr="00EB7F91">
        <w:rPr>
          <w:rFonts w:asciiTheme="majorBidi" w:hAnsiTheme="majorBidi" w:cstheme="majorBidi"/>
          <w:sz w:val="20"/>
          <w:lang w:val="en-GB"/>
        </w:rPr>
        <w:t>8.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8.6, 8.6.1.1 Model certificate of approval, item No.4</w:t>
      </w:r>
    </w:p>
    <w:p w:rsidR="00437CB6" w:rsidRPr="00EB7F91" w:rsidRDefault="00437CB6" w:rsidP="00C3466A">
      <w:pPr>
        <w:pStyle w:val="SingleTxtG"/>
        <w:rPr>
          <w:rFonts w:asciiTheme="majorBidi" w:hAnsiTheme="majorBidi" w:cstheme="majorBidi"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>For</w:t>
      </w:r>
      <w:r w:rsidRPr="00EB7F91">
        <w:rPr>
          <w:rFonts w:asciiTheme="majorBidi" w:hAnsiTheme="majorBidi" w:cstheme="majorBidi"/>
          <w:sz w:val="20"/>
          <w:lang w:val="en-GB"/>
        </w:rPr>
        <w:t xml:space="preserve"> Electrical and non-electrical installations and equipment for use in protected areas: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iCs/>
          <w:sz w:val="20"/>
          <w:lang w:val="en-GB"/>
        </w:rPr>
        <w:t>Stationary electrical and non-electrical installations and equipment for use in protected areas:</w:t>
      </w:r>
    </w:p>
    <w:p w:rsidR="00437CB6" w:rsidRPr="00EB7F91" w:rsidRDefault="00437CB6" w:rsidP="00437CB6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3</w:t>
      </w:r>
      <w:r w:rsidRPr="00EB7F91">
        <w:rPr>
          <w:rFonts w:asciiTheme="majorBidi" w:hAnsiTheme="majorBidi" w:cstheme="majorBidi"/>
          <w:sz w:val="20"/>
          <w:lang w:val="en-GB"/>
        </w:rPr>
        <w:t>9.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8.6, 8.6.1.2 Model certificate of approval, item No.4</w:t>
      </w:r>
    </w:p>
    <w:p w:rsidR="00437CB6" w:rsidRPr="00EB7F91" w:rsidRDefault="00437CB6" w:rsidP="00C3466A">
      <w:pPr>
        <w:pStyle w:val="SingleTxt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Electrical and non-electrical installations and equipment for use in protected areas:</w:t>
      </w:r>
      <w:r w:rsidR="00C3466A">
        <w:rPr>
          <w:rFonts w:asciiTheme="majorBidi" w:hAnsiTheme="majorBidi" w:cstheme="majorBidi"/>
          <w:sz w:val="20"/>
          <w:lang w:val="en-GB"/>
        </w:rPr>
        <w:br/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read </w:t>
      </w:r>
      <w:r w:rsidRPr="00EB7F91">
        <w:rPr>
          <w:rFonts w:asciiTheme="majorBidi" w:hAnsiTheme="majorBidi" w:cstheme="majorBidi"/>
          <w:sz w:val="20"/>
          <w:lang w:val="en-GB"/>
        </w:rPr>
        <w:t>Stationary electrical and non-electrical installations and equipment for use in protected areas:</w:t>
      </w:r>
    </w:p>
    <w:p w:rsidR="00437CB6" w:rsidRPr="00EB7F91" w:rsidRDefault="00437CB6" w:rsidP="00437CB6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4</w:t>
      </w:r>
      <w:r w:rsidRPr="00EB7F91">
        <w:rPr>
          <w:rFonts w:asciiTheme="majorBidi" w:hAnsiTheme="majorBidi" w:cstheme="majorBidi"/>
          <w:sz w:val="20"/>
          <w:lang w:val="en-GB"/>
        </w:rPr>
        <w:t>0.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8.6, 8.6.1.3 Model certificate of approval, item No.9</w:t>
      </w:r>
    </w:p>
    <w:p w:rsidR="00437CB6" w:rsidRPr="00EB7F91" w:rsidRDefault="00437CB6" w:rsidP="00C3466A">
      <w:pPr>
        <w:pStyle w:val="SingleTxtG"/>
        <w:rPr>
          <w:rFonts w:asciiTheme="majorBidi" w:hAnsiTheme="majorBidi" w:cstheme="majorBidi"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Electrical and non-electrical installations and equipment for use in explosion hazardous areas:</w:t>
      </w:r>
      <w:r w:rsidR="006F5D95">
        <w:rPr>
          <w:rFonts w:asciiTheme="majorBidi" w:hAnsiTheme="majorBidi" w:cstheme="majorBidi"/>
          <w:sz w:val="20"/>
          <w:lang w:val="en-GB"/>
        </w:rPr>
        <w:t xml:space="preserve"> </w:t>
      </w:r>
      <w:r w:rsidRPr="006F5D95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6F5D95">
        <w:rPr>
          <w:rFonts w:asciiTheme="majorBidi" w:hAnsiTheme="majorBidi" w:cstheme="majorBidi"/>
          <w:sz w:val="20"/>
          <w:lang w:val="en-GB"/>
        </w:rPr>
        <w:t xml:space="preserve"> </w:t>
      </w:r>
      <w:r w:rsidRPr="006F5D95">
        <w:rPr>
          <w:rFonts w:asciiTheme="majorBidi" w:hAnsiTheme="majorBidi" w:cstheme="majorBidi"/>
          <w:iCs/>
          <w:sz w:val="20"/>
          <w:lang w:val="en-GB"/>
        </w:rPr>
        <w:t>Stationary</w:t>
      </w:r>
      <w:r w:rsidRPr="00EB7F91">
        <w:rPr>
          <w:rFonts w:asciiTheme="majorBidi" w:hAnsiTheme="majorBidi" w:cstheme="majorBidi"/>
          <w:iCs/>
          <w:sz w:val="20"/>
          <w:lang w:val="en-GB"/>
        </w:rPr>
        <w:t xml:space="preserve"> electrical installations and equipment:</w:t>
      </w:r>
    </w:p>
    <w:p w:rsidR="00437CB6" w:rsidRPr="00EB7F91" w:rsidRDefault="00437CB6" w:rsidP="00437CB6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4</w:t>
      </w:r>
      <w:r w:rsidRPr="00EB7F91">
        <w:rPr>
          <w:rFonts w:asciiTheme="majorBidi" w:hAnsiTheme="majorBidi" w:cstheme="majorBidi"/>
          <w:sz w:val="20"/>
          <w:lang w:val="en-GB"/>
        </w:rPr>
        <w:t>1.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8.6, 8.6.1.4 Model certificate of approval, item No.9</w:t>
      </w:r>
    </w:p>
    <w:p w:rsidR="00437CB6" w:rsidRPr="00EB7F91" w:rsidRDefault="00437CB6" w:rsidP="00C3466A">
      <w:pPr>
        <w:pStyle w:val="SingleTxtG"/>
        <w:rPr>
          <w:rFonts w:asciiTheme="majorBidi" w:hAnsiTheme="majorBidi" w:cstheme="majorBidi"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>Electrical and non-electrical installations and equipment for use in explosion hazardous areas</w:t>
      </w:r>
      <w:r w:rsidRPr="006F5D95">
        <w:rPr>
          <w:rFonts w:asciiTheme="majorBidi" w:hAnsiTheme="majorBidi" w:cstheme="majorBidi"/>
          <w:sz w:val="20"/>
          <w:lang w:val="en-GB"/>
        </w:rPr>
        <w:t>:</w:t>
      </w:r>
      <w:r w:rsidR="006F5D95" w:rsidRPr="006F5D95">
        <w:rPr>
          <w:rFonts w:asciiTheme="majorBidi" w:hAnsiTheme="majorBidi" w:cstheme="majorBidi"/>
          <w:sz w:val="20"/>
          <w:lang w:val="en-GB"/>
        </w:rPr>
        <w:t xml:space="preserve"> </w:t>
      </w:r>
      <w:r w:rsidRPr="006F5D95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6F5D95">
        <w:rPr>
          <w:rFonts w:asciiTheme="majorBidi" w:hAnsiTheme="majorBidi" w:cstheme="majorBidi"/>
          <w:sz w:val="20"/>
          <w:lang w:val="en-GB"/>
        </w:rPr>
        <w:t xml:space="preserve"> </w:t>
      </w:r>
      <w:r w:rsidRPr="006F5D95">
        <w:rPr>
          <w:rFonts w:asciiTheme="majorBidi" w:hAnsiTheme="majorBidi" w:cstheme="majorBidi"/>
          <w:iCs/>
          <w:sz w:val="20"/>
          <w:lang w:val="en-GB"/>
        </w:rPr>
        <w:t>Stationary electrical</w:t>
      </w:r>
      <w:r w:rsidRPr="00EB7F91">
        <w:rPr>
          <w:rFonts w:asciiTheme="majorBidi" w:hAnsiTheme="majorBidi" w:cstheme="majorBidi"/>
          <w:iCs/>
          <w:sz w:val="20"/>
          <w:lang w:val="en-GB"/>
        </w:rPr>
        <w:t xml:space="preserve"> installations and equipment:</w:t>
      </w:r>
    </w:p>
    <w:p w:rsidR="00437CB6" w:rsidRPr="00EB7F91" w:rsidRDefault="00437CB6" w:rsidP="00437CB6">
      <w:pPr>
        <w:pStyle w:val="H23G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4</w:t>
      </w:r>
      <w:r w:rsidRPr="00EB7F91">
        <w:rPr>
          <w:rFonts w:asciiTheme="majorBidi" w:hAnsiTheme="majorBidi" w:cstheme="majorBidi"/>
          <w:sz w:val="20"/>
          <w:lang w:val="en-GB"/>
        </w:rPr>
        <w:t>2.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8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8.6, 8.6.3 Checklist question 14, sixth indent</w:t>
      </w:r>
    </w:p>
    <w:p w:rsidR="00437CB6" w:rsidRPr="00EB7F91" w:rsidRDefault="00437CB6" w:rsidP="00437CB6">
      <w:pPr>
        <w:pStyle w:val="SingleTxtG"/>
        <w:rPr>
          <w:rFonts w:asciiTheme="majorBidi" w:hAnsiTheme="majorBidi" w:cstheme="majorBidi"/>
          <w:iCs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 xml:space="preserve">For </w:t>
      </w:r>
      <w:r w:rsidRPr="00EB7F91">
        <w:rPr>
          <w:rFonts w:asciiTheme="majorBidi" w:hAnsiTheme="majorBidi" w:cstheme="majorBidi"/>
          <w:sz w:val="20"/>
          <w:lang w:val="en-GB"/>
        </w:rPr>
        <w:t xml:space="preserve">equipment </w:t>
      </w:r>
      <w:r w:rsidRPr="00EB7F91">
        <w:rPr>
          <w:rFonts w:asciiTheme="majorBidi" w:hAnsiTheme="majorBidi" w:cstheme="majorBidi"/>
          <w:i/>
          <w:iCs/>
          <w:sz w:val="20"/>
          <w:lang w:val="en-GB"/>
        </w:rPr>
        <w:t>read</w:t>
      </w:r>
      <w:r w:rsidRP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iCs/>
          <w:sz w:val="20"/>
          <w:lang w:val="en-GB"/>
        </w:rPr>
        <w:t>installations and equipment</w:t>
      </w:r>
    </w:p>
    <w:p w:rsidR="006908FF" w:rsidRPr="00EB7F91" w:rsidRDefault="006908FF" w:rsidP="006908FF">
      <w:pPr>
        <w:pStyle w:val="H23G"/>
        <w:kinsoku w:val="0"/>
        <w:overflowPunct w:val="0"/>
        <w:autoSpaceDE w:val="0"/>
        <w:autoSpaceDN w:val="0"/>
        <w:adjustRightInd w:val="0"/>
        <w:snapToGrid w:val="0"/>
        <w:rPr>
          <w:rFonts w:asciiTheme="majorBidi" w:eastAsiaTheme="minorHAns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sz w:val="20"/>
          <w:lang w:val="en-GB"/>
        </w:rPr>
        <w:tab/>
      </w:r>
      <w:r w:rsidR="00DC6394">
        <w:rPr>
          <w:rFonts w:asciiTheme="majorBidi" w:hAnsiTheme="majorBidi" w:cstheme="majorBidi"/>
          <w:sz w:val="20"/>
          <w:lang w:val="en-GB"/>
        </w:rPr>
        <w:t>43</w:t>
      </w:r>
      <w:r w:rsidRPr="00EB7F91">
        <w:rPr>
          <w:rFonts w:asciiTheme="majorBidi" w:hAnsiTheme="majorBidi" w:cstheme="majorBidi"/>
          <w:sz w:val="20"/>
          <w:lang w:val="en-GB"/>
        </w:rPr>
        <w:t>.</w:t>
      </w:r>
      <w:r w:rsidRPr="00EB7F91">
        <w:rPr>
          <w:rFonts w:asciiTheme="majorBidi" w:hAnsiTheme="majorBidi" w:cstheme="majorBidi"/>
          <w:sz w:val="20"/>
          <w:lang w:val="en-GB"/>
        </w:rPr>
        <w:tab/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Part </w:t>
      </w:r>
      <w:r w:rsidR="00EB7F91">
        <w:rPr>
          <w:rFonts w:asciiTheme="majorBidi" w:hAnsiTheme="majorBidi" w:cstheme="majorBidi"/>
          <w:sz w:val="20"/>
          <w:lang w:val="en-GB"/>
        </w:rPr>
        <w:t>9</w:t>
      </w:r>
      <w:r w:rsidR="00EB7F91" w:rsidRPr="00EB7F91">
        <w:rPr>
          <w:rFonts w:asciiTheme="majorBidi" w:hAnsiTheme="majorBidi" w:cstheme="majorBidi"/>
          <w:sz w:val="20"/>
          <w:lang w:val="en-GB"/>
        </w:rPr>
        <w:t xml:space="preserve">, </w:t>
      </w:r>
      <w:r w:rsidRPr="00EB7F91">
        <w:rPr>
          <w:rFonts w:asciiTheme="majorBidi" w:hAnsiTheme="majorBidi" w:cstheme="majorBidi"/>
          <w:sz w:val="20"/>
          <w:lang w:val="en-GB"/>
        </w:rPr>
        <w:t>Chapter 9.3, 9.3.x.12.4 (b)(</w:t>
      </w:r>
      <w:proofErr w:type="spellStart"/>
      <w:r w:rsidRPr="00EB7F91">
        <w:rPr>
          <w:rFonts w:asciiTheme="majorBidi" w:hAnsiTheme="majorBidi" w:cstheme="majorBidi"/>
          <w:sz w:val="20"/>
          <w:lang w:val="en-GB"/>
        </w:rPr>
        <w:t>i</w:t>
      </w:r>
      <w:proofErr w:type="spellEnd"/>
      <w:r w:rsidRPr="00EB7F91">
        <w:rPr>
          <w:rFonts w:asciiTheme="majorBidi" w:hAnsiTheme="majorBidi" w:cstheme="majorBidi"/>
          <w:sz w:val="20"/>
          <w:lang w:val="en-GB"/>
        </w:rPr>
        <w:t>)</w:t>
      </w:r>
    </w:p>
    <w:p w:rsidR="006B76E4" w:rsidRPr="00437CB6" w:rsidRDefault="006908FF" w:rsidP="006908FF">
      <w:pPr>
        <w:spacing w:after="120"/>
        <w:ind w:left="1134" w:right="1134"/>
        <w:rPr>
          <w:rFonts w:asciiTheme="majorBidi" w:hAnsiTheme="majorBidi" w:cstheme="majorBidi"/>
          <w:sz w:val="20"/>
          <w:lang w:val="en-GB"/>
        </w:rPr>
      </w:pPr>
      <w:r w:rsidRPr="00EB7F91">
        <w:rPr>
          <w:rFonts w:asciiTheme="majorBidi" w:hAnsiTheme="majorBidi" w:cstheme="majorBidi"/>
          <w:i/>
          <w:iCs/>
          <w:sz w:val="20"/>
          <w:lang w:val="en-GB"/>
        </w:rPr>
        <w:t>For</w:t>
      </w:r>
      <w:r w:rsidRPr="00EB7F91">
        <w:rPr>
          <w:rFonts w:asciiTheme="majorBidi" w:hAnsiTheme="majorBidi" w:cstheme="majorBidi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color w:val="000000" w:themeColor="text1"/>
          <w:sz w:val="20"/>
          <w:lang w:val="en-GB"/>
        </w:rPr>
        <w:t xml:space="preserve">protected area </w:t>
      </w:r>
      <w:r w:rsidRPr="00EB7F91">
        <w:rPr>
          <w:rFonts w:asciiTheme="majorBidi" w:hAnsiTheme="majorBidi" w:cstheme="majorBidi"/>
          <w:i/>
          <w:iCs/>
          <w:color w:val="000000" w:themeColor="text1"/>
          <w:sz w:val="20"/>
          <w:lang w:val="en-GB"/>
        </w:rPr>
        <w:t>read</w:t>
      </w:r>
      <w:r w:rsidRPr="00EB7F91">
        <w:rPr>
          <w:rFonts w:asciiTheme="majorBidi" w:hAnsiTheme="majorBidi" w:cstheme="majorBidi"/>
          <w:color w:val="000000" w:themeColor="text1"/>
          <w:sz w:val="20"/>
          <w:lang w:val="en-GB"/>
        </w:rPr>
        <w:t xml:space="preserve"> </w:t>
      </w:r>
      <w:r w:rsidRPr="00EB7F91">
        <w:rPr>
          <w:rFonts w:asciiTheme="majorBidi" w:hAnsiTheme="majorBidi" w:cstheme="majorBidi"/>
          <w:sz w:val="20"/>
          <w:lang w:val="en-GB"/>
        </w:rPr>
        <w:t>cargo area</w:t>
      </w:r>
    </w:p>
    <w:p w:rsidR="0002411B" w:rsidRPr="00EC5D3F" w:rsidRDefault="0002411B" w:rsidP="0002411B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suppressAutoHyphens/>
        <w:spacing w:before="240" w:line="240" w:lineRule="atLeast"/>
        <w:ind w:left="1134" w:right="1134"/>
        <w:jc w:val="center"/>
        <w:rPr>
          <w:sz w:val="20"/>
          <w:u w:val="single"/>
          <w:lang w:val="en-GB" w:eastAsia="de-DE"/>
        </w:rPr>
      </w:pPr>
      <w:r w:rsidRPr="00EC5D3F">
        <w:rPr>
          <w:sz w:val="20"/>
          <w:u w:val="single"/>
          <w:lang w:val="en-GB" w:eastAsia="de-DE"/>
        </w:rPr>
        <w:tab/>
      </w:r>
      <w:r w:rsidRPr="00EC5D3F">
        <w:rPr>
          <w:sz w:val="20"/>
          <w:u w:val="single"/>
          <w:lang w:val="en-GB" w:eastAsia="de-DE"/>
        </w:rPr>
        <w:tab/>
      </w:r>
      <w:r w:rsidRPr="00EC5D3F">
        <w:rPr>
          <w:sz w:val="20"/>
          <w:u w:val="single"/>
          <w:lang w:val="en-GB" w:eastAsia="de-DE"/>
        </w:rPr>
        <w:tab/>
      </w:r>
    </w:p>
    <w:sectPr w:rsidR="0002411B" w:rsidRPr="00EC5D3F" w:rsidSect="00A47C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C3" w:rsidRDefault="003D36C3"/>
  </w:endnote>
  <w:endnote w:type="continuationSeparator" w:id="0">
    <w:p w:rsidR="003D36C3" w:rsidRDefault="003D36C3"/>
  </w:endnote>
  <w:endnote w:type="continuationNotice" w:id="1">
    <w:p w:rsidR="003D36C3" w:rsidRDefault="003D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22"/>
      </w:rPr>
      <w:id w:val="-1364123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9C0" w:rsidRPr="00D759C0" w:rsidRDefault="00D759C0" w:rsidP="00D759C0">
        <w:pPr>
          <w:pStyle w:val="Footer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 w:rsidRPr="00D759C0">
          <w:rPr>
            <w:b/>
            <w:bCs/>
            <w:noProof/>
            <w:sz w:val="18"/>
            <w:szCs w:val="22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22"/>
      </w:rPr>
      <w:id w:val="20098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9C0" w:rsidRPr="00D759C0" w:rsidRDefault="00D759C0" w:rsidP="00D759C0">
        <w:pPr>
          <w:pStyle w:val="Footer"/>
          <w:jc w:val="right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sz w:val="18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AE2" w:rsidRPr="00860A39" w:rsidRDefault="00747C9D" w:rsidP="00B30B11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before="120"/>
      <w:jc w:val="right"/>
      <w:rPr>
        <w:bCs/>
        <w:noProof/>
        <w:sz w:val="20"/>
        <w:lang w:val="en-US"/>
      </w:rPr>
    </w:pPr>
    <w:r>
      <w:rPr>
        <w:rFonts w:ascii="C39T30Lfz" w:hAnsi="C39T30Lfz"/>
        <w:noProof/>
        <w:sz w:val="56"/>
        <w:lang w:val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4145208</wp:posOffset>
          </wp:positionH>
          <wp:positionV relativeFrom="margin">
            <wp:posOffset>8968189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2" name="Picture 1" descr="https://undocs.org/m2/QRCode.ashx?DS=ECE/TRANS/276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6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C9D">
      <w:rPr>
        <w:rStyle w:val="PageNumber"/>
        <w:noProof/>
        <w:lang w:eastAsia="zh-CN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3083560</wp:posOffset>
          </wp:positionH>
          <wp:positionV relativeFrom="margin">
            <wp:posOffset>9226550</wp:posOffset>
          </wp:positionV>
          <wp:extent cx="932180" cy="229870"/>
          <wp:effectExtent l="0" t="0" r="1270" b="0"/>
          <wp:wrapThrough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E2F">
      <w:rPr>
        <w:rStyle w:val="PageNumber"/>
      </w:rPr>
      <w:tab/>
    </w:r>
    <w:r w:rsidR="00FE7AE2">
      <w:rPr>
        <w:bCs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67792" wp14:editId="4465F43B">
              <wp:simplePos x="0" y="0"/>
              <wp:positionH relativeFrom="column">
                <wp:posOffset>25400</wp:posOffset>
              </wp:positionH>
              <wp:positionV relativeFrom="paragraph">
                <wp:posOffset>37465</wp:posOffset>
              </wp:positionV>
              <wp:extent cx="6189345" cy="0"/>
              <wp:effectExtent l="19050" t="15240" r="2095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1CD6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95pt" to="48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P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" strokeweight="2pt"/>
          </w:pict>
        </mc:Fallback>
      </mc:AlternateContent>
    </w:r>
    <w:r w:rsidR="00FE7AE2" w:rsidRPr="00860A39">
      <w:rPr>
        <w:bCs/>
        <w:noProof/>
        <w:sz w:val="20"/>
        <w:lang w:val="en-US"/>
      </w:rPr>
      <w:t>ECE/TRANS</w:t>
    </w:r>
    <w:r w:rsidR="00FE7AE2">
      <w:rPr>
        <w:bCs/>
        <w:noProof/>
        <w:sz w:val="20"/>
        <w:lang w:val="en-US"/>
      </w:rPr>
      <w:t>/276</w:t>
    </w:r>
    <w:r w:rsidR="00FE7AE2" w:rsidRPr="00860A39">
      <w:rPr>
        <w:bCs/>
        <w:noProof/>
        <w:sz w:val="20"/>
        <w:lang w:val="en-US"/>
      </w:rPr>
      <w:t>/Corr.</w:t>
    </w:r>
    <w:r w:rsidR="00FE7AE2">
      <w:rPr>
        <w:bCs/>
        <w:noProof/>
        <w:sz w:val="20"/>
        <w:lang w:val="en-US"/>
      </w:rPr>
      <w:t>1</w:t>
    </w:r>
  </w:p>
  <w:p w:rsidR="00FE7AE2" w:rsidRPr="0012736E" w:rsidRDefault="00FE7AE2" w:rsidP="00FE7AE2">
    <w:pPr>
      <w:pStyle w:val="Footer"/>
      <w:jc w:val="right"/>
      <w:rPr>
        <w:sz w:val="18"/>
        <w:lang w:val="en-GB"/>
      </w:rPr>
    </w:pPr>
    <w:r>
      <w:rPr>
        <w:sz w:val="18"/>
        <w:lang w:val="en-GB"/>
      </w:rPr>
      <w:t xml:space="preserve">Original: </w:t>
    </w:r>
    <w:r w:rsidRPr="0012736E">
      <w:rPr>
        <w:sz w:val="18"/>
        <w:lang w:val="en-GB"/>
      </w:rPr>
      <w:t>English</w:t>
    </w:r>
    <w:r>
      <w:rPr>
        <w:sz w:val="18"/>
        <w:lang w:val="en-GB"/>
      </w:rPr>
      <w:t xml:space="preserve"> and French</w:t>
    </w:r>
  </w:p>
  <w:p w:rsidR="00FE7AE2" w:rsidRPr="00646E38" w:rsidRDefault="00FE7AE2" w:rsidP="00FE7AE2">
    <w:pPr>
      <w:pStyle w:val="Footer"/>
      <w:jc w:val="right"/>
      <w:rPr>
        <w:sz w:val="20"/>
        <w:lang w:val="en-GB"/>
      </w:rPr>
    </w:pPr>
    <w:r w:rsidRPr="00646E38">
      <w:rPr>
        <w:sz w:val="20"/>
        <w:lang w:val="en-GB"/>
      </w:rPr>
      <w:t xml:space="preserve">ISBN: </w:t>
    </w:r>
    <w:r w:rsidRPr="00311531">
      <w:rPr>
        <w:bCs/>
        <w:sz w:val="20"/>
        <w:lang w:val="en-GB"/>
      </w:rPr>
      <w:t>978-92-1-139164-0</w:t>
    </w:r>
  </w:p>
  <w:p w:rsidR="001A7967" w:rsidRDefault="001A7967" w:rsidP="00747C9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C3" w:rsidRPr="000B175B" w:rsidRDefault="003D36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36C3" w:rsidRPr="00FC68B7" w:rsidRDefault="003D36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36C3" w:rsidRDefault="003D3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67" w:rsidRPr="008A7EEB" w:rsidRDefault="001A7967">
    <w:pPr>
      <w:pStyle w:val="Header"/>
      <w:rPr>
        <w:lang w:val="en-US"/>
      </w:rPr>
    </w:pPr>
    <w:r>
      <w:rPr>
        <w:lang w:val="en-US"/>
      </w:rPr>
      <w:t>ECE/TRANS/2</w:t>
    </w:r>
    <w:r w:rsidR="00D12078">
      <w:rPr>
        <w:lang w:val="en-US"/>
      </w:rPr>
      <w:t>76</w:t>
    </w:r>
    <w:r w:rsidR="00646E38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FE" w:rsidRPr="008A7EEB" w:rsidRDefault="00AD6EFE" w:rsidP="00AD6EFE">
    <w:pPr>
      <w:pStyle w:val="Header"/>
      <w:jc w:val="right"/>
      <w:rPr>
        <w:lang w:val="en-US"/>
      </w:rPr>
    </w:pPr>
    <w:r>
      <w:rPr>
        <w:lang w:val="en-US"/>
      </w:rPr>
      <w:t>ECE/TRANS/</w:t>
    </w:r>
    <w:r w:rsidR="00D12078">
      <w:rPr>
        <w:lang w:val="en-US"/>
      </w:rPr>
      <w:t>276</w:t>
    </w:r>
    <w:r>
      <w:rPr>
        <w:lang w:val="en-US"/>
      </w:rPr>
      <w:t>/Corr.1</w:t>
    </w:r>
  </w:p>
  <w:p w:rsidR="001A7967" w:rsidRPr="008C4CAC" w:rsidRDefault="001A7967" w:rsidP="008C4CA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BFE"/>
    <w:multiLevelType w:val="hybridMultilevel"/>
    <w:tmpl w:val="4D4CB5A4"/>
    <w:lvl w:ilvl="0" w:tplc="85D495EE">
      <w:start w:val="2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A8"/>
    <w:rsid w:val="0002411B"/>
    <w:rsid w:val="0002412D"/>
    <w:rsid w:val="00041343"/>
    <w:rsid w:val="00050F6B"/>
    <w:rsid w:val="0006727E"/>
    <w:rsid w:val="00072C8C"/>
    <w:rsid w:val="000931C0"/>
    <w:rsid w:val="00095018"/>
    <w:rsid w:val="000B175B"/>
    <w:rsid w:val="000B3A0F"/>
    <w:rsid w:val="000B57D1"/>
    <w:rsid w:val="000D1323"/>
    <w:rsid w:val="000E0415"/>
    <w:rsid w:val="000E3689"/>
    <w:rsid w:val="00101AB0"/>
    <w:rsid w:val="00107CD6"/>
    <w:rsid w:val="00120A5E"/>
    <w:rsid w:val="001220B8"/>
    <w:rsid w:val="001257E5"/>
    <w:rsid w:val="0012736E"/>
    <w:rsid w:val="00154D5F"/>
    <w:rsid w:val="001668E2"/>
    <w:rsid w:val="00167501"/>
    <w:rsid w:val="001A7967"/>
    <w:rsid w:val="001B4B04"/>
    <w:rsid w:val="001C6663"/>
    <w:rsid w:val="001C7895"/>
    <w:rsid w:val="001D26DF"/>
    <w:rsid w:val="0020271A"/>
    <w:rsid w:val="00210E2F"/>
    <w:rsid w:val="00211E0B"/>
    <w:rsid w:val="00224518"/>
    <w:rsid w:val="002405A7"/>
    <w:rsid w:val="00271DD7"/>
    <w:rsid w:val="00274A13"/>
    <w:rsid w:val="00282660"/>
    <w:rsid w:val="00285F1E"/>
    <w:rsid w:val="002A6E2F"/>
    <w:rsid w:val="002B17DD"/>
    <w:rsid w:val="002C4770"/>
    <w:rsid w:val="003107FA"/>
    <w:rsid w:val="00311531"/>
    <w:rsid w:val="003229D8"/>
    <w:rsid w:val="00325C14"/>
    <w:rsid w:val="0033745A"/>
    <w:rsid w:val="00353D10"/>
    <w:rsid w:val="003639B5"/>
    <w:rsid w:val="00367093"/>
    <w:rsid w:val="003823AE"/>
    <w:rsid w:val="0038345F"/>
    <w:rsid w:val="0039277A"/>
    <w:rsid w:val="003972E0"/>
    <w:rsid w:val="003A705B"/>
    <w:rsid w:val="003C2CC4"/>
    <w:rsid w:val="003C3936"/>
    <w:rsid w:val="003D36C3"/>
    <w:rsid w:val="003D4B23"/>
    <w:rsid w:val="003E5AA2"/>
    <w:rsid w:val="003F1ED3"/>
    <w:rsid w:val="00425CD7"/>
    <w:rsid w:val="004325CB"/>
    <w:rsid w:val="00436F23"/>
    <w:rsid w:val="00437CB6"/>
    <w:rsid w:val="00442BE1"/>
    <w:rsid w:val="00446DE4"/>
    <w:rsid w:val="00466514"/>
    <w:rsid w:val="004A0CC1"/>
    <w:rsid w:val="004A41CA"/>
    <w:rsid w:val="004C78B6"/>
    <w:rsid w:val="004F26EA"/>
    <w:rsid w:val="00503228"/>
    <w:rsid w:val="00505384"/>
    <w:rsid w:val="0052225D"/>
    <w:rsid w:val="005420F2"/>
    <w:rsid w:val="005774E3"/>
    <w:rsid w:val="00580F20"/>
    <w:rsid w:val="005B3DB3"/>
    <w:rsid w:val="005B4208"/>
    <w:rsid w:val="005D4DB5"/>
    <w:rsid w:val="005E3654"/>
    <w:rsid w:val="006023CA"/>
    <w:rsid w:val="00611FC4"/>
    <w:rsid w:val="006176FB"/>
    <w:rsid w:val="0062210B"/>
    <w:rsid w:val="00626990"/>
    <w:rsid w:val="00627ED0"/>
    <w:rsid w:val="00632369"/>
    <w:rsid w:val="00640B26"/>
    <w:rsid w:val="00641D0A"/>
    <w:rsid w:val="00646E38"/>
    <w:rsid w:val="0065568B"/>
    <w:rsid w:val="00665595"/>
    <w:rsid w:val="0066682D"/>
    <w:rsid w:val="006675C2"/>
    <w:rsid w:val="00684203"/>
    <w:rsid w:val="006908FF"/>
    <w:rsid w:val="006A7392"/>
    <w:rsid w:val="006B76E4"/>
    <w:rsid w:val="006D2F29"/>
    <w:rsid w:val="006E564B"/>
    <w:rsid w:val="006F5D95"/>
    <w:rsid w:val="00720723"/>
    <w:rsid w:val="0072248F"/>
    <w:rsid w:val="0072632A"/>
    <w:rsid w:val="00747C9D"/>
    <w:rsid w:val="00755C54"/>
    <w:rsid w:val="00772ED0"/>
    <w:rsid w:val="00783DA1"/>
    <w:rsid w:val="007B3658"/>
    <w:rsid w:val="007B6BA5"/>
    <w:rsid w:val="007C3390"/>
    <w:rsid w:val="007C4F4B"/>
    <w:rsid w:val="007C5DD7"/>
    <w:rsid w:val="007D0AE5"/>
    <w:rsid w:val="007E4293"/>
    <w:rsid w:val="007F0B83"/>
    <w:rsid w:val="007F6611"/>
    <w:rsid w:val="00817182"/>
    <w:rsid w:val="008175E9"/>
    <w:rsid w:val="00822751"/>
    <w:rsid w:val="008242D7"/>
    <w:rsid w:val="00827E05"/>
    <w:rsid w:val="008311A3"/>
    <w:rsid w:val="00832B07"/>
    <w:rsid w:val="00845CDA"/>
    <w:rsid w:val="008715CA"/>
    <w:rsid w:val="00871FD5"/>
    <w:rsid w:val="00873984"/>
    <w:rsid w:val="00884293"/>
    <w:rsid w:val="008979B1"/>
    <w:rsid w:val="008A6B25"/>
    <w:rsid w:val="008A6C4F"/>
    <w:rsid w:val="008A7EEB"/>
    <w:rsid w:val="008B41CF"/>
    <w:rsid w:val="008C4CAC"/>
    <w:rsid w:val="008E0E46"/>
    <w:rsid w:val="00906F63"/>
    <w:rsid w:val="00907AD2"/>
    <w:rsid w:val="009243E2"/>
    <w:rsid w:val="0093489C"/>
    <w:rsid w:val="00937CA8"/>
    <w:rsid w:val="009636C8"/>
    <w:rsid w:val="00963CBA"/>
    <w:rsid w:val="009675D2"/>
    <w:rsid w:val="009705C5"/>
    <w:rsid w:val="00971310"/>
    <w:rsid w:val="00974A8D"/>
    <w:rsid w:val="00991261"/>
    <w:rsid w:val="0099768D"/>
    <w:rsid w:val="009B3498"/>
    <w:rsid w:val="009B5692"/>
    <w:rsid w:val="009C5324"/>
    <w:rsid w:val="009C602B"/>
    <w:rsid w:val="009F3A17"/>
    <w:rsid w:val="00A1427D"/>
    <w:rsid w:val="00A24DCA"/>
    <w:rsid w:val="00A45952"/>
    <w:rsid w:val="00A47CDF"/>
    <w:rsid w:val="00A5120F"/>
    <w:rsid w:val="00A72F22"/>
    <w:rsid w:val="00A748A6"/>
    <w:rsid w:val="00A82C68"/>
    <w:rsid w:val="00A879A4"/>
    <w:rsid w:val="00A87B80"/>
    <w:rsid w:val="00AA3D88"/>
    <w:rsid w:val="00AB6363"/>
    <w:rsid w:val="00AD6EFE"/>
    <w:rsid w:val="00B00890"/>
    <w:rsid w:val="00B03463"/>
    <w:rsid w:val="00B12A11"/>
    <w:rsid w:val="00B205C2"/>
    <w:rsid w:val="00B30179"/>
    <w:rsid w:val="00B30B11"/>
    <w:rsid w:val="00B33EC0"/>
    <w:rsid w:val="00B80A4E"/>
    <w:rsid w:val="00B81E12"/>
    <w:rsid w:val="00BB110E"/>
    <w:rsid w:val="00BC1543"/>
    <w:rsid w:val="00BC74E9"/>
    <w:rsid w:val="00BD2146"/>
    <w:rsid w:val="00BE4F74"/>
    <w:rsid w:val="00BE618E"/>
    <w:rsid w:val="00C04EA9"/>
    <w:rsid w:val="00C17699"/>
    <w:rsid w:val="00C23F7E"/>
    <w:rsid w:val="00C3466A"/>
    <w:rsid w:val="00C41A28"/>
    <w:rsid w:val="00C437A5"/>
    <w:rsid w:val="00C463DD"/>
    <w:rsid w:val="00C50C1E"/>
    <w:rsid w:val="00C54086"/>
    <w:rsid w:val="00C67C6C"/>
    <w:rsid w:val="00C745C3"/>
    <w:rsid w:val="00C95266"/>
    <w:rsid w:val="00C97994"/>
    <w:rsid w:val="00CB0B6E"/>
    <w:rsid w:val="00CB221C"/>
    <w:rsid w:val="00CC0FC1"/>
    <w:rsid w:val="00CC6EB6"/>
    <w:rsid w:val="00CE4A8F"/>
    <w:rsid w:val="00D12078"/>
    <w:rsid w:val="00D2031B"/>
    <w:rsid w:val="00D24EF3"/>
    <w:rsid w:val="00D25FE2"/>
    <w:rsid w:val="00D317BB"/>
    <w:rsid w:val="00D40EE9"/>
    <w:rsid w:val="00D43252"/>
    <w:rsid w:val="00D7190D"/>
    <w:rsid w:val="00D759C0"/>
    <w:rsid w:val="00D95B98"/>
    <w:rsid w:val="00D978C6"/>
    <w:rsid w:val="00DA67AD"/>
    <w:rsid w:val="00DB5D0F"/>
    <w:rsid w:val="00DC6394"/>
    <w:rsid w:val="00DD0299"/>
    <w:rsid w:val="00DD4D3F"/>
    <w:rsid w:val="00DE0417"/>
    <w:rsid w:val="00DF12F7"/>
    <w:rsid w:val="00DF193A"/>
    <w:rsid w:val="00E02C81"/>
    <w:rsid w:val="00E05C98"/>
    <w:rsid w:val="00E063F1"/>
    <w:rsid w:val="00E130AB"/>
    <w:rsid w:val="00E41921"/>
    <w:rsid w:val="00E720B1"/>
    <w:rsid w:val="00E7260F"/>
    <w:rsid w:val="00E766B5"/>
    <w:rsid w:val="00E8765E"/>
    <w:rsid w:val="00E87921"/>
    <w:rsid w:val="00E96630"/>
    <w:rsid w:val="00EA264E"/>
    <w:rsid w:val="00EB2896"/>
    <w:rsid w:val="00EB7F91"/>
    <w:rsid w:val="00EC5D3F"/>
    <w:rsid w:val="00ED7A2A"/>
    <w:rsid w:val="00EE11C3"/>
    <w:rsid w:val="00EE6DFC"/>
    <w:rsid w:val="00EF1D7F"/>
    <w:rsid w:val="00EF4009"/>
    <w:rsid w:val="00F34C75"/>
    <w:rsid w:val="00F53EDA"/>
    <w:rsid w:val="00F61D18"/>
    <w:rsid w:val="00F72DA5"/>
    <w:rsid w:val="00F7753D"/>
    <w:rsid w:val="00F85F34"/>
    <w:rsid w:val="00F94904"/>
    <w:rsid w:val="00FA06F7"/>
    <w:rsid w:val="00FA5258"/>
    <w:rsid w:val="00FA792E"/>
    <w:rsid w:val="00FB171A"/>
    <w:rsid w:val="00FB1735"/>
    <w:rsid w:val="00FB4896"/>
    <w:rsid w:val="00FC68B7"/>
    <w:rsid w:val="00FD7BF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  <w15:docId w15:val="{9A542E24-76BE-477E-8C65-353FD4B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02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outlineLvl w:val="1"/>
    </w:pPr>
  </w:style>
  <w:style w:type="paragraph" w:styleId="Heading3">
    <w:name w:val="heading 3"/>
    <w:basedOn w:val="Normal"/>
    <w:next w:val="Normal"/>
    <w:qFormat/>
    <w:rsid w:val="00503228"/>
    <w:pPr>
      <w:outlineLvl w:val="2"/>
    </w:pPr>
  </w:style>
  <w:style w:type="paragraph" w:styleId="Heading4">
    <w:name w:val="heading 4"/>
    <w:basedOn w:val="Normal"/>
    <w:next w:val="Normal"/>
    <w:qFormat/>
    <w:rsid w:val="00503228"/>
    <w:pPr>
      <w:outlineLvl w:val="3"/>
    </w:pPr>
  </w:style>
  <w:style w:type="paragraph" w:styleId="Heading5">
    <w:name w:val="heading 5"/>
    <w:basedOn w:val="Normal"/>
    <w:next w:val="Normal"/>
    <w:qFormat/>
    <w:rsid w:val="00503228"/>
    <w:pPr>
      <w:outlineLvl w:val="4"/>
    </w:pPr>
  </w:style>
  <w:style w:type="paragraph" w:styleId="Heading6">
    <w:name w:val="heading 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</w:pPr>
  </w:style>
  <w:style w:type="paragraph" w:styleId="Footer">
    <w:name w:val="footer"/>
    <w:aliases w:val="3_G"/>
    <w:basedOn w:val="Normal"/>
    <w:link w:val="FooterChar"/>
    <w:uiPriority w:val="99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8A7EEB"/>
    <w:rPr>
      <w:sz w:val="22"/>
      <w:lang w:val="fr-FR" w:eastAsia="en-US" w:bidi="ar-SA"/>
    </w:rPr>
  </w:style>
  <w:style w:type="paragraph" w:styleId="BalloonText">
    <w:name w:val="Balloon Text"/>
    <w:basedOn w:val="Normal"/>
    <w:link w:val="BalloonTextChar"/>
    <w:rsid w:val="00BB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10E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rsid w:val="00E766B5"/>
    <w:rPr>
      <w:b/>
      <w:sz w:val="22"/>
      <w:lang w:val="fr-FR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759C0"/>
    <w:rPr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ECE-DATA\DATA\GROUPS\Tran\DANGER\ADN2015\Corrections\www.unece.org\trans\danger\danger.html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B2E92-B146-4BE6-B48C-972EF6CF8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0EA9B-98A8-4ACE-9B8C-EDFD00A88B34}"/>
</file>

<file path=customXml/itemProps3.xml><?xml version="1.0" encoding="utf-8"?>
<ds:datastoreItem xmlns:ds="http://schemas.openxmlformats.org/officeDocument/2006/customXml" ds:itemID="{19316024-AF2C-48E5-8FA0-0A1403752FFB}"/>
</file>

<file path=customXml/itemProps4.xml><?xml version="1.0" encoding="utf-8"?>
<ds:datastoreItem xmlns:ds="http://schemas.openxmlformats.org/officeDocument/2006/customXml" ds:itemID="{EC724457-2440-4B3E-BBF4-0E241AD869C9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1076</Words>
  <Characters>6438</Characters>
  <Application>Microsoft Office Word</Application>
  <DocSecurity>0</DocSecurity>
  <Lines>143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</vt:lpstr>
    </vt:vector>
  </TitlesOfParts>
  <Company>CSD</Company>
  <LinksUpToDate>false</LinksUpToDate>
  <CharactersWithSpaces>7464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ECE/TRANS/276/Corr.1</dc:title>
  <dc:subject>2005684</dc:subject>
  <dc:creator>Collet</dc:creator>
  <cp:keywords/>
  <dc:description/>
  <cp:lastModifiedBy>Anni Vi Tirol</cp:lastModifiedBy>
  <cp:revision>2</cp:revision>
  <cp:lastPrinted>2017-01-06T10:35:00Z</cp:lastPrinted>
  <dcterms:created xsi:type="dcterms:W3CDTF">2020-04-17T07:19:00Z</dcterms:created>
  <dcterms:modified xsi:type="dcterms:W3CDTF">2020-04-17T07:19:00Z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