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3F8DB2D3" w:rsidR="001433FD" w:rsidRPr="00380751" w:rsidRDefault="00380751" w:rsidP="00380751">
            <w:pPr>
              <w:jc w:val="right"/>
            </w:pPr>
            <w:r w:rsidRPr="00380751">
              <w:rPr>
                <w:sz w:val="40"/>
              </w:rPr>
              <w:t>ECE</w:t>
            </w:r>
            <w:r>
              <w:t>/TRANS/WP.11/2021/6</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proofErr w:type="spellStart"/>
            <w:r>
              <w:t>Distr</w:t>
            </w:r>
            <w:proofErr w:type="spellEnd"/>
            <w:r>
              <w:t>. générale</w:t>
            </w:r>
          </w:p>
          <w:p w14:paraId="0432E393" w14:textId="5898D187" w:rsidR="002009EC" w:rsidRDefault="00CE099A" w:rsidP="002009EC">
            <w:pPr>
              <w:spacing w:line="240" w:lineRule="exact"/>
            </w:pPr>
            <w:r>
              <w:t xml:space="preserve">9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29D9EA77" w14:textId="040F0DDC" w:rsidR="002009EC" w:rsidRDefault="002009EC" w:rsidP="002009EC">
      <w:r>
        <w:t xml:space="preserve">Point </w:t>
      </w:r>
      <w:r w:rsidR="00DC334D">
        <w:t>5</w:t>
      </w:r>
      <w:r>
        <w:t> </w:t>
      </w:r>
      <w:r w:rsidR="008B1FB9">
        <w:t>b</w:t>
      </w:r>
      <w:r>
        <w:t>) de l’ordre du jour provisoire</w:t>
      </w:r>
    </w:p>
    <w:p w14:paraId="2393526D" w14:textId="77777777" w:rsidR="0042550C" w:rsidRDefault="0042550C" w:rsidP="0042550C">
      <w:pPr>
        <w:pStyle w:val="Standard"/>
        <w:rPr>
          <w:b/>
          <w:lang w:val="fr-FR"/>
        </w:rPr>
      </w:pPr>
      <w:r>
        <w:rPr>
          <w:b/>
          <w:lang w:val="fr-FR"/>
        </w:rPr>
        <w:t>Propositions d’amendements à l’ATP :</w:t>
      </w:r>
    </w:p>
    <w:p w14:paraId="2568F9C1" w14:textId="3FD601DE" w:rsidR="00C1626B" w:rsidRDefault="00936908" w:rsidP="0042550C">
      <w:pPr>
        <w:rPr>
          <w:b/>
          <w:bCs/>
          <w:lang w:val="fr-FR"/>
        </w:rPr>
      </w:pPr>
      <w:r w:rsidRPr="007130D1">
        <w:rPr>
          <w:b/>
          <w:bCs/>
        </w:rPr>
        <w:t>nouvelles propositions</w:t>
      </w:r>
      <w:r>
        <w:t xml:space="preserve"> </w:t>
      </w:r>
    </w:p>
    <w:p w14:paraId="79675386" w14:textId="68E86CA2" w:rsidR="002009EC" w:rsidRPr="00F4604C" w:rsidRDefault="00766028" w:rsidP="00F4604C">
      <w:pPr>
        <w:pStyle w:val="HChG"/>
      </w:pPr>
      <w:r>
        <w:rPr>
          <w:rStyle w:val="Policepardfaut1"/>
          <w:lang w:val="fr-FR"/>
        </w:rPr>
        <w:tab/>
      </w:r>
      <w:r>
        <w:rPr>
          <w:rStyle w:val="Policepardfaut1"/>
          <w:lang w:val="fr-FR"/>
        </w:rPr>
        <w:tab/>
      </w:r>
      <w:r w:rsidR="009A4280">
        <w:rPr>
          <w:lang w:val="fr-FR"/>
        </w:rPr>
        <w:tab/>
      </w:r>
      <w:r w:rsidR="00F4604C">
        <w:t>Modification concernant les modèles de procès-verbal qui définissent la détermination de la puissance frigorifique utile d’un groupe frigorifique découlant de la nécessité de prendre en compte l’impact sur les performances desdits groupes des versions des logicielles des différents organes</w:t>
      </w:r>
    </w:p>
    <w:p w14:paraId="18CA1C23" w14:textId="44BAEEF2"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319D2" w14:paraId="663E7778" w14:textId="77777777" w:rsidTr="00D00C99">
        <w:trPr>
          <w:jc w:val="center"/>
        </w:trPr>
        <w:tc>
          <w:tcPr>
            <w:tcW w:w="9628" w:type="dxa"/>
            <w:tcBorders>
              <w:bottom w:val="nil"/>
            </w:tcBorders>
            <w:shd w:val="clear" w:color="auto" w:fill="auto"/>
          </w:tcPr>
          <w:p w14:paraId="5079A868" w14:textId="77777777" w:rsidR="008319D2" w:rsidRPr="00C6263E" w:rsidRDefault="008319D2" w:rsidP="006E5E26">
            <w:pPr>
              <w:spacing w:before="240" w:after="120"/>
              <w:ind w:left="255"/>
              <w:rPr>
                <w:i/>
                <w:sz w:val="24"/>
              </w:rPr>
            </w:pPr>
            <w:r w:rsidRPr="00C6263E">
              <w:rPr>
                <w:i/>
                <w:sz w:val="24"/>
              </w:rPr>
              <w:t xml:space="preserve">Résumé </w:t>
            </w:r>
          </w:p>
        </w:tc>
      </w:tr>
      <w:tr w:rsidR="008319D2" w14:paraId="599341C4" w14:textId="77777777" w:rsidTr="00D00C99">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F4604C" w14:paraId="16F1F95E" w14:textId="77777777" w:rsidTr="00F4604C">
              <w:trPr>
                <w:jc w:val="center"/>
              </w:trPr>
              <w:tc>
                <w:tcPr>
                  <w:tcW w:w="9630" w:type="dxa"/>
                  <w:shd w:val="clear" w:color="auto" w:fill="FFFFFF"/>
                  <w:tcMar>
                    <w:top w:w="0" w:type="dxa"/>
                    <w:left w:w="113" w:type="dxa"/>
                    <w:bottom w:w="0" w:type="dxa"/>
                    <w:right w:w="108" w:type="dxa"/>
                  </w:tcMar>
                  <w:hideMark/>
                </w:tcPr>
                <w:p w14:paraId="7599D000" w14:textId="77777777" w:rsidR="00F4604C" w:rsidRDefault="00F4604C" w:rsidP="00F839A6">
                  <w:pPr>
                    <w:pStyle w:val="SingleTxtG"/>
                    <w:spacing w:before="120"/>
                    <w:ind w:left="2269" w:hanging="1985"/>
                  </w:pPr>
                  <w:r>
                    <w:rPr>
                      <w:b/>
                    </w:rPr>
                    <w:t>Résumé analytique </w:t>
                  </w:r>
                  <w:r>
                    <w:t>:</w:t>
                  </w:r>
                  <w:r>
                    <w:rPr>
                      <w:b/>
                    </w:rPr>
                    <w:tab/>
                  </w:r>
                  <w:r>
                    <w:t xml:space="preserve">Les modèles de procès-verbal d’essai No 12 et No 13, qui définissent </w:t>
                  </w:r>
                  <w:r>
                    <w:rPr>
                      <w:lang w:val="fr-FR"/>
                    </w:rPr>
                    <w:t>la détermination de la puissance frigorifique utile d’un groupe frigorifique</w:t>
                  </w:r>
                  <w:r>
                    <w:t>, n’imposent pas toutes les mentions des versions des différents logiciels implantés dans les groupes frigorifiques.</w:t>
                  </w:r>
                </w:p>
                <w:p w14:paraId="308FC7D5" w14:textId="5C492702" w:rsidR="00F4604C" w:rsidRDefault="00F4604C" w:rsidP="00F839A6">
                  <w:pPr>
                    <w:pStyle w:val="SingleTxtG"/>
                    <w:ind w:left="2268"/>
                  </w:pPr>
                  <w:r>
                    <w:t>Sachant que les performances des groupes peuvent être pilotés par des composants gérés au moyen de logiciels, il apparait nécessaire que ces logiciels fassent partie du procès-verbal d’essai concerné sachant que ce procès-verbal est considéré comme certificat de type.</w:t>
                  </w:r>
                </w:p>
              </w:tc>
            </w:tr>
            <w:tr w:rsidR="00F4604C" w14:paraId="5FC07830" w14:textId="77777777" w:rsidTr="00F4604C">
              <w:trPr>
                <w:jc w:val="center"/>
              </w:trPr>
              <w:tc>
                <w:tcPr>
                  <w:tcW w:w="9630" w:type="dxa"/>
                  <w:shd w:val="clear" w:color="auto" w:fill="FFFFFF"/>
                  <w:tcMar>
                    <w:top w:w="0" w:type="dxa"/>
                    <w:left w:w="113" w:type="dxa"/>
                    <w:bottom w:w="0" w:type="dxa"/>
                    <w:right w:w="108" w:type="dxa"/>
                  </w:tcMar>
                  <w:hideMark/>
                </w:tcPr>
                <w:p w14:paraId="5BF84D75" w14:textId="12714D1A" w:rsidR="00F4604C" w:rsidRDefault="00F4604C" w:rsidP="00F839A6">
                  <w:pPr>
                    <w:pStyle w:val="SingleTxtG"/>
                    <w:spacing w:before="120"/>
                    <w:ind w:left="2269" w:hanging="1985"/>
                  </w:pPr>
                  <w:r>
                    <w:rPr>
                      <w:b/>
                    </w:rPr>
                    <w:t>Mesure à prendre </w:t>
                  </w:r>
                  <w:r>
                    <w:t>:</w:t>
                  </w:r>
                  <w:r>
                    <w:rPr>
                      <w:b/>
                    </w:rPr>
                    <w:tab/>
                  </w:r>
                  <w:r>
                    <w:t>Apporter la modification proposée ci-après dans les modèles de procès</w:t>
                  </w:r>
                  <w:r>
                    <w:noBreakHyphen/>
                    <w:t xml:space="preserve">verbal d’essai No 12 et No13 </w:t>
                  </w:r>
                  <w:r>
                    <w:rPr>
                      <w:b/>
                    </w:rPr>
                    <w:t>uniquement à la condition d’une validation préalable de la proposition d’amendement sur l’introduction des certificats d’examen de type comme moyen d’établir le constat de la conformité de la conception et des essais réalisés selon les protocoles de l’ATP.</w:t>
                  </w:r>
                </w:p>
              </w:tc>
            </w:tr>
            <w:tr w:rsidR="00F4604C" w14:paraId="3DD97CE0" w14:textId="77777777" w:rsidTr="00F4604C">
              <w:trPr>
                <w:jc w:val="center"/>
              </w:trPr>
              <w:tc>
                <w:tcPr>
                  <w:tcW w:w="9630" w:type="dxa"/>
                  <w:shd w:val="clear" w:color="auto" w:fill="FFFFFF"/>
                  <w:tcMar>
                    <w:top w:w="0" w:type="dxa"/>
                    <w:left w:w="113" w:type="dxa"/>
                    <w:bottom w:w="0" w:type="dxa"/>
                    <w:right w:w="108" w:type="dxa"/>
                  </w:tcMar>
                  <w:hideMark/>
                </w:tcPr>
                <w:p w14:paraId="75CFBED9" w14:textId="7BC0CEF4" w:rsidR="00F4604C" w:rsidRDefault="00F4604C" w:rsidP="00F4604C">
                  <w:pPr>
                    <w:pStyle w:val="SingleTxtG"/>
                    <w:ind w:left="2552" w:hanging="2268"/>
                    <w:jc w:val="left"/>
                  </w:pPr>
                  <w:r>
                    <w:rPr>
                      <w:b/>
                    </w:rPr>
                    <w:t>Documents connexes </w:t>
                  </w:r>
                  <w:r>
                    <w:t>:</w:t>
                  </w:r>
                  <w:r>
                    <w:rPr>
                      <w:b/>
                    </w:rPr>
                    <w:tab/>
                  </w:r>
                  <w:r>
                    <w:t>Aucun.</w:t>
                  </w:r>
                </w:p>
              </w:tc>
            </w:tr>
          </w:tbl>
          <w:p w14:paraId="284E294D" w14:textId="77777777" w:rsidR="008319D2" w:rsidRDefault="008319D2" w:rsidP="006E5E26"/>
        </w:tc>
      </w:tr>
    </w:tbl>
    <w:p w14:paraId="760FA164" w14:textId="5BF2535C" w:rsidR="002A6DA4" w:rsidRDefault="002A6DA4" w:rsidP="00065F70">
      <w:pPr>
        <w:pStyle w:val="HChG"/>
      </w:pPr>
      <w:r>
        <w:lastRenderedPageBreak/>
        <w:tab/>
      </w:r>
      <w:r w:rsidR="00537110">
        <w:tab/>
      </w:r>
      <w:r w:rsidR="00537110">
        <w:tab/>
      </w:r>
      <w:r w:rsidR="00065F70">
        <w:t>Introduction</w:t>
      </w:r>
    </w:p>
    <w:p w14:paraId="0F158CCE" w14:textId="1C0E6049" w:rsidR="00CF79E4" w:rsidRDefault="00CF79E4" w:rsidP="00CF79E4">
      <w:pPr>
        <w:pStyle w:val="SingleTxtG"/>
        <w:rPr>
          <w:rFonts w:eastAsia="Calibri"/>
          <w:lang w:eastAsia="en-US"/>
        </w:rPr>
      </w:pPr>
      <w:r>
        <w:rPr>
          <w:rFonts w:eastAsia="Calibri"/>
          <w:lang w:eastAsia="en-US"/>
        </w:rPr>
        <w:t xml:space="preserve">1. </w:t>
      </w:r>
      <w:r>
        <w:rPr>
          <w:rFonts w:eastAsia="Calibri"/>
          <w:lang w:eastAsia="en-US"/>
        </w:rPr>
        <w:tab/>
        <w:t>Le modèle de rapport 13 qui définit la détermination de la puissance frigorifique pour les groupes frigorifiques à gaz liquéfié, impose la mention de la version logicielle du régulateur.</w:t>
      </w:r>
    </w:p>
    <w:p w14:paraId="48C77727" w14:textId="6E909EE4" w:rsidR="00CF79E4" w:rsidRDefault="00CF79E4" w:rsidP="00CF79E4">
      <w:pPr>
        <w:pStyle w:val="SingleTxtG"/>
        <w:rPr>
          <w:rFonts w:eastAsia="Calibri"/>
          <w:lang w:eastAsia="en-US"/>
        </w:rPr>
      </w:pPr>
      <w:r>
        <w:rPr>
          <w:rFonts w:eastAsia="Calibri"/>
          <w:lang w:eastAsia="en-US"/>
        </w:rPr>
        <w:t xml:space="preserve">2. </w:t>
      </w:r>
      <w:r>
        <w:rPr>
          <w:rFonts w:eastAsia="Calibri"/>
          <w:lang w:eastAsia="en-US"/>
        </w:rPr>
        <w:tab/>
        <w:t>D’autres logiciels que celui déjà exigé sont nécessaires pour assurer le fonctionnement.</w:t>
      </w:r>
      <w:bookmarkStart w:id="0" w:name="_GoBack"/>
      <w:bookmarkEnd w:id="0"/>
    </w:p>
    <w:p w14:paraId="2732F57A" w14:textId="10127725" w:rsidR="00CF79E4" w:rsidRDefault="00CF79E4" w:rsidP="00CF79E4">
      <w:pPr>
        <w:pStyle w:val="SingleTxtG"/>
        <w:rPr>
          <w:rFonts w:eastAsia="Calibri"/>
          <w:lang w:eastAsia="en-US"/>
        </w:rPr>
      </w:pPr>
      <w:r>
        <w:rPr>
          <w:rFonts w:eastAsia="Calibri"/>
          <w:lang w:eastAsia="en-US"/>
        </w:rPr>
        <w:t xml:space="preserve">3. </w:t>
      </w:r>
      <w:r>
        <w:rPr>
          <w:rFonts w:eastAsia="Calibri"/>
          <w:lang w:eastAsia="en-US"/>
        </w:rPr>
        <w:tab/>
        <w:t>Considérant que la version des différents logiciels d’un groupe frigorifique a un impact direct sur les performances des groupes, il apparait nécessaire de compléter les données figurant dans le modèle N°13 et d’harmoniser les descriptifs techniques en modernisant les données figurant dans le modèle N°12.</w:t>
      </w:r>
    </w:p>
    <w:p w14:paraId="690008C8" w14:textId="71BEF1E9" w:rsidR="00CF79E4" w:rsidRDefault="00CF79E4" w:rsidP="00CF79E4">
      <w:pPr>
        <w:pStyle w:val="SingleTxtG"/>
        <w:rPr>
          <w:rFonts w:eastAsia="Calibri"/>
          <w:lang w:eastAsia="en-US"/>
        </w:rPr>
      </w:pPr>
      <w:r>
        <w:rPr>
          <w:rFonts w:eastAsia="Calibri"/>
          <w:lang w:eastAsia="en-US"/>
        </w:rPr>
        <w:t xml:space="preserve">4. </w:t>
      </w:r>
      <w:r>
        <w:rPr>
          <w:rFonts w:eastAsia="Calibri"/>
          <w:lang w:eastAsia="en-US"/>
        </w:rPr>
        <w:tab/>
        <w:t>Conformément au paragraphe 6.a) de l’annexe 1 appendice 1 de l’accord ATP, le procès-verbal d’essai est considéré comme certificat de conformité de type. En conséquence des données fournies par le constructeur et non mesurées par la station d’essais officielle peuvent figurer dans un procès-verbal d’essai en indiquant toutefois leur origine externe.</w:t>
      </w:r>
    </w:p>
    <w:p w14:paraId="4526420D" w14:textId="4553603F" w:rsidR="002A6DA4" w:rsidRDefault="00CF79E4" w:rsidP="00CF79E4">
      <w:pPr>
        <w:pStyle w:val="SingleTxtG"/>
      </w:pPr>
      <w:r>
        <w:rPr>
          <w:rFonts w:eastAsia="Calibri"/>
          <w:lang w:eastAsia="en-US"/>
        </w:rPr>
        <w:t xml:space="preserve">5. </w:t>
      </w:r>
      <w:r>
        <w:rPr>
          <w:rFonts w:eastAsia="Calibri"/>
          <w:lang w:eastAsia="en-US"/>
        </w:rPr>
        <w:tab/>
        <w:t>La modification proposée ci-après est fondée sur le texte français de l’ATP tel que modifié au 6 juillet 2020.</w:t>
      </w:r>
    </w:p>
    <w:p w14:paraId="67C0D8C4" w14:textId="226B897A" w:rsidR="002A6DA4" w:rsidRDefault="002A6DA4" w:rsidP="005E5CCF">
      <w:pPr>
        <w:pStyle w:val="HChG"/>
      </w:pPr>
      <w:r>
        <w:tab/>
      </w:r>
      <w:r w:rsidR="00F7366A">
        <w:t>I.</w:t>
      </w:r>
      <w:r>
        <w:tab/>
      </w:r>
      <w:r w:rsidRPr="005E5CCF">
        <w:t>Proposition</w:t>
      </w:r>
    </w:p>
    <w:p w14:paraId="50DE15CC" w14:textId="0C1C3C94" w:rsidR="00CF79E4" w:rsidRDefault="00CF79E4" w:rsidP="00CF79E4">
      <w:pPr>
        <w:spacing w:after="120"/>
        <w:ind w:left="1134" w:right="1134"/>
        <w:jc w:val="both"/>
      </w:pPr>
      <w:r>
        <w:rPr>
          <w:rFonts w:eastAsia="Calibri"/>
          <w:lang w:eastAsia="en-US"/>
        </w:rPr>
        <w:t xml:space="preserve">6. </w:t>
      </w:r>
      <w:r>
        <w:rPr>
          <w:rFonts w:eastAsia="Calibri"/>
          <w:lang w:eastAsia="en-US"/>
        </w:rPr>
        <w:tab/>
        <w:t>Dans le modèle de procès-verbal d’essai N° 13, ajouter avant la ligne « Possibilité de fonctionnement en mode températures multiples: (oui/non) », la ligne « </w:t>
      </w:r>
      <w:r>
        <w:rPr>
          <w:rFonts w:eastAsia="Calibri"/>
          <w:i/>
          <w:lang w:eastAsia="en-US"/>
        </w:rPr>
        <w:t>Version du ou des logiciels autres que celui du régulateur</w:t>
      </w:r>
      <w:r>
        <w:rPr>
          <w:rFonts w:eastAsia="Calibri"/>
          <w:i/>
          <w:vertAlign w:val="superscript"/>
          <w:lang w:eastAsia="en-US"/>
        </w:rPr>
        <w:t>3,2</w:t>
      </w:r>
      <w:r>
        <w:rPr>
          <w:rFonts w:eastAsia="Calibri"/>
          <w:i/>
          <w:lang w:eastAsia="en-US"/>
        </w:rPr>
        <w:t>: »</w:t>
      </w:r>
      <w:r>
        <w:rPr>
          <w:rFonts w:eastAsia="Calibri"/>
          <w:lang w:val="fr-FR" w:eastAsia="en-US"/>
        </w:rPr>
        <w:t>.</w:t>
      </w:r>
    </w:p>
    <w:p w14:paraId="72F71C4E" w14:textId="324CA8AC" w:rsidR="00CF79E4" w:rsidRDefault="00CF79E4" w:rsidP="00CF79E4">
      <w:pPr>
        <w:spacing w:after="120"/>
        <w:ind w:left="1134" w:right="1134"/>
        <w:jc w:val="both"/>
      </w:pPr>
      <w:r>
        <w:rPr>
          <w:rFonts w:eastAsia="Calibri"/>
          <w:lang w:val="fr-FR" w:eastAsia="en-US"/>
        </w:rPr>
        <w:t xml:space="preserve">7. </w:t>
      </w:r>
      <w:r>
        <w:rPr>
          <w:rFonts w:eastAsia="Calibri"/>
          <w:lang w:val="fr-FR" w:eastAsia="en-US"/>
        </w:rPr>
        <w:tab/>
        <w:t>A la fin du modèle de procès-verbal d’essai N° 13 ajouter la note de bas de page : « </w:t>
      </w:r>
      <w:r>
        <w:rPr>
          <w:rFonts w:eastAsia="Calibri"/>
          <w:vertAlign w:val="superscript"/>
          <w:lang w:val="fr-FR" w:eastAsia="en-US"/>
        </w:rPr>
        <w:t>3</w:t>
      </w:r>
      <w:r>
        <w:rPr>
          <w:rFonts w:eastAsia="Calibri"/>
          <w:i/>
          <w:lang w:val="fr-FR" w:eastAsia="en-US"/>
        </w:rPr>
        <w:t xml:space="preserve"> Indiquer la version de tous les logiciels utilisés »</w:t>
      </w:r>
    </w:p>
    <w:p w14:paraId="0D05DD71" w14:textId="41EF9D16" w:rsidR="00CF79E4" w:rsidRDefault="00CF79E4" w:rsidP="00CF79E4">
      <w:pPr>
        <w:spacing w:after="120"/>
        <w:ind w:left="1134" w:right="1134"/>
        <w:jc w:val="both"/>
      </w:pPr>
      <w:r>
        <w:rPr>
          <w:rFonts w:eastAsia="Calibri"/>
          <w:lang w:eastAsia="en-US"/>
        </w:rPr>
        <w:t xml:space="preserve">8. </w:t>
      </w:r>
      <w:r>
        <w:rPr>
          <w:rFonts w:eastAsia="Calibri"/>
          <w:lang w:eastAsia="en-US"/>
        </w:rPr>
        <w:tab/>
        <w:t>Dans le modèle de procès-verbal d’essai N° 12, ajouter à la suite de la ligne « Dispositif d’automaticité : », la ligne « </w:t>
      </w:r>
      <w:r>
        <w:rPr>
          <w:rFonts w:eastAsia="Calibri"/>
          <w:i/>
          <w:lang w:eastAsia="en-US"/>
        </w:rPr>
        <w:t>Version du ou des logiciels</w:t>
      </w:r>
      <w:r>
        <w:rPr>
          <w:rFonts w:eastAsia="Calibri"/>
          <w:i/>
          <w:vertAlign w:val="superscript"/>
          <w:lang w:eastAsia="en-US"/>
        </w:rPr>
        <w:t>5,2</w:t>
      </w:r>
      <w:r>
        <w:rPr>
          <w:rFonts w:eastAsia="Calibri"/>
          <w:i/>
          <w:lang w:eastAsia="en-US"/>
        </w:rPr>
        <w:t>: »</w:t>
      </w:r>
      <w:r>
        <w:rPr>
          <w:rFonts w:eastAsia="Calibri"/>
          <w:lang w:val="fr-FR" w:eastAsia="en-US"/>
        </w:rPr>
        <w:t>.</w:t>
      </w:r>
    </w:p>
    <w:p w14:paraId="6687C63B" w14:textId="206A1D3A" w:rsidR="002A6DA4" w:rsidRDefault="00CF79E4" w:rsidP="00CF79E4">
      <w:pPr>
        <w:pStyle w:val="SingleTxtG"/>
      </w:pPr>
      <w:r>
        <w:rPr>
          <w:rFonts w:eastAsia="Calibri"/>
          <w:lang w:val="fr-FR" w:eastAsia="en-US"/>
        </w:rPr>
        <w:t xml:space="preserve">9. </w:t>
      </w:r>
      <w:r>
        <w:rPr>
          <w:rFonts w:eastAsia="Calibri"/>
          <w:lang w:val="fr-FR" w:eastAsia="en-US"/>
        </w:rPr>
        <w:tab/>
        <w:t>A la fin du modèle de procès-verbal d’essai N° 12 ajouter la note de bas de page : « </w:t>
      </w:r>
      <w:r>
        <w:rPr>
          <w:rFonts w:eastAsia="Calibri"/>
          <w:i/>
          <w:vertAlign w:val="superscript"/>
          <w:lang w:val="fr-FR" w:eastAsia="en-US"/>
        </w:rPr>
        <w:t>5</w:t>
      </w:r>
      <w:r>
        <w:rPr>
          <w:rFonts w:eastAsia="Calibri"/>
          <w:i/>
          <w:lang w:val="fr-FR" w:eastAsia="en-US"/>
        </w:rPr>
        <w:t xml:space="preserve"> Indiquer la version de tous les logiciels utilisés »</w:t>
      </w:r>
    </w:p>
    <w:p w14:paraId="01CCA08D" w14:textId="05BFC7D7" w:rsidR="002A6DA4" w:rsidRPr="00DC3AE9" w:rsidRDefault="002A6DA4" w:rsidP="00DC3AE9">
      <w:pPr>
        <w:pStyle w:val="HChG"/>
      </w:pPr>
      <w:r>
        <w:tab/>
      </w:r>
      <w:r w:rsidR="00F7366A">
        <w:t>II.</w:t>
      </w:r>
      <w:r>
        <w:tab/>
        <w:t>Justification</w:t>
      </w:r>
    </w:p>
    <w:p w14:paraId="025E726C" w14:textId="1BB51B1B" w:rsidR="002A6DA4" w:rsidRDefault="006531E6" w:rsidP="006531E6">
      <w:pPr>
        <w:pStyle w:val="SingleTxtG"/>
      </w:pPr>
      <w:r>
        <w:t xml:space="preserve">10. </w:t>
      </w:r>
      <w:r>
        <w:tab/>
        <w:t>L’indication d’une version du logiciel est déjà présente dans le modèle N° 13. Il convient de compléter les données de ce modèle. Les groupes frigorifiques concernés par le modèle N° 12 peuvent être tout autant impactés par les logiciels de régulation.</w:t>
      </w:r>
    </w:p>
    <w:p w14:paraId="7C58466A" w14:textId="68DE0A3C" w:rsidR="002A6DA4" w:rsidRPr="006531E6" w:rsidRDefault="002A6DA4" w:rsidP="006531E6">
      <w:pPr>
        <w:pStyle w:val="HChG"/>
      </w:pPr>
      <w:r>
        <w:tab/>
      </w:r>
      <w:r w:rsidR="00F7366A">
        <w:t>III.</w:t>
      </w:r>
      <w:r>
        <w:tab/>
      </w:r>
      <w:r w:rsidR="006531E6" w:rsidRPr="006531E6">
        <w:t>Coûts</w:t>
      </w:r>
    </w:p>
    <w:p w14:paraId="427A7E09" w14:textId="5BDE21BA" w:rsidR="002A6DA4" w:rsidRDefault="006962EC" w:rsidP="006962EC">
      <w:pPr>
        <w:pStyle w:val="SingleTxtG"/>
      </w:pPr>
      <w:r>
        <w:t xml:space="preserve">11. </w:t>
      </w:r>
      <w:r>
        <w:tab/>
      </w:r>
      <w:r>
        <w:rPr>
          <w:lang w:val="fr-FR"/>
        </w:rPr>
        <w:t>Il n’y a pas de coûts supplémentaires à prévoir pour les stations d’essais officielles ATP</w:t>
      </w:r>
      <w:r>
        <w:t xml:space="preserve"> ni même pour les </w:t>
      </w:r>
      <w:r w:rsidRPr="006962EC">
        <w:t>constructeurs</w:t>
      </w:r>
      <w:r>
        <w:t xml:space="preserve"> qui doivent disposer des paramètres additionnels demandés par la présente proposition </w:t>
      </w:r>
      <w:r>
        <w:rPr>
          <w:lang w:val="fr-FR"/>
        </w:rPr>
        <w:t>dans le cadre de la maîtrise de</w:t>
      </w:r>
      <w:r>
        <w:t xml:space="preserve"> leur production.</w:t>
      </w:r>
    </w:p>
    <w:p w14:paraId="7041F24A" w14:textId="0C81F669" w:rsidR="002A6DA4" w:rsidRDefault="002A6DA4" w:rsidP="002A6DA4">
      <w:pPr>
        <w:pStyle w:val="HChG"/>
      </w:pPr>
      <w:r>
        <w:tab/>
      </w:r>
      <w:r w:rsidR="00F7366A">
        <w:t>IV.</w:t>
      </w:r>
      <w:r>
        <w:tab/>
        <w:t>Faisabilité</w:t>
      </w:r>
    </w:p>
    <w:p w14:paraId="052DB8AC" w14:textId="574D0634" w:rsidR="006962EC" w:rsidRDefault="006962EC" w:rsidP="006962EC">
      <w:pPr>
        <w:pStyle w:val="SingleTxtG"/>
      </w:pPr>
      <w:r>
        <w:t xml:space="preserve">12. </w:t>
      </w:r>
      <w:r>
        <w:tab/>
        <w:t xml:space="preserve">Pas de contrainte </w:t>
      </w:r>
      <w:r w:rsidRPr="006962EC">
        <w:t>supplémentaire</w:t>
      </w:r>
      <w:r>
        <w:t xml:space="preserve"> pour les stations d’essais officielles ATP.</w:t>
      </w:r>
    </w:p>
    <w:p w14:paraId="461245F9" w14:textId="2303FCCF" w:rsidR="006962EC" w:rsidRDefault="006962EC" w:rsidP="006962EC">
      <w:pPr>
        <w:pStyle w:val="HChG"/>
      </w:pPr>
      <w:r>
        <w:tab/>
        <w:t>V.</w:t>
      </w:r>
      <w:r>
        <w:tab/>
      </w:r>
      <w:r w:rsidRPr="006962EC">
        <w:t>Applicabilité</w:t>
      </w:r>
    </w:p>
    <w:p w14:paraId="526D91A7" w14:textId="5AAFBD74" w:rsidR="008319D2" w:rsidRPr="008319D2" w:rsidRDefault="006962EC" w:rsidP="006962EC">
      <w:pPr>
        <w:pStyle w:val="SingleTxtG"/>
        <w:rPr>
          <w:lang w:val="fr-FR"/>
        </w:rPr>
      </w:pPr>
      <w:r>
        <w:t xml:space="preserve">13. </w:t>
      </w:r>
      <w:r>
        <w:tab/>
        <w:t xml:space="preserve">Aucun problème n’est à prévoir en ce qui concerne l’application des modifications </w:t>
      </w:r>
      <w:r w:rsidRPr="006962EC">
        <w:t>proposées</w:t>
      </w:r>
      <w:r>
        <w:t xml:space="preserve"> aux modèles de procès-verbaux d’essais N°12 et N°13 de l’ATP.</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2009E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CBB8" w14:textId="77777777" w:rsidR="00B15E4B" w:rsidRDefault="00B15E4B" w:rsidP="00F95C08">
      <w:pPr>
        <w:spacing w:line="240" w:lineRule="auto"/>
      </w:pPr>
    </w:p>
  </w:endnote>
  <w:endnote w:type="continuationSeparator" w:id="0">
    <w:p w14:paraId="5A39EE87" w14:textId="77777777" w:rsidR="00B15E4B" w:rsidRPr="00AC3823" w:rsidRDefault="00B15E4B" w:rsidP="00AC3823">
      <w:pPr>
        <w:pStyle w:val="Pieddepage"/>
      </w:pPr>
    </w:p>
  </w:endnote>
  <w:endnote w:type="continuationNotice" w:id="1">
    <w:p w14:paraId="116D62F6" w14:textId="77777777" w:rsidR="00B15E4B" w:rsidRDefault="00B15E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CAFC" w14:textId="7CE7CB66" w:rsidR="000D3EE9" w:rsidRPr="00380751" w:rsidRDefault="00380751" w:rsidP="00380751">
    <w:pPr>
      <w:pStyle w:val="Pieddepage"/>
      <w:tabs>
        <w:tab w:val="left" w:pos="6520"/>
        <w:tab w:val="right" w:pos="9638"/>
      </w:tabs>
      <w:spacing w:before="120"/>
      <w:rPr>
        <w:sz w:val="20"/>
      </w:rPr>
    </w:pPr>
    <w:r>
      <w:rPr>
        <w:sz w:val="20"/>
      </w:rPr>
      <w:t>GE.21-10902  (F)</w:t>
    </w:r>
    <w:r>
      <w:rPr>
        <w:sz w:val="20"/>
      </w:rPr>
      <w:tab/>
    </w:r>
    <w:r w:rsidRPr="00380751">
      <w:rPr>
        <w:noProof/>
        <w:sz w:val="20"/>
        <w:lang w:eastAsia="fr-CH"/>
      </w:rPr>
      <w:drawing>
        <wp:inline distT="0" distB="0" distL="0" distR="0" wp14:anchorId="2DF9E7B8" wp14:editId="673B4F37">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B64431B" wp14:editId="5E720B73">
          <wp:extent cx="641350" cy="6413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8900" w14:textId="77777777" w:rsidR="00B15E4B" w:rsidRPr="00AC3823" w:rsidRDefault="00B15E4B" w:rsidP="00AC3823">
      <w:pPr>
        <w:pStyle w:val="Pieddepage"/>
        <w:tabs>
          <w:tab w:val="right" w:pos="2155"/>
        </w:tabs>
        <w:spacing w:after="80" w:line="240" w:lineRule="atLeast"/>
        <w:ind w:left="680"/>
        <w:rPr>
          <w:u w:val="single"/>
        </w:rPr>
      </w:pPr>
      <w:r>
        <w:rPr>
          <w:u w:val="single"/>
        </w:rPr>
        <w:tab/>
      </w:r>
    </w:p>
  </w:footnote>
  <w:footnote w:type="continuationSeparator" w:id="0">
    <w:p w14:paraId="4A764868" w14:textId="77777777" w:rsidR="00B15E4B" w:rsidRPr="00AC3823" w:rsidRDefault="00B15E4B" w:rsidP="00AC3823">
      <w:pPr>
        <w:pStyle w:val="Pieddepage"/>
        <w:tabs>
          <w:tab w:val="right" w:pos="2155"/>
        </w:tabs>
        <w:spacing w:after="80" w:line="240" w:lineRule="atLeast"/>
        <w:ind w:left="680"/>
        <w:rPr>
          <w:u w:val="single"/>
        </w:rPr>
      </w:pPr>
      <w:r>
        <w:rPr>
          <w:u w:val="single"/>
        </w:rPr>
        <w:tab/>
      </w:r>
    </w:p>
  </w:footnote>
  <w:footnote w:type="continuationNotice" w:id="1">
    <w:p w14:paraId="2E33295C" w14:textId="77777777" w:rsidR="00B15E4B" w:rsidRPr="00AC3823" w:rsidRDefault="00B15E4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239E" w14:textId="618B01E9" w:rsidR="002009EC" w:rsidRPr="002009EC" w:rsidRDefault="002009EC">
    <w:pPr>
      <w:pStyle w:val="En-tte"/>
    </w:pPr>
    <w:r>
      <w:t>ECE/TRANS/WP.11/2021/</w:t>
    </w:r>
    <w:r w:rsidR="00A078D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028F" w14:textId="7CB5717F" w:rsidR="002009EC" w:rsidRPr="002009EC" w:rsidRDefault="002009EC" w:rsidP="002009EC">
    <w:pPr>
      <w:pStyle w:val="En-tte"/>
      <w:jc w:val="right"/>
    </w:pPr>
    <w:r>
      <w:t>ECE/TRANS/WP.11/2021/</w:t>
    </w:r>
    <w:r w:rsidR="00A078D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2"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1207F"/>
    <w:rsid w:val="00017F94"/>
    <w:rsid w:val="00023842"/>
    <w:rsid w:val="000334F9"/>
    <w:rsid w:val="0004639C"/>
    <w:rsid w:val="00065F70"/>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D7A3E"/>
    <w:rsid w:val="001F525A"/>
    <w:rsid w:val="002009EC"/>
    <w:rsid w:val="00223272"/>
    <w:rsid w:val="00240333"/>
    <w:rsid w:val="0024779E"/>
    <w:rsid w:val="00260B65"/>
    <w:rsid w:val="002832AC"/>
    <w:rsid w:val="002A6DA4"/>
    <w:rsid w:val="002D7C93"/>
    <w:rsid w:val="0037241C"/>
    <w:rsid w:val="00380751"/>
    <w:rsid w:val="003819FF"/>
    <w:rsid w:val="00421FAF"/>
    <w:rsid w:val="0042550C"/>
    <w:rsid w:val="00441C3B"/>
    <w:rsid w:val="00446B0A"/>
    <w:rsid w:val="00446FE5"/>
    <w:rsid w:val="00452396"/>
    <w:rsid w:val="00454E57"/>
    <w:rsid w:val="00471288"/>
    <w:rsid w:val="0049687C"/>
    <w:rsid w:val="004E468C"/>
    <w:rsid w:val="00530302"/>
    <w:rsid w:val="005316B0"/>
    <w:rsid w:val="00537110"/>
    <w:rsid w:val="005505B7"/>
    <w:rsid w:val="00573BE5"/>
    <w:rsid w:val="00586ED3"/>
    <w:rsid w:val="00596AA9"/>
    <w:rsid w:val="005B4D0F"/>
    <w:rsid w:val="005E5CCF"/>
    <w:rsid w:val="006531E6"/>
    <w:rsid w:val="006962EC"/>
    <w:rsid w:val="00703D0F"/>
    <w:rsid w:val="00706363"/>
    <w:rsid w:val="007130D1"/>
    <w:rsid w:val="007158BB"/>
    <w:rsid w:val="0071601D"/>
    <w:rsid w:val="00735583"/>
    <w:rsid w:val="0075410D"/>
    <w:rsid w:val="00766028"/>
    <w:rsid w:val="007A62E6"/>
    <w:rsid w:val="0080684C"/>
    <w:rsid w:val="008204DA"/>
    <w:rsid w:val="008319D2"/>
    <w:rsid w:val="008535AD"/>
    <w:rsid w:val="00871C75"/>
    <w:rsid w:val="008767E8"/>
    <w:rsid w:val="008776DC"/>
    <w:rsid w:val="00883605"/>
    <w:rsid w:val="008B1FB9"/>
    <w:rsid w:val="008E6043"/>
    <w:rsid w:val="00936908"/>
    <w:rsid w:val="00961E7B"/>
    <w:rsid w:val="009705C8"/>
    <w:rsid w:val="009A4280"/>
    <w:rsid w:val="009C1CF4"/>
    <w:rsid w:val="009F02C9"/>
    <w:rsid w:val="00A078DA"/>
    <w:rsid w:val="00A30353"/>
    <w:rsid w:val="00A62D91"/>
    <w:rsid w:val="00A90D54"/>
    <w:rsid w:val="00AA113A"/>
    <w:rsid w:val="00AC3823"/>
    <w:rsid w:val="00AE323C"/>
    <w:rsid w:val="00AF774C"/>
    <w:rsid w:val="00B00181"/>
    <w:rsid w:val="00B00B0D"/>
    <w:rsid w:val="00B15E4B"/>
    <w:rsid w:val="00B40927"/>
    <w:rsid w:val="00B50E25"/>
    <w:rsid w:val="00B64918"/>
    <w:rsid w:val="00B765F7"/>
    <w:rsid w:val="00BA0CA9"/>
    <w:rsid w:val="00C02897"/>
    <w:rsid w:val="00C1626B"/>
    <w:rsid w:val="00C66A47"/>
    <w:rsid w:val="00C7616F"/>
    <w:rsid w:val="00CB16B5"/>
    <w:rsid w:val="00CC4BFD"/>
    <w:rsid w:val="00CE0608"/>
    <w:rsid w:val="00CE099A"/>
    <w:rsid w:val="00CF79E4"/>
    <w:rsid w:val="00D00C99"/>
    <w:rsid w:val="00D3439C"/>
    <w:rsid w:val="00D431F4"/>
    <w:rsid w:val="00D44CF3"/>
    <w:rsid w:val="00D46C8C"/>
    <w:rsid w:val="00DB1831"/>
    <w:rsid w:val="00DC334D"/>
    <w:rsid w:val="00DC3AE9"/>
    <w:rsid w:val="00DD3BFD"/>
    <w:rsid w:val="00DE1050"/>
    <w:rsid w:val="00DE239D"/>
    <w:rsid w:val="00DF431C"/>
    <w:rsid w:val="00DF6678"/>
    <w:rsid w:val="00E428C8"/>
    <w:rsid w:val="00EF2E22"/>
    <w:rsid w:val="00F0592C"/>
    <w:rsid w:val="00F06ED4"/>
    <w:rsid w:val="00F43289"/>
    <w:rsid w:val="00F4604C"/>
    <w:rsid w:val="00F608E7"/>
    <w:rsid w:val="00F660DF"/>
    <w:rsid w:val="00F7366A"/>
    <w:rsid w:val="00F839A6"/>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 w:type="paragraph" w:customStyle="1" w:styleId="Standard">
    <w:name w:val="Standard"/>
    <w:rsid w:val="0042550C"/>
    <w:pPr>
      <w:suppressAutoHyphens/>
      <w:autoSpaceDN w:val="0"/>
      <w:snapToGrid w:val="0"/>
      <w:spacing w:after="0" w:line="240" w:lineRule="atLeast"/>
      <w:textAlignment w:val="baseline"/>
    </w:pPr>
    <w:rPr>
      <w:rFonts w:eastAsia="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402794973">
      <w:bodyDiv w:val="1"/>
      <w:marLeft w:val="0"/>
      <w:marRight w:val="0"/>
      <w:marTop w:val="0"/>
      <w:marBottom w:val="0"/>
      <w:divBdr>
        <w:top w:val="none" w:sz="0" w:space="0" w:color="auto"/>
        <w:left w:val="none" w:sz="0" w:space="0" w:color="auto"/>
        <w:bottom w:val="none" w:sz="0" w:space="0" w:color="auto"/>
        <w:right w:val="none" w:sz="0" w:space="0" w:color="auto"/>
      </w:divBdr>
    </w:div>
    <w:div w:id="621884485">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1264805480">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06AD-C1C5-475E-A860-BF7ED93316B8}">
  <ds:schemaRefs>
    <ds:schemaRef ds:uri="http://schemas.microsoft.com/sharepoint/v3/contenttype/forms"/>
  </ds:schemaRefs>
</ds:datastoreItem>
</file>

<file path=customXml/itemProps3.xml><?xml version="1.0" encoding="utf-8"?>
<ds:datastoreItem xmlns:ds="http://schemas.openxmlformats.org/officeDocument/2006/customXml" ds:itemID="{2BE77BE7-3816-469F-8358-6DD339528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3655</Characters>
  <Application>Microsoft Office Word</Application>
  <DocSecurity>0</DocSecurity>
  <Lines>81</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ECE/TRANS/WP.11/2021/6</vt:lpstr>
      <vt:lpstr>ECE/TRANS/WP.11/2021/5</vt:lpstr>
    </vt:vector>
  </TitlesOfParts>
  <Company>DCM</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ECE/TRANS/WP.11/2021/6</dc:title>
  <dc:subject>FINAL</dc:subject>
  <dc:creator>June 2021 amend</dc:creator>
  <cp:keywords/>
  <dc:description/>
  <cp:lastModifiedBy>Nathalie Vittoz</cp:lastModifiedBy>
  <cp:revision>2</cp:revision>
  <cp:lastPrinted>2014-05-14T10:59:00Z</cp:lastPrinted>
  <dcterms:created xsi:type="dcterms:W3CDTF">2021-08-10T07:39:00Z</dcterms:created>
  <dcterms:modified xsi:type="dcterms:W3CDTF">2021-08-10T07:39:00Z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