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4EE43886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8DAA94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D5E3A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28C63FA" w14:textId="0D0C52B5" w:rsidR="001433FD" w:rsidRPr="00E7413D" w:rsidRDefault="0099053A" w:rsidP="0099053A">
            <w:pPr>
              <w:jc w:val="right"/>
            </w:pPr>
            <w:r w:rsidRPr="00E7413D">
              <w:rPr>
                <w:sz w:val="40"/>
              </w:rPr>
              <w:t>ECE</w:t>
            </w:r>
            <w:r>
              <w:t>/TRANS/WP.11/2022/5</w:t>
            </w:r>
          </w:p>
        </w:tc>
      </w:tr>
      <w:tr w:rsidR="001433FD" w:rsidRPr="00DB58B5" w14:paraId="6FE8C2C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594A31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B5523C" wp14:editId="5520BEC8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8007A8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B260F2" w14:textId="77777777" w:rsidR="0001207F" w:rsidRDefault="00612093" w:rsidP="00612093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83DDE22" w14:textId="11A78147" w:rsidR="00612093" w:rsidRDefault="00FA10F3" w:rsidP="00612093">
            <w:pPr>
              <w:spacing w:line="240" w:lineRule="exact"/>
            </w:pPr>
            <w:r>
              <w:t>10</w:t>
            </w:r>
            <w:r w:rsidR="00612093">
              <w:t xml:space="preserve"> février 2022</w:t>
            </w:r>
          </w:p>
          <w:p w14:paraId="087F9D5D" w14:textId="77777777" w:rsidR="00612093" w:rsidRDefault="00612093" w:rsidP="00612093">
            <w:pPr>
              <w:spacing w:line="240" w:lineRule="exact"/>
            </w:pPr>
          </w:p>
          <w:p w14:paraId="22C4B88D" w14:textId="77777777" w:rsidR="00612093" w:rsidRPr="00DB58B5" w:rsidRDefault="00612093" w:rsidP="00612093">
            <w:pPr>
              <w:spacing w:line="240" w:lineRule="exact"/>
            </w:pPr>
            <w:r>
              <w:t>Original : français</w:t>
            </w:r>
          </w:p>
        </w:tc>
      </w:tr>
    </w:tbl>
    <w:p w14:paraId="4F861A8C" w14:textId="77777777" w:rsidR="00564657" w:rsidRDefault="00564657" w:rsidP="00612093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2F0F093" w14:textId="77777777" w:rsidR="003345EC" w:rsidRDefault="003345EC" w:rsidP="003345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604A0600" w14:textId="77777777" w:rsidR="003345EC" w:rsidRDefault="003345EC" w:rsidP="003345E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</w:t>
      </w:r>
      <w:r>
        <w:rPr>
          <w:b/>
          <w:sz w:val="24"/>
          <w:szCs w:val="24"/>
        </w:rPr>
        <w:br/>
        <w:t>des denrées périssables</w:t>
      </w:r>
    </w:p>
    <w:p w14:paraId="12D51C99" w14:textId="77777777" w:rsidR="003345EC" w:rsidRPr="003D1E16" w:rsidRDefault="003345EC" w:rsidP="003345EC">
      <w:pPr>
        <w:spacing w:before="120"/>
        <w:rPr>
          <w:b/>
          <w:bCs/>
        </w:rPr>
      </w:pPr>
      <w:r w:rsidRPr="003D1E16">
        <w:rPr>
          <w:b/>
          <w:bCs/>
        </w:rPr>
        <w:t>Soixante-dix-huitième session</w:t>
      </w:r>
    </w:p>
    <w:p w14:paraId="14B6D0F5" w14:textId="77777777" w:rsidR="003345EC" w:rsidRPr="003D1E16" w:rsidRDefault="003345EC" w:rsidP="003345EC">
      <w:pPr>
        <w:rPr>
          <w:b/>
          <w:bCs/>
        </w:rPr>
      </w:pPr>
      <w:r w:rsidRPr="003D1E16">
        <w:rPr>
          <w:b/>
          <w:bCs/>
        </w:rPr>
        <w:t>Genève, 3-6 mai 2022</w:t>
      </w:r>
    </w:p>
    <w:p w14:paraId="447B0365" w14:textId="77777777" w:rsidR="003345EC" w:rsidRPr="00135131" w:rsidRDefault="003345EC" w:rsidP="003345EC">
      <w:r w:rsidRPr="00135131">
        <w:t>Point 5 b) de l'ordre du jour provisoire</w:t>
      </w:r>
    </w:p>
    <w:p w14:paraId="3E3E22F7" w14:textId="77777777" w:rsidR="003345EC" w:rsidRDefault="003345EC" w:rsidP="003345EC">
      <w:pPr>
        <w:pStyle w:val="Standard"/>
        <w:rPr>
          <w:b/>
          <w:lang w:val="fr-FR"/>
        </w:rPr>
      </w:pPr>
      <w:r>
        <w:rPr>
          <w:b/>
          <w:lang w:val="fr-FR"/>
        </w:rPr>
        <w:t>Propositions d’amendements à l’ATP :</w:t>
      </w:r>
    </w:p>
    <w:p w14:paraId="70D03F6F" w14:textId="77777777" w:rsidR="003345EC" w:rsidRDefault="003345EC" w:rsidP="003345EC">
      <w:pPr>
        <w:rPr>
          <w:b/>
          <w:bCs/>
          <w:lang w:val="fr-FR"/>
        </w:rPr>
      </w:pPr>
      <w:r w:rsidRPr="007130D1">
        <w:rPr>
          <w:b/>
          <w:bCs/>
        </w:rPr>
        <w:t>nouvelles propositions</w:t>
      </w:r>
      <w:r>
        <w:t xml:space="preserve"> </w:t>
      </w:r>
    </w:p>
    <w:p w14:paraId="02ADCC7C" w14:textId="3B820385" w:rsidR="004B1C41" w:rsidRPr="00F4604C" w:rsidRDefault="00DA16D8" w:rsidP="00DA16D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4B1C41" w:rsidRPr="009D3460">
        <w:rPr>
          <w:lang w:val="fr-FR"/>
        </w:rPr>
        <w:t>Proposition</w:t>
      </w:r>
      <w:r w:rsidR="004B1C41">
        <w:rPr>
          <w:lang w:val="fr-FR"/>
        </w:rPr>
        <w:t xml:space="preserve"> d’amendements au paragraphe 7.3.7</w:t>
      </w:r>
      <w:r w:rsidR="004B1C41" w:rsidRPr="009D3460">
        <w:rPr>
          <w:lang w:val="fr-FR"/>
        </w:rPr>
        <w:t xml:space="preserve"> de l’appendice 2 de l’annexe 1</w:t>
      </w:r>
    </w:p>
    <w:p w14:paraId="608A5203" w14:textId="437E86A8" w:rsidR="004B1C41" w:rsidRDefault="00DA16D8" w:rsidP="00A91952">
      <w:pPr>
        <w:pStyle w:val="H1G"/>
        <w:rPr>
          <w:rStyle w:val="Policepardfaut1"/>
          <w:lang w:val="fr-FR"/>
        </w:rPr>
      </w:pPr>
      <w:r>
        <w:rPr>
          <w:rStyle w:val="Policepardfaut1"/>
        </w:rPr>
        <w:tab/>
      </w:r>
      <w:r>
        <w:rPr>
          <w:rStyle w:val="Policepardfaut1"/>
        </w:rPr>
        <w:tab/>
      </w:r>
      <w:r w:rsidR="004B1C41" w:rsidRPr="00DA16D8">
        <w:rPr>
          <w:rStyle w:val="Policepardfaut1"/>
        </w:rPr>
        <w:t>Communication</w:t>
      </w:r>
      <w:r w:rsidR="004B1C41">
        <w:rPr>
          <w:rStyle w:val="Policepardfaut1"/>
          <w:lang w:val="fr-FR"/>
        </w:rPr>
        <w:t xml:space="preserve"> du </w:t>
      </w:r>
      <w:r w:rsidR="004B1C41">
        <w:t>Gouvernement</w:t>
      </w:r>
      <w:r w:rsidR="004B1C41">
        <w:rPr>
          <w:rStyle w:val="Policepardfaut1"/>
          <w:lang w:val="fr-FR"/>
        </w:rPr>
        <w:t xml:space="preserve"> de la France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B1C41" w14:paraId="06BE5419" w14:textId="77777777" w:rsidTr="00CD7827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35793A4C" w14:textId="77777777" w:rsidR="004B1C41" w:rsidRPr="00C6263E" w:rsidRDefault="004B1C41" w:rsidP="00CD7827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4B1C41" w14:paraId="313E6B37" w14:textId="77777777" w:rsidTr="00CD7827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4B1C41" w14:paraId="5CC37A63" w14:textId="77777777" w:rsidTr="00CD7827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4EACF86E" w14:textId="77777777" w:rsidR="004B1C41" w:rsidRDefault="004B1C41" w:rsidP="00CD7827">
                  <w:pPr>
                    <w:pStyle w:val="SingleTxtG"/>
                    <w:spacing w:before="120"/>
                    <w:ind w:left="2269" w:hanging="1985"/>
                  </w:pPr>
                  <w:r>
                    <w:rPr>
                      <w:b/>
                    </w:rPr>
                    <w:t>Résumé analytique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 w:rsidRPr="00A91952">
                    <w:rPr>
                      <w:bCs/>
                    </w:rPr>
                    <w:t>Proposition visant à compléter le paragraphe 7.3.7 de l’appendice 2 de l’annexe 1 en y ajoutant une définition des différentes typologies de cloisons internes</w:t>
                  </w:r>
                </w:p>
              </w:tc>
            </w:tr>
            <w:tr w:rsidR="004B1C41" w14:paraId="3E7E9976" w14:textId="77777777" w:rsidTr="00CD7827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523B0D6B" w14:textId="77777777" w:rsidR="004B1C41" w:rsidRPr="009D3460" w:rsidRDefault="004B1C41" w:rsidP="00CD7827">
                  <w:pPr>
                    <w:pStyle w:val="SingleTxtG"/>
                    <w:spacing w:before="120"/>
                    <w:ind w:left="2269" w:hanging="1985"/>
                  </w:pPr>
                  <w:r>
                    <w:rPr>
                      <w:b/>
                    </w:rPr>
                    <w:t>Mesure à prendre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 w:rsidRPr="00A91952">
                    <w:rPr>
                      <w:bCs/>
                    </w:rPr>
                    <w:t>Compléter le paragraphe 7.3.7 de l’appendice 2 de l’annexe 1</w:t>
                  </w:r>
                </w:p>
              </w:tc>
            </w:tr>
            <w:tr w:rsidR="004B1C41" w14:paraId="2EBBC40E" w14:textId="77777777" w:rsidTr="00CD7827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19D22AAC" w14:textId="77777777" w:rsidR="004B1C41" w:rsidRDefault="004B1C41" w:rsidP="00CD7827">
                  <w:pPr>
                    <w:pStyle w:val="SingleTxtG"/>
                    <w:ind w:left="2552" w:hanging="2268"/>
                    <w:jc w:val="left"/>
                  </w:pPr>
                  <w:r>
                    <w:rPr>
                      <w:b/>
                    </w:rPr>
                    <w:t>Documents connexes </w:t>
                  </w:r>
                  <w:r>
                    <w:t>:</w:t>
                  </w:r>
                  <w:r>
                    <w:rPr>
                      <w:b/>
                    </w:rPr>
                    <w:tab/>
                  </w:r>
                  <w:r>
                    <w:t>Aucun.</w:t>
                  </w:r>
                </w:p>
              </w:tc>
            </w:tr>
          </w:tbl>
          <w:p w14:paraId="745D1012" w14:textId="77777777" w:rsidR="004B1C41" w:rsidRDefault="004B1C41" w:rsidP="00CD7827"/>
        </w:tc>
      </w:tr>
    </w:tbl>
    <w:p w14:paraId="42A3ED61" w14:textId="31B109F9" w:rsidR="004B1C41" w:rsidRDefault="00A91952" w:rsidP="00A91952">
      <w:pPr>
        <w:pStyle w:val="HChG"/>
      </w:pPr>
      <w:r>
        <w:tab/>
      </w:r>
      <w:r>
        <w:tab/>
      </w:r>
      <w:r w:rsidR="004B1C41" w:rsidRPr="00A91952">
        <w:t>Introduction</w:t>
      </w:r>
    </w:p>
    <w:p w14:paraId="25D67842" w14:textId="6FD8731D" w:rsidR="004B1C41" w:rsidRPr="00A91952" w:rsidRDefault="004B1C41" w:rsidP="00A91952">
      <w:pPr>
        <w:pStyle w:val="SingleTxtG"/>
        <w:rPr>
          <w:rFonts w:eastAsia="Calibri"/>
        </w:rPr>
      </w:pPr>
      <w:r w:rsidRPr="00A91952">
        <w:rPr>
          <w:rFonts w:eastAsia="Calibri"/>
        </w:rPr>
        <w:t>1.</w:t>
      </w:r>
      <w:r w:rsidRPr="00A91952">
        <w:rPr>
          <w:rFonts w:eastAsia="Calibri"/>
        </w:rPr>
        <w:tab/>
        <w:t>Le paragraphe 7.3.7 de l’appendice 2 de l’annexe 1 évoque les déperditions thermiques des cloisons internes pour lesquelles seules deux types sont représentées par les termes « Longitudinale » et « Transversale »</w:t>
      </w:r>
    </w:p>
    <w:p w14:paraId="2FD04389" w14:textId="5DC521AF" w:rsidR="004B1C41" w:rsidRPr="00A91952" w:rsidRDefault="004B1C41" w:rsidP="00A91952">
      <w:pPr>
        <w:pStyle w:val="SingleTxtG"/>
        <w:rPr>
          <w:rFonts w:eastAsia="Calibri"/>
        </w:rPr>
      </w:pPr>
      <w:r w:rsidRPr="00A91952">
        <w:rPr>
          <w:rFonts w:eastAsia="Calibri"/>
        </w:rPr>
        <w:t>2.</w:t>
      </w:r>
      <w:r w:rsidRPr="00A91952">
        <w:rPr>
          <w:rFonts w:eastAsia="Calibri"/>
        </w:rPr>
        <w:tab/>
        <w:t>Les solutions technologiques proposées par les carrossiers constructeurs pour répondre aux besoins des transporteurs ne sont pas entièrement représentées au travers de ces termes, qui peuvent être sujet à interprétation.</w:t>
      </w:r>
    </w:p>
    <w:p w14:paraId="63BBA427" w14:textId="62172954" w:rsidR="004B1C41" w:rsidRPr="00A91952" w:rsidRDefault="004B1C41" w:rsidP="00A91952">
      <w:pPr>
        <w:pStyle w:val="SingleTxtG"/>
        <w:rPr>
          <w:rFonts w:eastAsia="Calibri"/>
        </w:rPr>
      </w:pPr>
      <w:r w:rsidRPr="00A91952">
        <w:rPr>
          <w:rFonts w:eastAsia="Calibri"/>
        </w:rPr>
        <w:t>3.</w:t>
      </w:r>
      <w:r w:rsidRPr="00A91952">
        <w:rPr>
          <w:rFonts w:eastAsia="Calibri"/>
        </w:rPr>
        <w:tab/>
        <w:t xml:space="preserve">La présente proposition vise à introduire une caractérisation pour les cloisons mobiles utilisées dans le cadre du transport multi-température et de compléter le paragraphe 7.3.7 de l’appendice 2 de l’annexe 1 en complément de la proposition </w:t>
      </w:r>
      <w:r w:rsidR="003D22F1" w:rsidRPr="003D22F1">
        <w:rPr>
          <w:rFonts w:eastAsia="Calibri"/>
        </w:rPr>
        <w:t>ECE/TRANS/WP.11/2022/</w:t>
      </w:r>
      <w:r w:rsidR="003D22F1" w:rsidRPr="00F33654">
        <w:rPr>
          <w:rFonts w:eastAsia="Calibri"/>
        </w:rPr>
        <w:t>2</w:t>
      </w:r>
      <w:r w:rsidR="008E7F70" w:rsidRPr="00F33654">
        <w:rPr>
          <w:rFonts w:eastAsia="Calibri"/>
        </w:rPr>
        <w:t>.</w:t>
      </w:r>
    </w:p>
    <w:p w14:paraId="30954DA7" w14:textId="77777777" w:rsidR="004B1C41" w:rsidRDefault="004B1C41" w:rsidP="00A91952">
      <w:pPr>
        <w:pStyle w:val="HChG"/>
      </w:pPr>
      <w:r>
        <w:rPr>
          <w:rFonts w:eastAsia="Calibri"/>
          <w:lang w:eastAsia="en-US"/>
        </w:rPr>
        <w:br w:type="page"/>
      </w:r>
      <w:r>
        <w:lastRenderedPageBreak/>
        <w:tab/>
        <w:t>I.</w:t>
      </w:r>
      <w:r>
        <w:tab/>
      </w:r>
      <w:r w:rsidRPr="00A91952">
        <w:t>Proposition</w:t>
      </w:r>
    </w:p>
    <w:p w14:paraId="6AD0BF34" w14:textId="07833378" w:rsidR="004B1C41" w:rsidRPr="00A91952" w:rsidRDefault="00A91952" w:rsidP="00A91952">
      <w:pPr>
        <w:pStyle w:val="SingleTxtG"/>
        <w:rPr>
          <w:rFonts w:eastAsia="Calibri"/>
        </w:rPr>
      </w:pPr>
      <w:r>
        <w:rPr>
          <w:rFonts w:eastAsia="Calibri"/>
        </w:rPr>
        <w:t>4</w:t>
      </w:r>
      <w:r w:rsidR="004B1C41" w:rsidRPr="00A91952">
        <w:rPr>
          <w:rFonts w:eastAsia="Calibri"/>
        </w:rPr>
        <w:t>.</w:t>
      </w:r>
      <w:r w:rsidR="004B1C41" w:rsidRPr="00A91952">
        <w:rPr>
          <w:rFonts w:eastAsia="Calibri"/>
        </w:rPr>
        <w:tab/>
        <w:t>Introduire une notion de restriction au 7.3.7 de l’appendice 2 de l’annexe 1 :</w:t>
      </w:r>
    </w:p>
    <w:p w14:paraId="65442F4A" w14:textId="35541001" w:rsidR="004B1C41" w:rsidRPr="00A91952" w:rsidRDefault="007439D2" w:rsidP="00BD129E">
      <w:pPr>
        <w:pStyle w:val="SingleTxtG"/>
        <w:ind w:left="1701"/>
        <w:rPr>
          <w:rFonts w:eastAsia="Calibri"/>
        </w:rPr>
      </w:pPr>
      <w:r>
        <w:rPr>
          <w:rFonts w:eastAsia="Calibri"/>
        </w:rPr>
        <w:t>« </w:t>
      </w:r>
      <w:r w:rsidR="004B1C41" w:rsidRPr="00A91952">
        <w:rPr>
          <w:rFonts w:eastAsia="Calibri"/>
        </w:rPr>
        <w:t>Dans le cadre du transport multi-température, multi-compartiments, seules les cloisons fixes et isotherme et/ou cloison mobile et isotherme sont autorisées.</w:t>
      </w:r>
    </w:p>
    <w:p w14:paraId="03D71E66" w14:textId="57BC8891" w:rsidR="004B1C41" w:rsidRPr="00A91952" w:rsidRDefault="004B1C41" w:rsidP="00B3169B">
      <w:pPr>
        <w:pStyle w:val="SingleTxtG"/>
        <w:ind w:left="1701"/>
        <w:rPr>
          <w:rFonts w:eastAsia="Calibri"/>
        </w:rPr>
      </w:pPr>
      <w:r w:rsidRPr="00A91952">
        <w:rPr>
          <w:rFonts w:eastAsia="Calibri"/>
        </w:rPr>
        <w:t>De plus, ces cloisons doivent respecter les critères suivants</w:t>
      </w:r>
      <w:r w:rsidR="00B3169B">
        <w:rPr>
          <w:rFonts w:eastAsia="Calibri"/>
        </w:rPr>
        <w:t>. »</w:t>
      </w:r>
      <w:r w:rsidRPr="00A91952">
        <w:rPr>
          <w:rFonts w:eastAsia="Calibri"/>
        </w:rPr>
        <w:t xml:space="preserve"> </w:t>
      </w:r>
    </w:p>
    <w:p w14:paraId="6EB5F3D6" w14:textId="65D7E6AC" w:rsidR="004B1C41" w:rsidRPr="00A91952" w:rsidRDefault="00A91952" w:rsidP="00A91952">
      <w:pPr>
        <w:pStyle w:val="SingleTxtG"/>
        <w:rPr>
          <w:rFonts w:eastAsia="Calibri"/>
        </w:rPr>
      </w:pPr>
      <w:r>
        <w:rPr>
          <w:rFonts w:eastAsia="Calibri"/>
        </w:rPr>
        <w:t>5</w:t>
      </w:r>
      <w:r w:rsidR="004B1C41" w:rsidRPr="00A91952">
        <w:rPr>
          <w:rFonts w:eastAsia="Calibri"/>
        </w:rPr>
        <w:t>.</w:t>
      </w:r>
      <w:r w:rsidR="004B1C41" w:rsidRPr="00A91952">
        <w:rPr>
          <w:rFonts w:eastAsia="Calibri"/>
        </w:rPr>
        <w:tab/>
        <w:t>Introduire une notion de conception au 7.3.7 de l’appendice 2 de l’annexe 1 :</w:t>
      </w:r>
    </w:p>
    <w:p w14:paraId="55584F34" w14:textId="4C0D4BF7" w:rsidR="004B1C41" w:rsidRPr="00A91952" w:rsidRDefault="007439D2" w:rsidP="00BD129E">
      <w:pPr>
        <w:pStyle w:val="SingleTxtG"/>
        <w:ind w:left="1701"/>
        <w:rPr>
          <w:rFonts w:eastAsia="Calibri"/>
        </w:rPr>
      </w:pPr>
      <w:r>
        <w:rPr>
          <w:rFonts w:eastAsia="Calibri"/>
        </w:rPr>
        <w:t>« </w:t>
      </w:r>
      <w:r w:rsidR="004B1C41" w:rsidRPr="00A91952">
        <w:rPr>
          <w:rFonts w:eastAsia="Calibri"/>
        </w:rPr>
        <w:t>La ou les cloisons doivent être constituées d’un panneau sandwich dont le parement est solidaire de l’âme et dont l’épaisseur est définie dans le tableau 7.3.7 de l’appendice 2 de l’annexe 1.</w:t>
      </w:r>
      <w:r>
        <w:rPr>
          <w:rFonts w:eastAsia="Calibri"/>
        </w:rPr>
        <w:t> »</w:t>
      </w:r>
    </w:p>
    <w:p w14:paraId="37E35E79" w14:textId="26B93A9D" w:rsidR="004B1C41" w:rsidRPr="00A91952" w:rsidRDefault="00A91952" w:rsidP="00A91952">
      <w:pPr>
        <w:pStyle w:val="SingleTxtG"/>
        <w:rPr>
          <w:rFonts w:eastAsia="Calibri"/>
        </w:rPr>
      </w:pPr>
      <w:r>
        <w:rPr>
          <w:rFonts w:eastAsia="Calibri"/>
        </w:rPr>
        <w:t>6</w:t>
      </w:r>
      <w:r w:rsidR="004B1C41" w:rsidRPr="00A91952">
        <w:rPr>
          <w:rFonts w:eastAsia="Calibri"/>
        </w:rPr>
        <w:t>.</w:t>
      </w:r>
      <w:r w:rsidR="004B1C41" w:rsidRPr="00A91952">
        <w:rPr>
          <w:rFonts w:eastAsia="Calibri"/>
        </w:rPr>
        <w:tab/>
        <w:t>Introduire une notion de stabilité pour les cloisons mobiles au 7.3.7 de l’appendice 2 de l’annexe 1</w:t>
      </w:r>
      <w:r w:rsidR="00166273">
        <w:rPr>
          <w:rFonts w:eastAsia="Calibri"/>
        </w:rPr>
        <w:t xml:space="preserve"> </w:t>
      </w:r>
      <w:r w:rsidR="004B1C41" w:rsidRPr="00A91952">
        <w:rPr>
          <w:rFonts w:eastAsia="Calibri"/>
        </w:rPr>
        <w:t>:</w:t>
      </w:r>
    </w:p>
    <w:p w14:paraId="28AC26F8" w14:textId="09BF88B8" w:rsidR="004B1C41" w:rsidRPr="00BD129E" w:rsidRDefault="007439D2" w:rsidP="00BD129E">
      <w:pPr>
        <w:pStyle w:val="SingleTxtG"/>
        <w:ind w:left="1701"/>
        <w:rPr>
          <w:rFonts w:eastAsia="Calibri"/>
        </w:rPr>
      </w:pPr>
      <w:r>
        <w:rPr>
          <w:rFonts w:eastAsia="Calibri"/>
        </w:rPr>
        <w:t>« </w:t>
      </w:r>
      <w:r w:rsidR="004B1C41" w:rsidRPr="00A91952">
        <w:rPr>
          <w:rFonts w:eastAsia="Calibri"/>
        </w:rPr>
        <w:t>Dans le cas d’une cloison mobile, celle-ci doit être équipée d’un mécanisme de blocage permettant d’assurer le maintien en position verticale ou horizontale de celle-ci pendant toute la phase d’utilisation de l’engin.</w:t>
      </w:r>
      <w:r>
        <w:rPr>
          <w:rFonts w:eastAsia="Calibri"/>
        </w:rPr>
        <w:t> »</w:t>
      </w:r>
    </w:p>
    <w:p w14:paraId="6F5FB7DB" w14:textId="77777777" w:rsidR="004B1C41" w:rsidRDefault="004B1C41" w:rsidP="00A91952">
      <w:pPr>
        <w:pStyle w:val="HChG"/>
      </w:pPr>
      <w:r>
        <w:tab/>
        <w:t>II.</w:t>
      </w:r>
      <w:r>
        <w:tab/>
        <w:t>Incidence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68"/>
        <w:gridCol w:w="2285"/>
      </w:tblGrid>
      <w:tr w:rsidR="004B1C41" w14:paraId="1F54C673" w14:textId="77777777" w:rsidTr="00CD7827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461D3C80" w14:textId="77777777" w:rsidR="004B1C41" w:rsidRDefault="004B1C41" w:rsidP="00CD7827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Coût : </w:t>
            </w:r>
          </w:p>
        </w:tc>
        <w:tc>
          <w:tcPr>
            <w:tcW w:w="3668" w:type="dxa"/>
          </w:tcPr>
          <w:p w14:paraId="6AA6E2B9" w14:textId="77777777" w:rsidR="004B1C41" w:rsidRDefault="004B1C41" w:rsidP="00CD7827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4B1C41" w14:paraId="28F83193" w14:textId="77777777" w:rsidTr="00CD7827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124DEB31" w14:textId="77777777" w:rsidR="004B1C41" w:rsidRDefault="004B1C41" w:rsidP="00CD7827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Environnement : </w:t>
            </w:r>
          </w:p>
        </w:tc>
        <w:tc>
          <w:tcPr>
            <w:tcW w:w="3668" w:type="dxa"/>
          </w:tcPr>
          <w:p w14:paraId="5244803B" w14:textId="77777777" w:rsidR="004B1C41" w:rsidRDefault="004B1C41" w:rsidP="00CD7827">
            <w:pPr>
              <w:pStyle w:val="Default"/>
              <w:tabs>
                <w:tab w:val="righ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incidence. </w:t>
            </w:r>
          </w:p>
        </w:tc>
      </w:tr>
      <w:tr w:rsidR="004B1C41" w14:paraId="7B6822C6" w14:textId="77777777" w:rsidTr="00CD7827">
        <w:trPr>
          <w:trHeight w:val="210"/>
        </w:trPr>
        <w:tc>
          <w:tcPr>
            <w:tcW w:w="2802" w:type="dxa"/>
          </w:tcPr>
          <w:p w14:paraId="54929B95" w14:textId="77777777" w:rsidR="004B1C41" w:rsidRDefault="004B1C41" w:rsidP="00CD7827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Faisabilité : </w:t>
            </w:r>
          </w:p>
        </w:tc>
        <w:tc>
          <w:tcPr>
            <w:tcW w:w="5953" w:type="dxa"/>
            <w:gridSpan w:val="2"/>
          </w:tcPr>
          <w:p w14:paraId="17679266" w14:textId="77777777" w:rsidR="004B1C41" w:rsidRDefault="004B1C41" w:rsidP="00CD7827">
            <w:pPr>
              <w:pStyle w:val="Default"/>
              <w:tabs>
                <w:tab w:val="right" w:pos="851"/>
              </w:tabs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L’amendement proposé peut aisément être introduit dans l’ATP. Une période de transition d’un an est proposée.</w:t>
            </w:r>
          </w:p>
        </w:tc>
      </w:tr>
      <w:tr w:rsidR="004B1C41" w14:paraId="21CC9892" w14:textId="77777777" w:rsidTr="00CD7827">
        <w:trPr>
          <w:gridAfter w:val="1"/>
          <w:wAfter w:w="2285" w:type="dxa"/>
          <w:trHeight w:val="90"/>
        </w:trPr>
        <w:tc>
          <w:tcPr>
            <w:tcW w:w="2802" w:type="dxa"/>
          </w:tcPr>
          <w:p w14:paraId="650B1052" w14:textId="77777777" w:rsidR="004B1C41" w:rsidRDefault="004B1C41" w:rsidP="00CD7827">
            <w:pPr>
              <w:pStyle w:val="Default"/>
              <w:tabs>
                <w:tab w:val="right" w:pos="851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Applicabilité : </w:t>
            </w:r>
          </w:p>
        </w:tc>
        <w:tc>
          <w:tcPr>
            <w:tcW w:w="3668" w:type="dxa"/>
          </w:tcPr>
          <w:p w14:paraId="747E0682" w14:textId="77777777" w:rsidR="004B1C41" w:rsidRDefault="004B1C41" w:rsidP="00CD7827">
            <w:pPr>
              <w:pStyle w:val="Default"/>
              <w:tabs>
                <w:tab w:val="right" w:pos="851"/>
              </w:tabs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Aucune difficulté n’est à prévoir. </w:t>
            </w:r>
          </w:p>
        </w:tc>
      </w:tr>
    </w:tbl>
    <w:p w14:paraId="4105EFE2" w14:textId="76A2AED1" w:rsidR="004B1C41" w:rsidRPr="00A91952" w:rsidRDefault="00A91952" w:rsidP="00A91952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B1C41" w:rsidRPr="00A91952" w:rsidSect="0061209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66A" w14:textId="77777777" w:rsidR="001F6202" w:rsidRDefault="001F6202" w:rsidP="00F95C08">
      <w:pPr>
        <w:spacing w:line="240" w:lineRule="auto"/>
      </w:pPr>
    </w:p>
  </w:endnote>
  <w:endnote w:type="continuationSeparator" w:id="0">
    <w:p w14:paraId="6B9CCFA3" w14:textId="77777777" w:rsidR="001F6202" w:rsidRPr="00AC3823" w:rsidRDefault="001F6202" w:rsidP="00AC3823">
      <w:pPr>
        <w:pStyle w:val="Pieddepage"/>
      </w:pPr>
    </w:p>
  </w:endnote>
  <w:endnote w:type="continuationNotice" w:id="1">
    <w:p w14:paraId="35852C48" w14:textId="77777777" w:rsidR="001F6202" w:rsidRDefault="001F62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2123" w14:textId="77777777" w:rsidR="00612093" w:rsidRPr="00612093" w:rsidRDefault="00612093" w:rsidP="00612093">
    <w:pPr>
      <w:pStyle w:val="Pieddepage"/>
      <w:tabs>
        <w:tab w:val="right" w:pos="9638"/>
      </w:tabs>
      <w:rPr>
        <w:sz w:val="18"/>
      </w:rPr>
    </w:pPr>
    <w:r w:rsidRPr="00612093">
      <w:rPr>
        <w:b/>
        <w:sz w:val="18"/>
      </w:rPr>
      <w:fldChar w:fldCharType="begin"/>
    </w:r>
    <w:r w:rsidRPr="00612093">
      <w:rPr>
        <w:b/>
        <w:sz w:val="18"/>
      </w:rPr>
      <w:instrText xml:space="preserve"> PAGE  \* MERGEFORMAT </w:instrText>
    </w:r>
    <w:r w:rsidRPr="00612093">
      <w:rPr>
        <w:b/>
        <w:sz w:val="18"/>
      </w:rPr>
      <w:fldChar w:fldCharType="separate"/>
    </w:r>
    <w:r w:rsidRPr="00612093">
      <w:rPr>
        <w:b/>
        <w:noProof/>
        <w:sz w:val="18"/>
      </w:rPr>
      <w:t>2</w:t>
    </w:r>
    <w:r w:rsidRPr="0061209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7EA" w14:textId="77777777" w:rsidR="00612093" w:rsidRPr="00612093" w:rsidRDefault="00612093" w:rsidP="00612093">
    <w:pPr>
      <w:pStyle w:val="Pieddepage"/>
      <w:tabs>
        <w:tab w:val="right" w:pos="9638"/>
      </w:tabs>
      <w:rPr>
        <w:b/>
        <w:sz w:val="18"/>
      </w:rPr>
    </w:pPr>
    <w:r>
      <w:tab/>
    </w:r>
    <w:r w:rsidRPr="00612093">
      <w:rPr>
        <w:b/>
        <w:sz w:val="18"/>
      </w:rPr>
      <w:fldChar w:fldCharType="begin"/>
    </w:r>
    <w:r w:rsidRPr="00612093">
      <w:rPr>
        <w:b/>
        <w:sz w:val="18"/>
      </w:rPr>
      <w:instrText xml:space="preserve"> PAGE  \* MERGEFORMAT </w:instrText>
    </w:r>
    <w:r w:rsidRPr="00612093">
      <w:rPr>
        <w:b/>
        <w:sz w:val="18"/>
      </w:rPr>
      <w:fldChar w:fldCharType="separate"/>
    </w:r>
    <w:r w:rsidRPr="00612093">
      <w:rPr>
        <w:b/>
        <w:noProof/>
        <w:sz w:val="18"/>
      </w:rPr>
      <w:t>3</w:t>
    </w:r>
    <w:r w:rsidRPr="006120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3826" w14:textId="2CCD90B8" w:rsidR="000D3EE9" w:rsidRPr="00612093" w:rsidRDefault="0099053A" w:rsidP="00E7413D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GE.22-01771  (F)</w:t>
    </w:r>
    <w:bookmarkStart w:id="0" w:name="_GoBack"/>
    <w:bookmarkEnd w:id="0"/>
    <w:r>
      <w:rPr>
        <w:sz w:val="20"/>
      </w:rPr>
      <w:tab/>
    </w:r>
    <w:r w:rsidRPr="0099053A">
      <w:rPr>
        <w:noProof/>
        <w:sz w:val="20"/>
        <w:lang w:eastAsia="fr-CH"/>
      </w:rPr>
      <w:drawing>
        <wp:inline distT="0" distB="0" distL="0" distR="0" wp14:anchorId="72C54DE7" wp14:editId="164A8F55">
          <wp:extent cx="1105200" cy="234000"/>
          <wp:effectExtent l="0" t="0" r="0" b="0"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25853C03" wp14:editId="3933F461">
          <wp:extent cx="638175" cy="63817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24A9" w14:textId="77777777" w:rsidR="001F6202" w:rsidRPr="00AC3823" w:rsidRDefault="001F620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CF8137" w14:textId="77777777" w:rsidR="001F6202" w:rsidRPr="00AC3823" w:rsidRDefault="001F620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1AA36B" w14:textId="77777777" w:rsidR="001F6202" w:rsidRPr="00AC3823" w:rsidRDefault="001F620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D773" w14:textId="5943B4E3" w:rsidR="00612093" w:rsidRPr="00612093" w:rsidRDefault="004F542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834D" w14:textId="4DF45DF2" w:rsidR="00612093" w:rsidRPr="00612093" w:rsidRDefault="004F542B" w:rsidP="00612093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93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66273"/>
    <w:rsid w:val="00176178"/>
    <w:rsid w:val="001A064B"/>
    <w:rsid w:val="001D1E29"/>
    <w:rsid w:val="001D400F"/>
    <w:rsid w:val="001F525A"/>
    <w:rsid w:val="001F6202"/>
    <w:rsid w:val="002169C1"/>
    <w:rsid w:val="00223272"/>
    <w:rsid w:val="00240333"/>
    <w:rsid w:val="0024779E"/>
    <w:rsid w:val="002832AC"/>
    <w:rsid w:val="002834A0"/>
    <w:rsid w:val="002D7C93"/>
    <w:rsid w:val="003345EC"/>
    <w:rsid w:val="00343829"/>
    <w:rsid w:val="0037241C"/>
    <w:rsid w:val="003D22F1"/>
    <w:rsid w:val="00441C3B"/>
    <w:rsid w:val="00446B0A"/>
    <w:rsid w:val="00446FE5"/>
    <w:rsid w:val="00452396"/>
    <w:rsid w:val="004B1C41"/>
    <w:rsid w:val="004E468C"/>
    <w:rsid w:val="004F2920"/>
    <w:rsid w:val="004F542B"/>
    <w:rsid w:val="005316B0"/>
    <w:rsid w:val="005505B7"/>
    <w:rsid w:val="00564657"/>
    <w:rsid w:val="00573BE5"/>
    <w:rsid w:val="00586ED3"/>
    <w:rsid w:val="00596AA9"/>
    <w:rsid w:val="005B6E01"/>
    <w:rsid w:val="005D7FB5"/>
    <w:rsid w:val="00612093"/>
    <w:rsid w:val="006E2F73"/>
    <w:rsid w:val="00703D0F"/>
    <w:rsid w:val="00706363"/>
    <w:rsid w:val="0071601D"/>
    <w:rsid w:val="00741078"/>
    <w:rsid w:val="007439D2"/>
    <w:rsid w:val="007A62E6"/>
    <w:rsid w:val="0080684C"/>
    <w:rsid w:val="008204DA"/>
    <w:rsid w:val="0083123A"/>
    <w:rsid w:val="00871C75"/>
    <w:rsid w:val="008767E8"/>
    <w:rsid w:val="008776DC"/>
    <w:rsid w:val="008E7F70"/>
    <w:rsid w:val="00915979"/>
    <w:rsid w:val="009705C8"/>
    <w:rsid w:val="0099053A"/>
    <w:rsid w:val="00996FF5"/>
    <w:rsid w:val="009C1CF4"/>
    <w:rsid w:val="009F02C9"/>
    <w:rsid w:val="00A30353"/>
    <w:rsid w:val="00A62D91"/>
    <w:rsid w:val="00A66518"/>
    <w:rsid w:val="00A90D54"/>
    <w:rsid w:val="00A91952"/>
    <w:rsid w:val="00AA113A"/>
    <w:rsid w:val="00AC3823"/>
    <w:rsid w:val="00AD7252"/>
    <w:rsid w:val="00AE323C"/>
    <w:rsid w:val="00B00181"/>
    <w:rsid w:val="00B00B0D"/>
    <w:rsid w:val="00B07F65"/>
    <w:rsid w:val="00B30069"/>
    <w:rsid w:val="00B3169B"/>
    <w:rsid w:val="00B50E25"/>
    <w:rsid w:val="00B64918"/>
    <w:rsid w:val="00B765F7"/>
    <w:rsid w:val="00BA0CA9"/>
    <w:rsid w:val="00BD129E"/>
    <w:rsid w:val="00BD77F8"/>
    <w:rsid w:val="00C02897"/>
    <w:rsid w:val="00C2447B"/>
    <w:rsid w:val="00C7616F"/>
    <w:rsid w:val="00CB16B5"/>
    <w:rsid w:val="00CE0608"/>
    <w:rsid w:val="00D3439C"/>
    <w:rsid w:val="00D44CF3"/>
    <w:rsid w:val="00D70306"/>
    <w:rsid w:val="00D74CCE"/>
    <w:rsid w:val="00DA16D8"/>
    <w:rsid w:val="00DA6C5E"/>
    <w:rsid w:val="00DB1831"/>
    <w:rsid w:val="00DD3BFD"/>
    <w:rsid w:val="00DF431C"/>
    <w:rsid w:val="00DF6678"/>
    <w:rsid w:val="00E7413D"/>
    <w:rsid w:val="00E939CE"/>
    <w:rsid w:val="00EF2E22"/>
    <w:rsid w:val="00F0592C"/>
    <w:rsid w:val="00F33654"/>
    <w:rsid w:val="00F43289"/>
    <w:rsid w:val="00F660DF"/>
    <w:rsid w:val="00F95C08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29488"/>
  <w15:docId w15:val="{CD7D2225-84EB-4451-B0BA-31B7F47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customStyle="1" w:styleId="Standard">
    <w:name w:val="Standard"/>
    <w:rsid w:val="003345EC"/>
    <w:pPr>
      <w:suppressAutoHyphens/>
      <w:autoSpaceDN w:val="0"/>
      <w:snapToGrid w:val="0"/>
      <w:spacing w:after="0" w:line="240" w:lineRule="atLeast"/>
      <w:textAlignment w:val="baseline"/>
    </w:pPr>
    <w:rPr>
      <w:rFonts w:eastAsia="Calibri"/>
      <w:kern w:val="3"/>
      <w:lang w:eastAsia="en-US"/>
    </w:rPr>
  </w:style>
  <w:style w:type="character" w:customStyle="1" w:styleId="Policepardfaut1">
    <w:name w:val="Police par défaut1"/>
    <w:rsid w:val="004B1C41"/>
  </w:style>
  <w:style w:type="paragraph" w:customStyle="1" w:styleId="Default">
    <w:name w:val="Default"/>
    <w:rsid w:val="004B1C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CF3C6E-5932-47C0-B678-0DA238B9C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03BAA-BFC8-4D07-817C-8087430C0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18538-7106-49C4-8211-9BD246D56E05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2333</Characters>
  <Application>Microsoft Office Word</Application>
  <DocSecurity>0</DocSecurity>
  <Lines>66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ECE/TRANS/WP.11/2022/5</dc:title>
  <dc:subject>FINAL</dc:subject>
  <dc:creator>2022/R.2/Add.3</dc:creator>
  <cp:keywords/>
  <dc:description/>
  <cp:lastModifiedBy>Christine Chautagnat</cp:lastModifiedBy>
  <cp:revision>3</cp:revision>
  <cp:lastPrinted>2022-02-10T13:39:00Z</cp:lastPrinted>
  <dcterms:created xsi:type="dcterms:W3CDTF">2022-02-10T13:39:00Z</dcterms:created>
  <dcterms:modified xsi:type="dcterms:W3CDTF">2022-02-10T13:40:00Z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