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205C9" w14:paraId="34DAE3F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4F369" w14:textId="2469F0E4" w:rsidR="00FE2366" w:rsidRPr="00FE2366" w:rsidRDefault="00FE2366" w:rsidP="00FE2366">
            <w:pPr>
              <w:jc w:val="right"/>
              <w:rPr>
                <w:lang w:val="en-US"/>
              </w:rPr>
            </w:pPr>
            <w:r w:rsidRPr="00FE2366">
              <w:rPr>
                <w:sz w:val="40"/>
                <w:lang w:val="en-US"/>
              </w:rPr>
              <w:t>E</w:t>
            </w:r>
            <w:r w:rsidRPr="00FE2366">
              <w:rPr>
                <w:lang w:val="en-US"/>
              </w:rPr>
              <w:t>/ECE/324/Rev.1/Add.25/Rev.1/Amend.3−</w:t>
            </w:r>
            <w:r w:rsidRPr="00FE2366">
              <w:rPr>
                <w:sz w:val="40"/>
                <w:lang w:val="en-US"/>
              </w:rPr>
              <w:t>E</w:t>
            </w:r>
            <w:r w:rsidRPr="00FE2366">
              <w:rPr>
                <w:lang w:val="en-US"/>
              </w:rPr>
              <w:t>/ECE/TRANS/505/Rev.1/Add.25/Rev.1/Amend.3</w:t>
            </w:r>
            <w:r w:rsidR="000205C9" w:rsidRPr="000205C9">
              <w:rPr>
                <w:rStyle w:val="Appelnotedebasdep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421A10" w:rsidRPr="00DB58B5" w14:paraId="01858F6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67D531" w14:textId="77777777" w:rsidR="00421A10" w:rsidRPr="00FE236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6A9291" w14:textId="77777777" w:rsidR="00421A10" w:rsidRPr="00DB58B5" w:rsidRDefault="00FE2366" w:rsidP="00A27C92">
            <w:pPr>
              <w:spacing w:before="480" w:line="240" w:lineRule="exact"/>
            </w:pPr>
            <w:r>
              <w:t>30 octobre 2020</w:t>
            </w:r>
          </w:p>
        </w:tc>
      </w:tr>
    </w:tbl>
    <w:p w14:paraId="7BDA59B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2B1E89B" w14:textId="42053BDE" w:rsidR="00421A10" w:rsidRPr="00583D68" w:rsidRDefault="0029791D" w:rsidP="00FC3B79">
      <w:pPr>
        <w:pStyle w:val="H1G"/>
      </w:pPr>
      <w:r>
        <w:tab/>
      </w:r>
      <w:r>
        <w:tab/>
      </w:r>
      <w:r w:rsidR="00FC3B79" w:rsidRPr="00A760F8">
        <w:rPr>
          <w:lang w:eastAsia="fr-FR"/>
        </w:rPr>
        <w:t>Concernant l</w:t>
      </w:r>
      <w:r w:rsidR="00FC3B79">
        <w:rPr>
          <w:lang w:eastAsia="fr-FR"/>
        </w:rPr>
        <w:t>’</w:t>
      </w:r>
      <w:r w:rsidR="00FC3B79" w:rsidRPr="00A760F8">
        <w:rPr>
          <w:lang w:eastAsia="fr-FR"/>
        </w:rPr>
        <w:t>adoption de Règlements techniques harmonisés de l</w:t>
      </w:r>
      <w:r w:rsidR="00FC3B79">
        <w:rPr>
          <w:lang w:eastAsia="fr-FR"/>
        </w:rPr>
        <w:t>’</w:t>
      </w:r>
      <w:r w:rsidR="00FC3B79" w:rsidRPr="00A760F8">
        <w:rPr>
          <w:lang w:eastAsia="fr-FR"/>
        </w:rPr>
        <w:t>ONU applicables aux véhicules à roues et aux équipements et pièces susceptibles d</w:t>
      </w:r>
      <w:r w:rsidR="00FC3B79">
        <w:rPr>
          <w:lang w:eastAsia="fr-FR"/>
        </w:rPr>
        <w:t>’</w:t>
      </w:r>
      <w:r w:rsidR="00FC3B79" w:rsidRPr="00A760F8">
        <w:rPr>
          <w:lang w:eastAsia="fr-FR"/>
        </w:rPr>
        <w:t xml:space="preserve">être montés ou utilisés sur les véhicules à roues </w:t>
      </w:r>
      <w:r w:rsidR="00FC3B79">
        <w:rPr>
          <w:lang w:eastAsia="fr-FR"/>
        </w:rPr>
        <w:br/>
      </w:r>
      <w:r w:rsidR="00FC3B79" w:rsidRPr="00A760F8">
        <w:rPr>
          <w:lang w:eastAsia="fr-FR"/>
        </w:rPr>
        <w:t>et les conditions de reconnaissance réciproque des homologations délivrées conformément à ces Règlements</w:t>
      </w:r>
      <w:r w:rsidR="000205C9" w:rsidRPr="000205C9">
        <w:rPr>
          <w:rStyle w:val="Appelnotedebasdep"/>
          <w:b w:val="0"/>
          <w:bCs/>
          <w:sz w:val="20"/>
          <w:vertAlign w:val="baseline"/>
          <w:lang w:eastAsia="fr-FR"/>
        </w:rPr>
        <w:footnoteReference w:customMarkFollows="1" w:id="3"/>
        <w:t>**</w:t>
      </w:r>
    </w:p>
    <w:p w14:paraId="7E3536D4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FC3B79">
        <w:t>Révision 3, comprenant les amendements entrés en vigueur le 14 septembre 2017</w:t>
      </w:r>
      <w:r w:rsidRPr="006549FF">
        <w:t>)</w:t>
      </w:r>
    </w:p>
    <w:p w14:paraId="5A856FE2" w14:textId="77777777" w:rsidR="00421A10" w:rsidRPr="006549FF" w:rsidRDefault="0029791D" w:rsidP="0029791D">
      <w:pPr>
        <w:jc w:val="center"/>
      </w:pPr>
      <w:r>
        <w:t>_______________</w:t>
      </w:r>
    </w:p>
    <w:p w14:paraId="4C220E3D" w14:textId="77777777" w:rsidR="00421A10" w:rsidRPr="006549FF" w:rsidRDefault="0029791D" w:rsidP="0029791D">
      <w:pPr>
        <w:pStyle w:val="HChG"/>
      </w:pPr>
      <w:r>
        <w:tab/>
      </w:r>
      <w:r>
        <w:tab/>
      </w:r>
      <w:r w:rsidR="00671901">
        <w:t>Additif 25 − Règlement ONU n</w:t>
      </w:r>
      <w:r w:rsidR="00671901" w:rsidRPr="00F76A4F">
        <w:rPr>
          <w:vertAlign w:val="superscript"/>
        </w:rPr>
        <w:t>o</w:t>
      </w:r>
      <w:r w:rsidR="00671901">
        <w:t xml:space="preserve"> 26</w:t>
      </w:r>
    </w:p>
    <w:p w14:paraId="51890B88" w14:textId="77777777" w:rsidR="00421A10" w:rsidRPr="006549FF" w:rsidRDefault="0029791D" w:rsidP="0029791D">
      <w:pPr>
        <w:pStyle w:val="H1G"/>
      </w:pPr>
      <w:r>
        <w:tab/>
      </w:r>
      <w:r>
        <w:tab/>
      </w:r>
      <w:r w:rsidR="00671901">
        <w:t>Ré</w:t>
      </w:r>
      <w:r w:rsidR="00671901" w:rsidRPr="00014D07">
        <w:t xml:space="preserve">vision </w:t>
      </w:r>
      <w:r w:rsidR="00671901">
        <w:t>1</w:t>
      </w:r>
      <w:r w:rsidR="00671901" w:rsidRPr="00014D07">
        <w:t xml:space="preserve"> </w:t>
      </w:r>
      <w:r w:rsidR="00671901">
        <w:t>−</w:t>
      </w:r>
      <w:r w:rsidR="00671901" w:rsidRPr="00014D07">
        <w:t xml:space="preserve"> </w:t>
      </w:r>
      <w:r w:rsidR="00671901">
        <w:t>Amendement</w:t>
      </w:r>
      <w:r w:rsidR="00671901" w:rsidRPr="00014D07">
        <w:t xml:space="preserve"> </w:t>
      </w:r>
      <w:r w:rsidR="00671901">
        <w:t>3</w:t>
      </w:r>
    </w:p>
    <w:p w14:paraId="118C444A" w14:textId="77777777" w:rsidR="00421A10" w:rsidRPr="0029791D" w:rsidRDefault="00671901" w:rsidP="0029791D">
      <w:pPr>
        <w:pStyle w:val="SingleTxtG"/>
      </w:pPr>
      <w:r>
        <w:rPr>
          <w:spacing w:val="-2"/>
        </w:rPr>
        <w:t>Série 04 d’amendements</w:t>
      </w:r>
      <w:r w:rsidRPr="00272880">
        <w:rPr>
          <w:spacing w:val="-2"/>
        </w:rPr>
        <w:t xml:space="preserve"> </w:t>
      </w:r>
      <w:r>
        <w:rPr>
          <w:spacing w:val="-2"/>
        </w:rPr>
        <w:t>−</w:t>
      </w:r>
      <w:r w:rsidRPr="00272880">
        <w:rPr>
          <w:spacing w:val="-2"/>
        </w:rPr>
        <w:t xml:space="preserve"> Date </w:t>
      </w:r>
      <w:r>
        <w:rPr>
          <w:spacing w:val="-2"/>
        </w:rPr>
        <w:t>d’entrée en vigueur</w:t>
      </w:r>
      <w:r w:rsidRPr="00272880">
        <w:rPr>
          <w:spacing w:val="-2"/>
        </w:rPr>
        <w:t xml:space="preserve">: </w:t>
      </w:r>
      <w:r>
        <w:t>25 septembre 2020</w:t>
      </w:r>
    </w:p>
    <w:p w14:paraId="4D24833A" w14:textId="77777777" w:rsidR="00421A10" w:rsidRDefault="0029791D" w:rsidP="0029791D">
      <w:pPr>
        <w:pStyle w:val="H1G"/>
      </w:pPr>
      <w:r>
        <w:tab/>
      </w:r>
      <w:r>
        <w:tab/>
      </w:r>
      <w:r w:rsidR="00671901" w:rsidRPr="00F94C4E">
        <w:rPr>
          <w:spacing w:val="-2"/>
          <w:szCs w:val="24"/>
        </w:rPr>
        <w:t>Prescriptions uniformes relatives à l</w:t>
      </w:r>
      <w:r w:rsidR="00671901">
        <w:rPr>
          <w:b w:val="0"/>
          <w:spacing w:val="-2"/>
          <w:szCs w:val="24"/>
        </w:rPr>
        <w:t>’</w:t>
      </w:r>
      <w:r w:rsidR="00671901" w:rsidRPr="00F94C4E">
        <w:rPr>
          <w:spacing w:val="-2"/>
          <w:szCs w:val="24"/>
        </w:rPr>
        <w:t xml:space="preserve">homologation des véhicules </w:t>
      </w:r>
      <w:r w:rsidR="00671901">
        <w:rPr>
          <w:spacing w:val="-2"/>
          <w:szCs w:val="24"/>
        </w:rPr>
        <w:br/>
      </w:r>
      <w:r w:rsidR="00671901" w:rsidRPr="00F94C4E">
        <w:rPr>
          <w:spacing w:val="-2"/>
          <w:szCs w:val="24"/>
        </w:rPr>
        <w:t>en ce qui concerne leurs saillies extérieures</w:t>
      </w:r>
    </w:p>
    <w:p w14:paraId="0CCB38B1" w14:textId="70477BE6" w:rsidR="004144B1" w:rsidRDefault="004144B1" w:rsidP="000205C9">
      <w:pPr>
        <w:pStyle w:val="SingleTxtG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5D00FA" wp14:editId="1DFB426D">
                <wp:simplePos x="0" y="0"/>
                <wp:positionH relativeFrom="margin">
                  <wp:posOffset>0</wp:posOffset>
                </wp:positionH>
                <wp:positionV relativeFrom="margin">
                  <wp:posOffset>6217446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601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C4A72F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6F08694" wp14:editId="5467984F">
                                  <wp:extent cx="914400" cy="77152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98B8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00F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89.55pt;width:481.85pt;height:90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AEZoTN8AAAAJAQAADwAAAAAAAAAAAAAAAAB8BAAAZHJzL2Rvd25y&#10;ZXYueG1sUEsFBgAAAAAEAAQA8wAAAIgFAAAAAA==&#10;" stroked="f">
                <v:textbox inset="0,0,0,0">
                  <w:txbxContent>
                    <w:p w14:paraId="00B8601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C4A72F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6F08694" wp14:editId="5467984F">
                            <wp:extent cx="914400" cy="77152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98B8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205C9">
        <w:tab/>
      </w:r>
      <w:r w:rsidR="00671901" w:rsidRPr="0067000F">
        <w:t>Le présent document est communiqué uniquement à titre d</w:t>
      </w:r>
      <w:r w:rsidR="00671901">
        <w:t>’</w:t>
      </w:r>
      <w:r w:rsidR="00671901" w:rsidRPr="0067000F">
        <w:t xml:space="preserve">information. Le texte authentique, juridiquement contraignant, est celui du document </w:t>
      </w:r>
      <w:r w:rsidR="00671901">
        <w:rPr>
          <w:spacing w:val="-6"/>
          <w:lang w:eastAsia="en-GB"/>
        </w:rPr>
        <w:t>ECE/TRANS/WP.29/</w:t>
      </w:r>
      <w:r w:rsidR="000205C9">
        <w:rPr>
          <w:spacing w:val="-6"/>
          <w:lang w:eastAsia="en-GB"/>
        </w:rPr>
        <w:br/>
      </w:r>
      <w:r w:rsidR="00671901">
        <w:rPr>
          <w:spacing w:val="-6"/>
          <w:lang w:eastAsia="en-GB"/>
        </w:rPr>
        <w:t>2020/26.</w:t>
      </w:r>
    </w:p>
    <w:p w14:paraId="6B4A9200" w14:textId="77777777" w:rsidR="004144B1" w:rsidRPr="00EA78E8" w:rsidRDefault="004144B1" w:rsidP="00B628E0">
      <w:pPr>
        <w:pStyle w:val="SingleTxtG"/>
        <w:keepNext/>
        <w:ind w:left="2268" w:hanging="1134"/>
      </w:pPr>
      <w:r>
        <w:rPr>
          <w:spacing w:val="-6"/>
          <w:lang w:eastAsia="en-GB"/>
        </w:rPr>
        <w:br w:type="page"/>
      </w:r>
      <w:bookmarkStart w:id="0" w:name="__DdeLink__9642_1795226899"/>
      <w:r w:rsidRPr="00EA78E8">
        <w:rPr>
          <w:i/>
          <w:iCs/>
          <w:lang w:val="fr-FR"/>
        </w:rPr>
        <w:lastRenderedPageBreak/>
        <w:t>Paragraphes 6.4 à 6.4.2</w:t>
      </w:r>
      <w:r w:rsidRPr="00EA78E8">
        <w:rPr>
          <w:lang w:val="fr-FR"/>
        </w:rPr>
        <w:t>, lire :</w:t>
      </w:r>
      <w:bookmarkEnd w:id="0"/>
    </w:p>
    <w:p w14:paraId="26CFF094" w14:textId="77777777" w:rsidR="004144B1" w:rsidRPr="00EA78E8" w:rsidRDefault="004144B1" w:rsidP="004144B1">
      <w:pPr>
        <w:pStyle w:val="SingleTxtG"/>
        <w:ind w:left="2268" w:hanging="1134"/>
      </w:pPr>
      <w:bookmarkStart w:id="1" w:name="A0_S6_4_"/>
      <w:r w:rsidRPr="00EA78E8">
        <w:rPr>
          <w:lang w:val="fr-FR"/>
        </w:rPr>
        <w:t>«</w:t>
      </w:r>
      <w:r>
        <w:rPr>
          <w:lang w:val="fr-FR"/>
        </w:rPr>
        <w:t> </w:t>
      </w:r>
      <w:r w:rsidRPr="00EA78E8">
        <w:rPr>
          <w:lang w:val="fr-FR"/>
        </w:rPr>
        <w:t>6.4</w:t>
      </w:r>
      <w:r w:rsidRPr="00EA78E8">
        <w:rPr>
          <w:lang w:val="fr-FR"/>
        </w:rPr>
        <w:tab/>
      </w:r>
      <w:proofErr w:type="spellStart"/>
      <w:r w:rsidRPr="00EA78E8">
        <w:rPr>
          <w:lang w:val="fr-FR"/>
        </w:rPr>
        <w:t>Essuie-glaces</w:t>
      </w:r>
      <w:bookmarkEnd w:id="1"/>
      <w:proofErr w:type="spellEnd"/>
    </w:p>
    <w:p w14:paraId="124D2ADF" w14:textId="77777777" w:rsidR="004144B1" w:rsidRPr="00EA78E8" w:rsidRDefault="004144B1" w:rsidP="004144B1">
      <w:pPr>
        <w:pStyle w:val="SingleTxtG"/>
        <w:ind w:left="2268" w:hanging="1134"/>
      </w:pPr>
      <w:r w:rsidRPr="00EA78E8">
        <w:rPr>
          <w:lang w:val="fr-FR"/>
        </w:rPr>
        <w:t>6.4.1</w:t>
      </w:r>
      <w:r w:rsidRPr="00EA78E8">
        <w:rPr>
          <w:lang w:val="fr-FR"/>
        </w:rPr>
        <w:tab/>
        <w:t>Les balais d</w:t>
      </w:r>
      <w:r>
        <w:rPr>
          <w:lang w:val="fr-FR"/>
        </w:rPr>
        <w:t>’</w:t>
      </w:r>
      <w:proofErr w:type="spellStart"/>
      <w:r w:rsidRPr="00EA78E8">
        <w:rPr>
          <w:lang w:val="fr-FR"/>
        </w:rPr>
        <w:t>essuie-glaces</w:t>
      </w:r>
      <w:proofErr w:type="spellEnd"/>
      <w:r w:rsidRPr="00EA78E8">
        <w:rPr>
          <w:lang w:val="fr-FR"/>
        </w:rPr>
        <w:t xml:space="preserve"> doivent être fixés de telle façon que l</w:t>
      </w:r>
      <w:r>
        <w:rPr>
          <w:lang w:val="fr-FR"/>
        </w:rPr>
        <w:t>’</w:t>
      </w:r>
      <w:r w:rsidRPr="00EA78E8">
        <w:rPr>
          <w:lang w:val="fr-FR"/>
        </w:rPr>
        <w:t>axe (numéro</w:t>
      </w:r>
      <w:r>
        <w:rPr>
          <w:lang w:val="fr-FR"/>
        </w:rPr>
        <w:t> </w:t>
      </w:r>
      <w:r w:rsidRPr="00EA78E8">
        <w:rPr>
          <w:lang w:val="fr-FR"/>
        </w:rPr>
        <w:t>1 de la figure 0) soit recouvert d</w:t>
      </w:r>
      <w:r>
        <w:rPr>
          <w:lang w:val="fr-FR"/>
        </w:rPr>
        <w:t>’</w:t>
      </w:r>
      <w:r w:rsidRPr="00EA78E8">
        <w:rPr>
          <w:lang w:val="fr-FR"/>
        </w:rPr>
        <w:t>une protection (numéro 1.1 de la figure</w:t>
      </w:r>
      <w:r>
        <w:rPr>
          <w:lang w:val="fr-FR"/>
        </w:rPr>
        <w:t> </w:t>
      </w:r>
      <w:r w:rsidRPr="00EA78E8">
        <w:rPr>
          <w:lang w:val="fr-FR"/>
        </w:rPr>
        <w:t>0) ayant un rayon de courbure satisfaisant à la prescription du paragraphe</w:t>
      </w:r>
      <w:r>
        <w:rPr>
          <w:lang w:val="fr-FR"/>
        </w:rPr>
        <w:t> </w:t>
      </w:r>
      <w:r w:rsidRPr="00EA78E8">
        <w:rPr>
          <w:lang w:val="fr-FR"/>
        </w:rPr>
        <w:t>5.4 et un embout d</w:t>
      </w:r>
      <w:r>
        <w:rPr>
          <w:lang w:val="fr-FR"/>
        </w:rPr>
        <w:t>’</w:t>
      </w:r>
      <w:r w:rsidRPr="00EA78E8">
        <w:rPr>
          <w:lang w:val="fr-FR"/>
        </w:rPr>
        <w:t>au moins 150 mm</w:t>
      </w:r>
      <w:r w:rsidRPr="00EA78E8">
        <w:rPr>
          <w:vertAlign w:val="superscript"/>
          <w:lang w:val="fr-FR"/>
        </w:rPr>
        <w:t>2</w:t>
      </w:r>
      <w:r w:rsidRPr="00EA78E8">
        <w:rPr>
          <w:lang w:val="fr-FR"/>
        </w:rPr>
        <w:t xml:space="preserve"> de surface. Les différentes parties du bras (la base et le corps, c</w:t>
      </w:r>
      <w:r>
        <w:rPr>
          <w:lang w:val="fr-FR"/>
        </w:rPr>
        <w:t>’</w:t>
      </w:r>
      <w:r w:rsidRPr="00EA78E8">
        <w:rPr>
          <w:lang w:val="fr-FR"/>
        </w:rPr>
        <w:t>est-à-dire les numéros 2 et 2.1 de la figure</w:t>
      </w:r>
      <w:r>
        <w:rPr>
          <w:lang w:val="fr-FR"/>
        </w:rPr>
        <w:t> </w:t>
      </w:r>
      <w:r w:rsidRPr="00EA78E8">
        <w:rPr>
          <w:lang w:val="fr-FR"/>
        </w:rPr>
        <w:t>0) doivent avoir un rayon de courbure satisfaisant aux prescriptions du paragraphe</w:t>
      </w:r>
      <w:r>
        <w:rPr>
          <w:lang w:val="fr-FR"/>
        </w:rPr>
        <w:t> </w:t>
      </w:r>
      <w:r w:rsidRPr="00EA78E8">
        <w:rPr>
          <w:lang w:val="fr-FR"/>
        </w:rPr>
        <w:t>5.4. Dans le cas de protections arrondies, cette surface, projetée sur un plan dont la distance par rapport au point le plus saillant ne doit pas dépasser</w:t>
      </w:r>
      <w:r>
        <w:rPr>
          <w:lang w:val="fr-FR"/>
        </w:rPr>
        <w:t xml:space="preserve"> </w:t>
      </w:r>
      <w:r w:rsidRPr="00EA78E8">
        <w:rPr>
          <w:lang w:val="fr-FR"/>
        </w:rPr>
        <w:t>6,5 mm, doit être d</w:t>
      </w:r>
      <w:r>
        <w:rPr>
          <w:lang w:val="fr-FR"/>
        </w:rPr>
        <w:t>’</w:t>
      </w:r>
      <w:r w:rsidRPr="00EA78E8">
        <w:rPr>
          <w:lang w:val="fr-FR"/>
        </w:rPr>
        <w:t>au moins 150 mm</w:t>
      </w:r>
      <w:r w:rsidRPr="00EA78E8">
        <w:rPr>
          <w:vertAlign w:val="superscript"/>
          <w:lang w:val="fr-FR"/>
        </w:rPr>
        <w:t>2</w:t>
      </w:r>
      <w:r w:rsidRPr="00EA78E8">
        <w:rPr>
          <w:lang w:val="fr-FR"/>
        </w:rPr>
        <w:t xml:space="preserve">. Les </w:t>
      </w:r>
      <w:proofErr w:type="spellStart"/>
      <w:r w:rsidRPr="00EA78E8">
        <w:rPr>
          <w:lang w:val="fr-FR"/>
        </w:rPr>
        <w:t>essuie-glaces</w:t>
      </w:r>
      <w:proofErr w:type="spellEnd"/>
      <w:r w:rsidRPr="00EA78E8">
        <w:rPr>
          <w:lang w:val="fr-FR"/>
        </w:rPr>
        <w:t xml:space="preserve"> arrière et les </w:t>
      </w:r>
      <w:proofErr w:type="spellStart"/>
      <w:r w:rsidRPr="00EA78E8">
        <w:rPr>
          <w:lang w:val="fr-FR"/>
        </w:rPr>
        <w:t>essuie-glaces</w:t>
      </w:r>
      <w:proofErr w:type="spellEnd"/>
      <w:r w:rsidRPr="00EA78E8">
        <w:rPr>
          <w:lang w:val="fr-FR"/>
        </w:rPr>
        <w:t xml:space="preserve"> de projecteurs doivent répo</w:t>
      </w:r>
      <w:r>
        <w:rPr>
          <w:lang w:val="fr-FR"/>
        </w:rPr>
        <w:t>ndre à ces mêmes spécifications</w:t>
      </w:r>
    </w:p>
    <w:p w14:paraId="35725CF8" w14:textId="77777777" w:rsidR="004144B1" w:rsidRPr="00EA78E8" w:rsidRDefault="004144B1" w:rsidP="004144B1">
      <w:pPr>
        <w:pStyle w:val="SingleTxtG"/>
        <w:ind w:left="2268" w:hanging="1134"/>
      </w:pPr>
      <w:bookmarkStart w:id="2" w:name="A0_S6_4_2_"/>
      <w:r w:rsidRPr="00EA78E8">
        <w:rPr>
          <w:lang w:val="fr-FR"/>
        </w:rPr>
        <w:t>6.4.2</w:t>
      </w:r>
      <w:r w:rsidRPr="00EA78E8">
        <w:rPr>
          <w:lang w:val="fr-FR"/>
        </w:rPr>
        <w:tab/>
        <w:t>Le paragraphe 5.4 ne s</w:t>
      </w:r>
      <w:r>
        <w:rPr>
          <w:lang w:val="fr-FR"/>
        </w:rPr>
        <w:t>’</w:t>
      </w:r>
      <w:r w:rsidRPr="00EA78E8">
        <w:rPr>
          <w:lang w:val="fr-FR"/>
        </w:rPr>
        <w:t>applique ni aux balais (numéro 4 de la figure 0), ni aux éléments du support (numéro 3 de la figure 0), ni à l</w:t>
      </w:r>
      <w:r>
        <w:rPr>
          <w:lang w:val="fr-FR"/>
        </w:rPr>
        <w:t>’</w:t>
      </w:r>
      <w:r w:rsidRPr="00EA78E8">
        <w:rPr>
          <w:lang w:val="fr-FR"/>
        </w:rPr>
        <w:t>extension (numéro</w:t>
      </w:r>
      <w:r>
        <w:rPr>
          <w:lang w:val="fr-FR"/>
        </w:rPr>
        <w:t> </w:t>
      </w:r>
      <w:r w:rsidRPr="00EA78E8">
        <w:rPr>
          <w:lang w:val="fr-FR"/>
        </w:rPr>
        <w:t>2.2 de la figure 0), ni à la charnière reliant la base et le corps du bras (numéro</w:t>
      </w:r>
      <w:r>
        <w:rPr>
          <w:lang w:val="fr-FR"/>
        </w:rPr>
        <w:t> </w:t>
      </w:r>
      <w:r w:rsidRPr="00EA78E8">
        <w:rPr>
          <w:lang w:val="fr-FR"/>
        </w:rPr>
        <w:t>5 de la figure 0) ni à la jonction entre le corps du bras et l</w:t>
      </w:r>
      <w:r>
        <w:rPr>
          <w:lang w:val="fr-FR"/>
        </w:rPr>
        <w:t>’</w:t>
      </w:r>
      <w:r w:rsidRPr="00EA78E8">
        <w:rPr>
          <w:lang w:val="fr-FR"/>
        </w:rPr>
        <w:t>extension (numéro</w:t>
      </w:r>
      <w:r>
        <w:rPr>
          <w:lang w:val="fr-FR"/>
        </w:rPr>
        <w:t> </w:t>
      </w:r>
      <w:r w:rsidRPr="00EA78E8">
        <w:rPr>
          <w:lang w:val="fr-FR"/>
        </w:rPr>
        <w:t>6 de la figure 0), si de tels éléments sont présents. Cependant, ces éléments ne doivent présenter ni angles vifs, ni parties tranchantes ou pointues.</w:t>
      </w:r>
      <w:bookmarkEnd w:id="2"/>
    </w:p>
    <w:p w14:paraId="7F655328" w14:textId="77777777" w:rsidR="004144B1" w:rsidRDefault="004144B1" w:rsidP="007C3777">
      <w:pPr>
        <w:pStyle w:val="SingleTxtG"/>
        <w:jc w:val="left"/>
        <w:rPr>
          <w:lang w:val="fr-FR"/>
        </w:rPr>
      </w:pPr>
      <w:r w:rsidRPr="00EA78E8">
        <w:rPr>
          <w:lang w:val="fr-FR"/>
        </w:rPr>
        <w:t>Figure 0</w:t>
      </w:r>
      <w:r>
        <w:rPr>
          <w:lang w:val="fr-FR"/>
        </w:rPr>
        <w:t> :</w:t>
      </w:r>
      <w:r w:rsidR="007C3777">
        <w:rPr>
          <w:lang w:val="fr-FR"/>
        </w:rPr>
        <w:br/>
      </w:r>
      <w:r w:rsidRPr="007C3777">
        <w:rPr>
          <w:b/>
          <w:bCs/>
          <w:lang w:val="fr-FR"/>
        </w:rPr>
        <w:t>Exemple de disposition des éléments</w:t>
      </w:r>
    </w:p>
    <w:p w14:paraId="6D342728" w14:textId="77777777" w:rsidR="007C3777" w:rsidRPr="00EA78E8" w:rsidRDefault="007C3777" w:rsidP="007C3777">
      <w:pPr>
        <w:pStyle w:val="SingleTxtG"/>
        <w:jc w:val="left"/>
        <w:rPr>
          <w:bCs/>
        </w:rPr>
      </w:pPr>
      <w:r>
        <w:rPr>
          <w:noProof/>
        </w:rPr>
        <w:drawing>
          <wp:inline distT="0" distB="0" distL="0" distR="0" wp14:anchorId="71CBA3C2" wp14:editId="2C564DCD">
            <wp:extent cx="4680000" cy="269280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0CAA" w14:textId="77777777" w:rsidR="004144B1" w:rsidRPr="00A50854" w:rsidRDefault="004144B1" w:rsidP="007C3777">
      <w:pPr>
        <w:tabs>
          <w:tab w:val="left" w:pos="2268"/>
        </w:tabs>
        <w:spacing w:before="240" w:line="240" w:lineRule="auto"/>
        <w:ind w:left="1134" w:right="1134"/>
        <w:jc w:val="both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Légende :</w:t>
      </w:r>
    </w:p>
    <w:p w14:paraId="1625953A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1</w:t>
      </w:r>
      <w:r w:rsidRPr="00A50854">
        <w:rPr>
          <w:sz w:val="18"/>
          <w:szCs w:val="18"/>
          <w:lang w:val="fr-FR"/>
        </w:rPr>
        <w:tab/>
        <w:t>Axe</w:t>
      </w:r>
    </w:p>
    <w:p w14:paraId="3ADA7FC7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1.1</w:t>
      </w:r>
      <w:r w:rsidRPr="00A50854">
        <w:rPr>
          <w:sz w:val="18"/>
          <w:szCs w:val="18"/>
          <w:lang w:val="fr-FR"/>
        </w:rPr>
        <w:tab/>
        <w:t>Protection</w:t>
      </w:r>
    </w:p>
    <w:p w14:paraId="6B64C77D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2</w:t>
      </w:r>
      <w:r w:rsidRPr="00A50854">
        <w:rPr>
          <w:sz w:val="18"/>
          <w:szCs w:val="18"/>
          <w:lang w:val="fr-FR"/>
        </w:rPr>
        <w:tab/>
        <w:t>Base du bras</w:t>
      </w:r>
    </w:p>
    <w:p w14:paraId="1445EA38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2.1</w:t>
      </w:r>
      <w:r w:rsidRPr="00A50854">
        <w:rPr>
          <w:sz w:val="18"/>
          <w:szCs w:val="18"/>
          <w:lang w:val="fr-FR"/>
        </w:rPr>
        <w:tab/>
        <w:t>Corps du bras</w:t>
      </w:r>
    </w:p>
    <w:p w14:paraId="593717B8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2.2</w:t>
      </w:r>
      <w:r w:rsidRPr="00A50854">
        <w:rPr>
          <w:sz w:val="18"/>
          <w:szCs w:val="18"/>
          <w:lang w:val="fr-FR"/>
        </w:rPr>
        <w:tab/>
        <w:t>Extension</w:t>
      </w:r>
    </w:p>
    <w:p w14:paraId="3195E295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3</w:t>
      </w:r>
      <w:r w:rsidRPr="00A50854">
        <w:rPr>
          <w:sz w:val="18"/>
          <w:szCs w:val="18"/>
          <w:lang w:val="fr-FR"/>
        </w:rPr>
        <w:tab/>
        <w:t>Éléments du support</w:t>
      </w:r>
    </w:p>
    <w:p w14:paraId="5E2247D1" w14:textId="77777777" w:rsidR="004144B1" w:rsidRPr="00A50854" w:rsidRDefault="004144B1" w:rsidP="007C3777">
      <w:pPr>
        <w:spacing w:line="200" w:lineRule="exact"/>
        <w:ind w:left="1134"/>
        <w:rPr>
          <w:bCs/>
          <w:sz w:val="18"/>
          <w:szCs w:val="18"/>
        </w:rPr>
      </w:pPr>
      <w:r w:rsidRPr="00A50854">
        <w:rPr>
          <w:sz w:val="18"/>
          <w:szCs w:val="18"/>
          <w:lang w:val="fr-FR"/>
        </w:rPr>
        <w:t>4</w:t>
      </w:r>
      <w:r w:rsidRPr="00A50854">
        <w:rPr>
          <w:sz w:val="18"/>
          <w:szCs w:val="18"/>
          <w:lang w:val="fr-FR"/>
        </w:rPr>
        <w:tab/>
        <w:t>Balais</w:t>
      </w:r>
    </w:p>
    <w:p w14:paraId="642A0706" w14:textId="77777777" w:rsidR="004144B1" w:rsidRPr="00A50854" w:rsidRDefault="004144B1" w:rsidP="007C3777">
      <w:pPr>
        <w:spacing w:line="200" w:lineRule="exact"/>
        <w:ind w:left="1134"/>
        <w:rPr>
          <w:sz w:val="18"/>
          <w:szCs w:val="18"/>
          <w:lang w:val="fr-FR"/>
        </w:rPr>
      </w:pPr>
      <w:r w:rsidRPr="00A50854">
        <w:rPr>
          <w:sz w:val="18"/>
          <w:szCs w:val="18"/>
          <w:lang w:val="fr-FR"/>
        </w:rPr>
        <w:t>5</w:t>
      </w:r>
      <w:r w:rsidRPr="00A50854">
        <w:rPr>
          <w:sz w:val="18"/>
          <w:szCs w:val="18"/>
          <w:lang w:val="fr-FR"/>
        </w:rPr>
        <w:tab/>
        <w:t xml:space="preserve">Charnière </w:t>
      </w:r>
    </w:p>
    <w:p w14:paraId="3B5C52D0" w14:textId="77777777" w:rsidR="004144B1" w:rsidRPr="00EA78E8" w:rsidRDefault="004144B1" w:rsidP="007C3777">
      <w:pPr>
        <w:spacing w:line="200" w:lineRule="exact"/>
        <w:ind w:left="1134"/>
        <w:rPr>
          <w:bCs/>
          <w:i/>
          <w:iCs/>
        </w:rPr>
      </w:pPr>
      <w:r w:rsidRPr="00A50854">
        <w:rPr>
          <w:sz w:val="18"/>
          <w:szCs w:val="18"/>
          <w:lang w:val="fr-FR"/>
        </w:rPr>
        <w:t>6</w:t>
      </w:r>
      <w:r w:rsidRPr="00A50854">
        <w:rPr>
          <w:sz w:val="18"/>
          <w:szCs w:val="18"/>
          <w:lang w:val="fr-FR"/>
        </w:rPr>
        <w:tab/>
        <w:t>Jonction entre le corps du bras et l</w:t>
      </w:r>
      <w:r>
        <w:rPr>
          <w:sz w:val="18"/>
          <w:szCs w:val="18"/>
          <w:lang w:val="fr-FR"/>
        </w:rPr>
        <w:t>’</w:t>
      </w:r>
      <w:r w:rsidRPr="00A50854">
        <w:rPr>
          <w:sz w:val="18"/>
          <w:szCs w:val="18"/>
          <w:lang w:val="fr-FR"/>
        </w:rPr>
        <w:t>extension</w:t>
      </w:r>
      <w:r>
        <w:rPr>
          <w:lang w:val="fr-FR"/>
        </w:rPr>
        <w:t> .</w:t>
      </w:r>
      <w:r w:rsidRPr="00EA78E8">
        <w:rPr>
          <w:lang w:val="fr-FR"/>
        </w:rPr>
        <w:t xml:space="preserve">». </w:t>
      </w:r>
    </w:p>
    <w:p w14:paraId="5FE1C309" w14:textId="77777777" w:rsidR="004144B1" w:rsidRPr="00EA78E8" w:rsidRDefault="004144B1" w:rsidP="0049719A">
      <w:pPr>
        <w:pStyle w:val="SingleTxtG"/>
        <w:keepNext/>
        <w:spacing w:before="240"/>
        <w:ind w:left="2268" w:hanging="1134"/>
        <w:rPr>
          <w:bCs/>
        </w:rPr>
      </w:pPr>
      <w:r w:rsidRPr="00EA78E8">
        <w:rPr>
          <w:i/>
          <w:iCs/>
          <w:lang w:val="fr-FR"/>
        </w:rPr>
        <w:t>Après le paragraphe 6.4.2</w:t>
      </w:r>
      <w:r w:rsidRPr="00EA78E8">
        <w:rPr>
          <w:lang w:val="fr-FR"/>
        </w:rPr>
        <w:t>, ajouter un nouveau paragraphe 6.4.3, libellé comme suit</w:t>
      </w:r>
      <w:r>
        <w:rPr>
          <w:lang w:val="fr-FR"/>
        </w:rPr>
        <w:t> </w:t>
      </w:r>
      <w:r w:rsidRPr="00EA78E8">
        <w:rPr>
          <w:lang w:val="fr-FR"/>
        </w:rPr>
        <w:t>:</w:t>
      </w:r>
    </w:p>
    <w:p w14:paraId="7304296D" w14:textId="77777777" w:rsidR="004144B1" w:rsidRPr="00EA78E8" w:rsidRDefault="004144B1" w:rsidP="004144B1">
      <w:pPr>
        <w:pStyle w:val="SingleTxtG"/>
        <w:ind w:left="2268" w:hanging="1134"/>
        <w:rPr>
          <w:bCs/>
        </w:rPr>
      </w:pPr>
      <w:r w:rsidRPr="00EA78E8">
        <w:rPr>
          <w:lang w:val="fr-FR"/>
        </w:rPr>
        <w:t>«</w:t>
      </w:r>
      <w:r>
        <w:rPr>
          <w:lang w:val="fr-FR"/>
        </w:rPr>
        <w:t> </w:t>
      </w:r>
      <w:r w:rsidRPr="00EA78E8">
        <w:rPr>
          <w:lang w:val="fr-FR"/>
        </w:rPr>
        <w:t>6.4.3</w:t>
      </w:r>
      <w:r w:rsidRPr="00EA78E8">
        <w:rPr>
          <w:lang w:val="fr-FR"/>
        </w:rPr>
        <w:tab/>
        <w:t xml:space="preserve">Le respect des dispositions des paragraphes 6.4.1 et 6.4.2 doit être vérifié lorsque les </w:t>
      </w:r>
      <w:proofErr w:type="spellStart"/>
      <w:r w:rsidRPr="00EA78E8">
        <w:rPr>
          <w:lang w:val="fr-FR"/>
        </w:rPr>
        <w:t>essuie-glaces</w:t>
      </w:r>
      <w:proofErr w:type="spellEnd"/>
      <w:r w:rsidRPr="00EA78E8">
        <w:rPr>
          <w:lang w:val="fr-FR"/>
        </w:rPr>
        <w:t xml:space="preserve"> sont éteints.</w:t>
      </w:r>
      <w:r>
        <w:rPr>
          <w:lang w:val="fr-FR"/>
        </w:rPr>
        <w:t> </w:t>
      </w:r>
      <w:r w:rsidRPr="00EA78E8">
        <w:rPr>
          <w:lang w:val="fr-FR"/>
        </w:rPr>
        <w:t>».</w:t>
      </w:r>
    </w:p>
    <w:p w14:paraId="01B62FCA" w14:textId="77777777" w:rsidR="004144B1" w:rsidRPr="00EA78E8" w:rsidRDefault="004144B1" w:rsidP="004144B1">
      <w:pPr>
        <w:pStyle w:val="SingleTxtG"/>
        <w:keepNext/>
      </w:pPr>
      <w:r w:rsidRPr="00EA78E8">
        <w:rPr>
          <w:i/>
          <w:iCs/>
          <w:lang w:val="fr-FR"/>
        </w:rPr>
        <w:lastRenderedPageBreak/>
        <w:t>Après le paragraphe 12.7</w:t>
      </w:r>
      <w:r w:rsidRPr="00EA78E8">
        <w:rPr>
          <w:lang w:val="fr-FR"/>
        </w:rPr>
        <w:t>, ajouter les nouveaux paragraphes 12.8 à 12.11, libellés comme suit</w:t>
      </w:r>
      <w:r>
        <w:rPr>
          <w:lang w:val="fr-FR"/>
        </w:rPr>
        <w:t> </w:t>
      </w:r>
      <w:r w:rsidRPr="00EA78E8">
        <w:rPr>
          <w:lang w:val="fr-FR"/>
        </w:rPr>
        <w:t>:</w:t>
      </w:r>
    </w:p>
    <w:p w14:paraId="45540F28" w14:textId="77777777" w:rsidR="004144B1" w:rsidRPr="00C0254B" w:rsidRDefault="004144B1" w:rsidP="004144B1">
      <w:pPr>
        <w:pStyle w:val="SingleTxtG"/>
        <w:ind w:left="2268" w:hanging="1134"/>
        <w:rPr>
          <w:b/>
        </w:rPr>
      </w:pPr>
      <w:r w:rsidRPr="00C0254B">
        <w:rPr>
          <w:lang w:val="fr-FR"/>
        </w:rPr>
        <w:t>«</w:t>
      </w:r>
      <w:r>
        <w:rPr>
          <w:lang w:val="fr-FR"/>
        </w:rPr>
        <w:t> </w:t>
      </w:r>
      <w:r w:rsidRPr="00C0254B">
        <w:rPr>
          <w:lang w:val="fr-FR"/>
        </w:rPr>
        <w:t>12.8</w:t>
      </w:r>
      <w:r w:rsidRPr="00C0254B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C0254B">
        <w:rPr>
          <w:lang w:val="fr-FR"/>
        </w:rPr>
        <w:t>entrée en vigueur de la série</w:t>
      </w:r>
      <w:r>
        <w:rPr>
          <w:lang w:val="fr-FR"/>
        </w:rPr>
        <w:t> </w:t>
      </w:r>
      <w:r w:rsidRPr="00C0254B">
        <w:rPr>
          <w:lang w:val="fr-FR"/>
        </w:rPr>
        <w:t>04 d</w:t>
      </w:r>
      <w:r>
        <w:rPr>
          <w:lang w:val="fr-FR"/>
        </w:rPr>
        <w:t>’</w:t>
      </w:r>
      <w:r w:rsidRPr="00C0254B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C0254B">
        <w:rPr>
          <w:lang w:val="fr-FR"/>
        </w:rPr>
        <w:t>accorder une homologation en vertu dudit Règlement tel que modifié par la série 04 d</w:t>
      </w:r>
      <w:r>
        <w:rPr>
          <w:lang w:val="fr-FR"/>
        </w:rPr>
        <w:t>’</w:t>
      </w:r>
      <w:r w:rsidRPr="00C0254B">
        <w:rPr>
          <w:lang w:val="fr-FR"/>
        </w:rPr>
        <w:t>amendements.</w:t>
      </w:r>
    </w:p>
    <w:p w14:paraId="44D642E8" w14:textId="77777777" w:rsidR="004144B1" w:rsidRPr="00C0254B" w:rsidRDefault="004144B1" w:rsidP="004144B1">
      <w:pPr>
        <w:pStyle w:val="SingleTxtG"/>
        <w:ind w:left="2268" w:hanging="1134"/>
        <w:rPr>
          <w:rFonts w:eastAsia="Times New Roman"/>
        </w:rPr>
      </w:pPr>
      <w:r w:rsidRPr="00C0254B">
        <w:rPr>
          <w:lang w:val="fr-FR"/>
        </w:rPr>
        <w:t>12.9</w:t>
      </w:r>
      <w:r w:rsidRPr="00C0254B">
        <w:rPr>
          <w:lang w:val="fr-FR"/>
        </w:rPr>
        <w:tab/>
        <w:t>À compter du 1</w:t>
      </w:r>
      <w:r w:rsidRPr="00C0254B">
        <w:rPr>
          <w:vertAlign w:val="superscript"/>
          <w:lang w:val="fr-FR"/>
        </w:rPr>
        <w:t>er</w:t>
      </w:r>
      <w:r w:rsidRPr="00C0254B">
        <w:rPr>
          <w:lang w:val="fr-FR"/>
        </w:rPr>
        <w:t xml:space="preserve"> septembre 2022, les Parties contractantes appliquant le présent Règlement ne seront </w:t>
      </w:r>
      <w:r>
        <w:rPr>
          <w:lang w:val="fr-FR"/>
        </w:rPr>
        <w:t>pas</w:t>
      </w:r>
      <w:r w:rsidRPr="00C0254B">
        <w:rPr>
          <w:lang w:val="fr-FR"/>
        </w:rPr>
        <w:t xml:space="preserve"> tenues d</w:t>
      </w:r>
      <w:r>
        <w:rPr>
          <w:lang w:val="fr-FR"/>
        </w:rPr>
        <w:t>’</w:t>
      </w:r>
      <w:r w:rsidRPr="00C0254B">
        <w:rPr>
          <w:lang w:val="fr-FR"/>
        </w:rPr>
        <w:t>accepter des homologations de type délivrées pour la première fois à partir de cette date en application d</w:t>
      </w:r>
      <w:r>
        <w:rPr>
          <w:lang w:val="fr-FR"/>
        </w:rPr>
        <w:t>’</w:t>
      </w:r>
      <w:r w:rsidRPr="00C0254B">
        <w:rPr>
          <w:lang w:val="fr-FR"/>
        </w:rPr>
        <w:t>une précédente série d</w:t>
      </w:r>
      <w:r>
        <w:rPr>
          <w:lang w:val="fr-FR"/>
        </w:rPr>
        <w:t>’</w:t>
      </w:r>
      <w:r w:rsidRPr="00C0254B">
        <w:rPr>
          <w:lang w:val="fr-FR"/>
        </w:rPr>
        <w:t>amendements.</w:t>
      </w:r>
    </w:p>
    <w:p w14:paraId="6AD192CC" w14:textId="387F838E" w:rsidR="004144B1" w:rsidRPr="00C0254B" w:rsidRDefault="004144B1" w:rsidP="004144B1">
      <w:pPr>
        <w:pStyle w:val="SingleTxtG"/>
        <w:ind w:left="2268" w:hanging="1134"/>
        <w:rPr>
          <w:rFonts w:eastAsia="Times New Roman"/>
        </w:rPr>
      </w:pPr>
      <w:r w:rsidRPr="00C0254B">
        <w:rPr>
          <w:lang w:val="fr-FR"/>
        </w:rPr>
        <w:t>12.10</w:t>
      </w:r>
      <w:r w:rsidRPr="00C0254B">
        <w:rPr>
          <w:lang w:val="fr-FR"/>
        </w:rPr>
        <w:tab/>
      </w:r>
      <w:r w:rsidRPr="00390222">
        <w:rPr>
          <w:lang w:val="fr-FR"/>
        </w:rPr>
        <w:t>Les Parties contractantes appliquant le présent Règlement doivent continuer à reconnaître les homologations de type accordées au titre des séries précédentes d</w:t>
      </w:r>
      <w:r>
        <w:rPr>
          <w:lang w:val="fr-FR"/>
        </w:rPr>
        <w:t>’</w:t>
      </w:r>
      <w:r w:rsidRPr="00390222">
        <w:rPr>
          <w:lang w:val="fr-FR"/>
        </w:rPr>
        <w:t>amendements audit Règlement délivrées pour la première fois avant le 1</w:t>
      </w:r>
      <w:r w:rsidRPr="00390222">
        <w:rPr>
          <w:vertAlign w:val="superscript"/>
          <w:lang w:val="fr-FR"/>
        </w:rPr>
        <w:t>er</w:t>
      </w:r>
      <w:r w:rsidRPr="00390222">
        <w:rPr>
          <w:lang w:val="fr-FR"/>
        </w:rPr>
        <w:t xml:space="preserve"> septembre 202</w:t>
      </w:r>
      <w:r w:rsidR="000205C9">
        <w:rPr>
          <w:lang w:val="fr-FR"/>
        </w:rPr>
        <w:t>2</w:t>
      </w:r>
      <w:r w:rsidRPr="00C0254B">
        <w:rPr>
          <w:lang w:val="fr-FR"/>
        </w:rPr>
        <w:t>.</w:t>
      </w:r>
    </w:p>
    <w:p w14:paraId="04F9981F" w14:textId="77777777" w:rsidR="004144B1" w:rsidRPr="00C0254B" w:rsidRDefault="004144B1" w:rsidP="004144B1">
      <w:pPr>
        <w:pStyle w:val="SingleTxtG"/>
        <w:ind w:left="2268" w:hanging="1134"/>
        <w:rPr>
          <w:rFonts w:eastAsia="Times New Roman"/>
        </w:rPr>
      </w:pPr>
      <w:r w:rsidRPr="00C0254B">
        <w:rPr>
          <w:lang w:val="fr-FR"/>
        </w:rPr>
        <w:t>12.11</w:t>
      </w:r>
      <w:r w:rsidRPr="00C0254B">
        <w:rPr>
          <w:lang w:val="fr-FR"/>
        </w:rPr>
        <w:tab/>
        <w:t>Les Parties contractantes appliquant le présent Règlement ne pourront refuser d</w:t>
      </w:r>
      <w:r>
        <w:rPr>
          <w:lang w:val="fr-FR"/>
        </w:rPr>
        <w:t>’</w:t>
      </w:r>
      <w:r w:rsidRPr="00C0254B">
        <w:rPr>
          <w:lang w:val="fr-FR"/>
        </w:rPr>
        <w:t>accorder des homologations de type en vertu de l</w:t>
      </w:r>
      <w:r>
        <w:rPr>
          <w:lang w:val="fr-FR"/>
        </w:rPr>
        <w:t>’</w:t>
      </w:r>
      <w:r w:rsidRPr="00C0254B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C0254B">
        <w:rPr>
          <w:lang w:val="fr-FR"/>
        </w:rPr>
        <w:t>amendements audit Règlement, ou d</w:t>
      </w:r>
      <w:r>
        <w:rPr>
          <w:lang w:val="fr-FR"/>
        </w:rPr>
        <w:t>’</w:t>
      </w:r>
      <w:r w:rsidRPr="00C0254B">
        <w:rPr>
          <w:lang w:val="fr-FR"/>
        </w:rPr>
        <w:t>accorder des extensions pour les homologations en question.</w:t>
      </w:r>
      <w:r>
        <w:rPr>
          <w:lang w:val="fr-FR"/>
        </w:rPr>
        <w:t> </w:t>
      </w:r>
      <w:r w:rsidRPr="00C0254B">
        <w:rPr>
          <w:lang w:val="fr-FR"/>
        </w:rPr>
        <w:t>».</w:t>
      </w:r>
    </w:p>
    <w:p w14:paraId="764D820C" w14:textId="77777777" w:rsidR="004144B1" w:rsidRPr="00EA78E8" w:rsidRDefault="004144B1" w:rsidP="0049719A">
      <w:pPr>
        <w:pStyle w:val="SingleTxtG"/>
        <w:keepNext/>
        <w:ind w:left="2268" w:hanging="1134"/>
      </w:pPr>
      <w:r w:rsidRPr="00EA78E8">
        <w:rPr>
          <w:i/>
          <w:iCs/>
          <w:lang w:val="fr-FR"/>
        </w:rPr>
        <w:t>Annexe 2</w:t>
      </w:r>
      <w:r w:rsidRPr="00EA78E8">
        <w:rPr>
          <w:lang w:val="fr-FR"/>
        </w:rPr>
        <w:t>, lire :</w:t>
      </w:r>
    </w:p>
    <w:p w14:paraId="16830DAF" w14:textId="77777777" w:rsidR="004144B1" w:rsidRPr="00EA78E8" w:rsidRDefault="004144B1" w:rsidP="004144B1">
      <w:pPr>
        <w:pStyle w:val="HChG"/>
      </w:pPr>
      <w:bookmarkStart w:id="3" w:name="_Toc358813930"/>
      <w:r w:rsidRPr="00A50854">
        <w:rPr>
          <w:b w:val="0"/>
          <w:bCs/>
          <w:sz w:val="20"/>
          <w:lang w:val="fr-FR"/>
        </w:rPr>
        <w:t>«</w:t>
      </w:r>
      <w:r>
        <w:rPr>
          <w:b w:val="0"/>
          <w:bCs/>
          <w:sz w:val="20"/>
          <w:lang w:val="fr-FR"/>
        </w:rPr>
        <w:t> </w:t>
      </w:r>
      <w:r w:rsidRPr="00EA78E8">
        <w:rPr>
          <w:lang w:val="fr-FR"/>
        </w:rPr>
        <w:t>Annexe 2</w:t>
      </w:r>
      <w:bookmarkEnd w:id="3"/>
    </w:p>
    <w:p w14:paraId="3CB0A7D9" w14:textId="77777777" w:rsidR="004144B1" w:rsidRPr="00EA78E8" w:rsidRDefault="004144B1" w:rsidP="004144B1">
      <w:pPr>
        <w:pStyle w:val="HChG"/>
      </w:pPr>
      <w:r w:rsidRPr="00EA78E8">
        <w:rPr>
          <w:lang w:val="fr-FR"/>
        </w:rPr>
        <w:tab/>
      </w:r>
      <w:r w:rsidRPr="00EA78E8">
        <w:rPr>
          <w:lang w:val="fr-FR"/>
        </w:rPr>
        <w:tab/>
        <w:t>Exemples de marques d</w:t>
      </w:r>
      <w:r>
        <w:rPr>
          <w:lang w:val="fr-FR"/>
        </w:rPr>
        <w:t>’</w:t>
      </w:r>
      <w:r w:rsidRPr="00EA78E8">
        <w:rPr>
          <w:lang w:val="fr-FR"/>
        </w:rPr>
        <w:t>homologation</w:t>
      </w:r>
      <w:bookmarkStart w:id="4" w:name="_Toc358813931"/>
      <w:bookmarkEnd w:id="4"/>
    </w:p>
    <w:p w14:paraId="60240F4A" w14:textId="77777777" w:rsidR="004144B1" w:rsidRPr="00EA78E8" w:rsidRDefault="004144B1" w:rsidP="004144B1">
      <w:pPr>
        <w:pStyle w:val="SingleTxtG"/>
        <w:ind w:left="2268" w:hanging="1134"/>
      </w:pPr>
      <w:bookmarkStart w:id="5" w:name="_Toc358813932"/>
      <w:bookmarkStart w:id="6" w:name="_Toc358814284"/>
      <w:r w:rsidRPr="00EA78E8">
        <w:rPr>
          <w:lang w:val="fr-FR"/>
        </w:rPr>
        <w:t>Modèle A</w:t>
      </w:r>
      <w:bookmarkEnd w:id="5"/>
      <w:bookmarkEnd w:id="6"/>
    </w:p>
    <w:p w14:paraId="626B7374" w14:textId="77777777" w:rsidR="004144B1" w:rsidRDefault="004144B1" w:rsidP="004144B1">
      <w:pPr>
        <w:pStyle w:val="SingleTxtG"/>
        <w:ind w:left="2268" w:hanging="1134"/>
        <w:rPr>
          <w:lang w:val="fr-FR"/>
        </w:rPr>
      </w:pPr>
      <w:r w:rsidRPr="00EA78E8">
        <w:rPr>
          <w:lang w:val="fr-FR"/>
        </w:rPr>
        <w:t>(Voir les paragraphes 4.1.4 et 4.2.4 du présent Règlement)</w:t>
      </w:r>
    </w:p>
    <w:p w14:paraId="4F3926B8" w14:textId="77777777" w:rsidR="0049719A" w:rsidRPr="00EA78E8" w:rsidRDefault="0049719A" w:rsidP="004144B1">
      <w:pPr>
        <w:pStyle w:val="SingleTxtG"/>
        <w:ind w:left="2268" w:hanging="1134"/>
      </w:pPr>
      <w:r>
        <w:rPr>
          <w:noProof/>
        </w:rPr>
        <w:drawing>
          <wp:inline distT="0" distB="0" distL="0" distR="0" wp14:anchorId="05F382EC" wp14:editId="69F25C37">
            <wp:extent cx="4680000" cy="1018800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4B2A" w14:textId="77777777" w:rsidR="004144B1" w:rsidRPr="00EA78E8" w:rsidRDefault="004144B1" w:rsidP="004144B1">
      <w:pPr>
        <w:pStyle w:val="SingleTxtG"/>
        <w:ind w:left="567"/>
        <w:jc w:val="right"/>
      </w:pPr>
      <w:r w:rsidRPr="00EA78E8">
        <w:rPr>
          <w:lang w:val="fr-FR"/>
        </w:rPr>
        <w:t>a = 8 mm min</w:t>
      </w:r>
    </w:p>
    <w:p w14:paraId="3A4380CC" w14:textId="77777777" w:rsidR="004144B1" w:rsidRPr="00EA78E8" w:rsidRDefault="004144B1" w:rsidP="004144B1">
      <w:pPr>
        <w:pStyle w:val="SingleTxtG"/>
      </w:pPr>
      <w:r>
        <w:rPr>
          <w:lang w:val="fr-FR"/>
        </w:rPr>
        <w:tab/>
      </w:r>
      <w:r w:rsidRPr="00EA78E8">
        <w:rPr>
          <w:lang w:val="fr-FR"/>
        </w:rPr>
        <w:t>La marque d</w:t>
      </w:r>
      <w:r>
        <w:rPr>
          <w:lang w:val="fr-FR"/>
        </w:rPr>
        <w:t>’</w:t>
      </w:r>
      <w:r w:rsidRPr="00EA78E8">
        <w:rPr>
          <w:lang w:val="fr-FR"/>
        </w:rPr>
        <w:t xml:space="preserve">homologation ci-dessus, apposée sur un véhicule, indique que le type de ce véhicule a été homologué aux Pays-Bas (E4), en application du Règlement </w:t>
      </w:r>
      <w:r>
        <w:rPr>
          <w:lang w:val="fr-FR"/>
        </w:rPr>
        <w:t>ONU </w:t>
      </w:r>
      <w:r w:rsidRPr="00EA78E8">
        <w:rPr>
          <w:lang w:val="fr-FR"/>
        </w:rPr>
        <w:t>n</w:t>
      </w:r>
      <w:r w:rsidRPr="00EA78E8">
        <w:rPr>
          <w:vertAlign w:val="superscript"/>
          <w:lang w:val="fr-FR"/>
        </w:rPr>
        <w:t>o</w:t>
      </w:r>
      <w:r w:rsidRPr="00EA78E8">
        <w:rPr>
          <w:lang w:val="fr-FR"/>
        </w:rPr>
        <w:t> 26, sous le numéro d</w:t>
      </w:r>
      <w:r>
        <w:rPr>
          <w:lang w:val="fr-FR"/>
        </w:rPr>
        <w:t>’</w:t>
      </w:r>
      <w:r w:rsidRPr="00EA78E8">
        <w:rPr>
          <w:lang w:val="fr-FR"/>
        </w:rPr>
        <w:t>homologation 0</w:t>
      </w:r>
      <w:r>
        <w:rPr>
          <w:lang w:val="fr-FR"/>
        </w:rPr>
        <w:t>3</w:t>
      </w:r>
      <w:r w:rsidRPr="00EA78E8">
        <w:rPr>
          <w:lang w:val="fr-FR"/>
        </w:rPr>
        <w:t>2439. Les deux premiers chiffres de ce numéro indiquen</w:t>
      </w:r>
      <w:r>
        <w:rPr>
          <w:lang w:val="fr-FR"/>
        </w:rPr>
        <w:t>t qu’au moment où l’</w:t>
      </w:r>
      <w:r w:rsidRPr="00EA78E8">
        <w:rPr>
          <w:lang w:val="fr-FR"/>
        </w:rPr>
        <w:t>homologation</w:t>
      </w:r>
      <w:r>
        <w:rPr>
          <w:lang w:val="fr-FR"/>
        </w:rPr>
        <w:t xml:space="preserve"> a été délivrée</w:t>
      </w:r>
      <w:r w:rsidRPr="00EA78E8">
        <w:rPr>
          <w:lang w:val="fr-FR"/>
        </w:rPr>
        <w:t xml:space="preserve">, le Règlement </w:t>
      </w:r>
      <w:r>
        <w:rPr>
          <w:lang w:val="fr-FR"/>
        </w:rPr>
        <w:t>ONU </w:t>
      </w:r>
      <w:r w:rsidRPr="000D3336">
        <w:rPr>
          <w:rFonts w:eastAsia="MS Mincho"/>
          <w:lang w:val="fr-FR"/>
        </w:rPr>
        <w:t>n</w:t>
      </w:r>
      <w:r w:rsidRPr="000D333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EA78E8">
        <w:rPr>
          <w:lang w:val="fr-FR"/>
        </w:rPr>
        <w:t xml:space="preserve">26 comprenait </w:t>
      </w:r>
      <w:r>
        <w:rPr>
          <w:lang w:val="fr-FR"/>
        </w:rPr>
        <w:t xml:space="preserve">déjà </w:t>
      </w:r>
      <w:r w:rsidRPr="00EA78E8">
        <w:rPr>
          <w:lang w:val="fr-FR"/>
        </w:rPr>
        <w:t>la série 04 d</w:t>
      </w:r>
      <w:r>
        <w:rPr>
          <w:lang w:val="fr-FR"/>
        </w:rPr>
        <w:t>’</w:t>
      </w:r>
      <w:r w:rsidRPr="00EA78E8">
        <w:rPr>
          <w:lang w:val="fr-FR"/>
        </w:rPr>
        <w:t>amendements.</w:t>
      </w:r>
    </w:p>
    <w:p w14:paraId="4AB0D339" w14:textId="77777777" w:rsidR="004144B1" w:rsidRPr="00EA78E8" w:rsidRDefault="004144B1" w:rsidP="004144B1">
      <w:pPr>
        <w:pStyle w:val="SingleTxtG"/>
        <w:ind w:left="2268" w:hanging="1134"/>
      </w:pPr>
      <w:bookmarkStart w:id="7" w:name="_Toc358813933"/>
      <w:bookmarkStart w:id="8" w:name="_Toc358814285"/>
      <w:r w:rsidRPr="00EA78E8">
        <w:rPr>
          <w:lang w:val="fr-FR"/>
        </w:rPr>
        <w:t>Modèle B</w:t>
      </w:r>
      <w:bookmarkEnd w:id="7"/>
      <w:bookmarkEnd w:id="8"/>
    </w:p>
    <w:p w14:paraId="7CA405A0" w14:textId="36ABE2FB" w:rsidR="004144B1" w:rsidRDefault="004144B1" w:rsidP="004144B1">
      <w:pPr>
        <w:pStyle w:val="SingleTxtG"/>
        <w:ind w:left="2268" w:hanging="1134"/>
        <w:rPr>
          <w:lang w:val="fr-FR"/>
        </w:rPr>
      </w:pPr>
      <w:bookmarkStart w:id="9" w:name="_Toc358813934"/>
      <w:bookmarkStart w:id="10" w:name="_Toc358814286"/>
      <w:r w:rsidRPr="00EA78E8">
        <w:rPr>
          <w:lang w:val="fr-FR"/>
        </w:rPr>
        <w:t>(Voir le paragraphe 4.1.5 du présent Règlement)</w:t>
      </w:r>
      <w:bookmarkEnd w:id="9"/>
      <w:bookmarkEnd w:id="10"/>
    </w:p>
    <w:p w14:paraId="3B78B5C0" w14:textId="77777777" w:rsidR="00751EA9" w:rsidRPr="00EA78E8" w:rsidRDefault="00751EA9" w:rsidP="004144B1">
      <w:pPr>
        <w:pStyle w:val="SingleTxtG"/>
        <w:ind w:left="2268" w:hanging="1134"/>
      </w:pPr>
      <w:r>
        <w:rPr>
          <w:noProof/>
        </w:rPr>
        <w:drawing>
          <wp:inline distT="0" distB="0" distL="0" distR="0" wp14:anchorId="11C8AAEF" wp14:editId="5A525D74">
            <wp:extent cx="4680000" cy="990000"/>
            <wp:effectExtent l="0" t="0" r="635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4C83" w14:textId="77777777" w:rsidR="004144B1" w:rsidRPr="00EA78E8" w:rsidRDefault="004144B1" w:rsidP="004144B1">
      <w:pPr>
        <w:pStyle w:val="SingleTxtG"/>
        <w:ind w:left="567"/>
        <w:jc w:val="right"/>
      </w:pPr>
      <w:r w:rsidRPr="00EA78E8">
        <w:rPr>
          <w:lang w:val="fr-FR"/>
        </w:rPr>
        <w:t>a = 8 mm min</w:t>
      </w:r>
    </w:p>
    <w:p w14:paraId="7E40F52F" w14:textId="77777777" w:rsidR="005F0207" w:rsidRDefault="004144B1" w:rsidP="00751EA9">
      <w:pPr>
        <w:pStyle w:val="SingleTxtG"/>
        <w:keepLines/>
        <w:rPr>
          <w:lang w:val="fr-FR"/>
        </w:rPr>
      </w:pPr>
      <w:r>
        <w:rPr>
          <w:lang w:val="fr-FR"/>
        </w:rPr>
        <w:lastRenderedPageBreak/>
        <w:tab/>
      </w:r>
      <w:r w:rsidRPr="00EA78E8">
        <w:rPr>
          <w:lang w:val="fr-FR"/>
        </w:rPr>
        <w:t>La marque d</w:t>
      </w:r>
      <w:r>
        <w:rPr>
          <w:lang w:val="fr-FR"/>
        </w:rPr>
        <w:t>’</w:t>
      </w:r>
      <w:r w:rsidRPr="00EA78E8">
        <w:rPr>
          <w:lang w:val="fr-FR"/>
        </w:rPr>
        <w:t>homologation ci-dessus, apposée sur un véhicule, indique que le type de ce véhicule a été homologué aux Pays-Bas (E4), en application des Règlements</w:t>
      </w:r>
      <w:r>
        <w:rPr>
          <w:lang w:val="fr-FR"/>
        </w:rPr>
        <w:t xml:space="preserve"> ONU </w:t>
      </w:r>
      <w:r w:rsidRPr="00EA78E8">
        <w:rPr>
          <w:lang w:val="fr-FR"/>
        </w:rPr>
        <w:t>n</w:t>
      </w:r>
      <w:r w:rsidRPr="00EA78E8">
        <w:rPr>
          <w:vertAlign w:val="superscript"/>
          <w:lang w:val="fr-FR"/>
        </w:rPr>
        <w:t>os </w:t>
      </w:r>
      <w:r w:rsidRPr="00EA78E8">
        <w:rPr>
          <w:lang w:val="fr-FR"/>
        </w:rPr>
        <w:t>26 et 24</w:t>
      </w:r>
      <w:r w:rsidRPr="00115FE4">
        <w:rPr>
          <w:rStyle w:val="Appelnotedebasdep"/>
        </w:rPr>
        <w:footnoteReference w:id="4"/>
      </w:r>
      <w:r>
        <w:rPr>
          <w:lang w:val="fr-FR"/>
        </w:rPr>
        <w:t>.</w:t>
      </w:r>
      <w:r w:rsidRPr="00EA78E8">
        <w:rPr>
          <w:lang w:val="fr-FR"/>
        </w:rPr>
        <w:t xml:space="preserve"> Les deux premiers chiffres des numéros d</w:t>
      </w:r>
      <w:r>
        <w:rPr>
          <w:lang w:val="fr-FR"/>
        </w:rPr>
        <w:t>’</w:t>
      </w:r>
      <w:r w:rsidRPr="00EA78E8">
        <w:rPr>
          <w:lang w:val="fr-FR"/>
        </w:rPr>
        <w:t>homologation signifient qu</w:t>
      </w:r>
      <w:r>
        <w:rPr>
          <w:lang w:val="fr-FR"/>
        </w:rPr>
        <w:t>’</w:t>
      </w:r>
      <w:r w:rsidRPr="00EA78E8">
        <w:rPr>
          <w:lang w:val="fr-FR"/>
        </w:rPr>
        <w:t>aux dates où les homologations respectives ont été délivrées, le Règlement</w:t>
      </w:r>
      <w:r>
        <w:rPr>
          <w:lang w:val="fr-FR"/>
        </w:rPr>
        <w:t xml:space="preserve"> ONU n</w:t>
      </w:r>
      <w:r w:rsidRPr="00EA78E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A78E8">
        <w:rPr>
          <w:lang w:val="fr-FR"/>
        </w:rPr>
        <w:t>26 comprenait la série 04 d</w:t>
      </w:r>
      <w:r>
        <w:rPr>
          <w:lang w:val="fr-FR"/>
        </w:rPr>
        <w:t>’</w:t>
      </w:r>
      <w:r w:rsidRPr="00EA78E8">
        <w:rPr>
          <w:lang w:val="fr-FR"/>
        </w:rPr>
        <w:t xml:space="preserve">amendements, alors que le Règlement </w:t>
      </w:r>
      <w:r>
        <w:rPr>
          <w:lang w:val="fr-FR"/>
        </w:rPr>
        <w:t>ONU</w:t>
      </w:r>
      <w:r w:rsidRPr="00EA78E8">
        <w:rPr>
          <w:lang w:val="fr-FR"/>
        </w:rPr>
        <w:t xml:space="preserve"> n</w:t>
      </w:r>
      <w:r w:rsidRPr="00EA78E8">
        <w:rPr>
          <w:vertAlign w:val="superscript"/>
          <w:lang w:val="fr-FR"/>
        </w:rPr>
        <w:t>o</w:t>
      </w:r>
      <w:r w:rsidR="00751EA9">
        <w:rPr>
          <w:lang w:val="fr-FR"/>
        </w:rPr>
        <w:t> </w:t>
      </w:r>
      <w:r w:rsidRPr="00EA78E8">
        <w:rPr>
          <w:lang w:val="fr-FR"/>
        </w:rPr>
        <w:t>24 comprenait déjà la série 03 d</w:t>
      </w:r>
      <w:r>
        <w:rPr>
          <w:lang w:val="fr-FR"/>
        </w:rPr>
        <w:t>’</w:t>
      </w:r>
      <w:r w:rsidRPr="00EA78E8">
        <w:rPr>
          <w:lang w:val="fr-FR"/>
        </w:rPr>
        <w:t>amendements.</w:t>
      </w:r>
      <w:r>
        <w:rPr>
          <w:lang w:val="fr-FR"/>
        </w:rPr>
        <w:t> </w:t>
      </w:r>
      <w:r w:rsidRPr="00EA78E8">
        <w:rPr>
          <w:lang w:val="fr-FR"/>
        </w:rPr>
        <w:t>».</w:t>
      </w:r>
    </w:p>
    <w:p w14:paraId="1D0B03BD" w14:textId="77777777" w:rsidR="00751EA9" w:rsidRPr="00751EA9" w:rsidRDefault="00751EA9" w:rsidP="00751E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EA9" w:rsidRPr="00751EA9" w:rsidSect="00FE236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19D1" w14:textId="77777777" w:rsidR="00E470B8" w:rsidRDefault="00E470B8"/>
  </w:endnote>
  <w:endnote w:type="continuationSeparator" w:id="0">
    <w:p w14:paraId="4AE2B028" w14:textId="77777777" w:rsidR="00E470B8" w:rsidRDefault="00E470B8">
      <w:pPr>
        <w:pStyle w:val="Pieddepage"/>
      </w:pPr>
    </w:p>
  </w:endnote>
  <w:endnote w:type="continuationNotice" w:id="1">
    <w:p w14:paraId="33D8E2BB" w14:textId="77777777" w:rsidR="00E470B8" w:rsidRPr="00C451B9" w:rsidRDefault="00E470B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159B" w14:textId="77777777" w:rsidR="00FE2366" w:rsidRPr="00FE2366" w:rsidRDefault="00FE2366" w:rsidP="00FE2366">
    <w:pPr>
      <w:pStyle w:val="Pieddepage"/>
      <w:tabs>
        <w:tab w:val="right" w:pos="9638"/>
      </w:tabs>
    </w:pPr>
    <w:r w:rsidRPr="00FE2366">
      <w:rPr>
        <w:b/>
        <w:sz w:val="18"/>
      </w:rPr>
      <w:fldChar w:fldCharType="begin"/>
    </w:r>
    <w:r w:rsidRPr="00FE2366">
      <w:rPr>
        <w:b/>
        <w:sz w:val="18"/>
      </w:rPr>
      <w:instrText xml:space="preserve"> PAGE  \* MERGEFORMAT </w:instrText>
    </w:r>
    <w:r w:rsidRPr="00FE2366">
      <w:rPr>
        <w:b/>
        <w:sz w:val="18"/>
      </w:rPr>
      <w:fldChar w:fldCharType="separate"/>
    </w:r>
    <w:r w:rsidRPr="00FE2366">
      <w:rPr>
        <w:b/>
        <w:noProof/>
        <w:sz w:val="18"/>
      </w:rPr>
      <w:t>2</w:t>
    </w:r>
    <w:r w:rsidRPr="00FE2366">
      <w:rPr>
        <w:b/>
        <w:sz w:val="18"/>
      </w:rPr>
      <w:fldChar w:fldCharType="end"/>
    </w:r>
    <w:r>
      <w:rPr>
        <w:b/>
        <w:sz w:val="18"/>
      </w:rPr>
      <w:tab/>
    </w:r>
    <w:r>
      <w:t>GE.20-14331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7105" w14:textId="77777777" w:rsidR="00FE2366" w:rsidRPr="00FE2366" w:rsidRDefault="00FE2366" w:rsidP="00FE2366">
    <w:pPr>
      <w:pStyle w:val="Pieddepage"/>
      <w:tabs>
        <w:tab w:val="right" w:pos="9638"/>
      </w:tabs>
      <w:rPr>
        <w:b/>
        <w:sz w:val="18"/>
      </w:rPr>
    </w:pPr>
    <w:r>
      <w:t>GE.20-14331</w:t>
    </w:r>
    <w:r>
      <w:tab/>
    </w:r>
    <w:r w:rsidRPr="00FE2366">
      <w:rPr>
        <w:b/>
        <w:sz w:val="18"/>
      </w:rPr>
      <w:fldChar w:fldCharType="begin"/>
    </w:r>
    <w:r w:rsidRPr="00FE2366">
      <w:rPr>
        <w:b/>
        <w:sz w:val="18"/>
      </w:rPr>
      <w:instrText xml:space="preserve"> PAGE  \* MERGEFORMAT </w:instrText>
    </w:r>
    <w:r w:rsidRPr="00FE2366">
      <w:rPr>
        <w:b/>
        <w:sz w:val="18"/>
      </w:rPr>
      <w:fldChar w:fldCharType="separate"/>
    </w:r>
    <w:r w:rsidRPr="00FE2366">
      <w:rPr>
        <w:b/>
        <w:noProof/>
        <w:sz w:val="18"/>
      </w:rPr>
      <w:t>3</w:t>
    </w:r>
    <w:r w:rsidRPr="00FE23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1AC" w14:textId="77777777" w:rsidR="00467F2C" w:rsidRPr="00FE2366" w:rsidRDefault="00FE2366" w:rsidP="00FE236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DA5703D" wp14:editId="6ECF9C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20-14331  (F)    201120    201120</w:t>
    </w:r>
    <w:r>
      <w:rPr>
        <w:sz w:val="20"/>
      </w:rPr>
      <w:br/>
    </w:r>
    <w:r w:rsidRPr="00FE2366">
      <w:rPr>
        <w:rFonts w:ascii="C39T30Lfz" w:hAnsi="C39T30Lfz"/>
        <w:sz w:val="56"/>
      </w:rPr>
      <w:t>*2014331*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3DD18D3" wp14:editId="440E2E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1E94" w14:textId="77777777" w:rsidR="00E470B8" w:rsidRPr="00D27D5E" w:rsidRDefault="00E470B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131450" w14:textId="77777777" w:rsidR="00E470B8" w:rsidRPr="00D171D4" w:rsidRDefault="00E470B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4784D69" w14:textId="77777777" w:rsidR="00E470B8" w:rsidRPr="00C451B9" w:rsidRDefault="00E470B8" w:rsidP="00C451B9">
      <w:pPr>
        <w:spacing w:line="240" w:lineRule="auto"/>
        <w:rPr>
          <w:sz w:val="2"/>
          <w:szCs w:val="2"/>
        </w:rPr>
      </w:pPr>
    </w:p>
  </w:footnote>
  <w:footnote w:id="2">
    <w:p w14:paraId="0F4B29E1" w14:textId="1BDAEC44" w:rsidR="000205C9" w:rsidRPr="000205C9" w:rsidRDefault="000205C9">
      <w:pPr>
        <w:pStyle w:val="Notedebasdepage"/>
      </w:pPr>
      <w:r>
        <w:rPr>
          <w:rStyle w:val="Appelnotedebasdep"/>
        </w:rPr>
        <w:tab/>
      </w:r>
      <w:r w:rsidRPr="000205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205C9">
        <w:rPr>
          <w:szCs w:val="18"/>
        </w:rPr>
        <w:t>Nouveau tirage pour raisons techniques (14 juin 2022).</w:t>
      </w:r>
    </w:p>
  </w:footnote>
  <w:footnote w:id="3">
    <w:p w14:paraId="2AED46C7" w14:textId="77777777" w:rsidR="000205C9" w:rsidRPr="00591072" w:rsidRDefault="000205C9" w:rsidP="000205C9">
      <w:pPr>
        <w:pStyle w:val="Notedebasdepage"/>
      </w:pPr>
      <w:r>
        <w:rPr>
          <w:rStyle w:val="Appelnotedebasdep"/>
        </w:rPr>
        <w:tab/>
      </w:r>
      <w:r w:rsidRPr="000205C9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6BC10D77" w14:textId="77777777" w:rsidR="000205C9" w:rsidRPr="00591072" w:rsidRDefault="000205C9" w:rsidP="000205C9">
      <w:pPr>
        <w:pStyle w:val="Notedebasdepage"/>
      </w:pPr>
      <w:r w:rsidRPr="00FE2366">
        <w:tab/>
      </w:r>
      <w:r w:rsidRPr="00FE236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A3460A4" w14:textId="04D74A25" w:rsidR="000205C9" w:rsidRPr="000205C9" w:rsidRDefault="000205C9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4">
    <w:p w14:paraId="43F431DD" w14:textId="77777777" w:rsidR="004144B1" w:rsidRPr="00EA78E8" w:rsidRDefault="004144B1" w:rsidP="004144B1">
      <w:pPr>
        <w:pStyle w:val="Notedebasdepage"/>
      </w:pPr>
      <w:r>
        <w:rPr>
          <w:lang w:val="fr-FR"/>
        </w:rPr>
        <w:tab/>
      </w:r>
      <w:r w:rsidRPr="00115FE4">
        <w:rPr>
          <w:rStyle w:val="Appelnotedebasdep"/>
        </w:rPr>
        <w:footnoteRef/>
      </w:r>
      <w:r>
        <w:rPr>
          <w:lang w:val="fr-FR"/>
        </w:rPr>
        <w:tab/>
        <w:t>Le deuxième numéro de Règlement n’est donné qu’à titre d’exemple ; la valeur corrigée du coefficient d’absorption est 1,30 m</w:t>
      </w:r>
      <w:r>
        <w:rPr>
          <w:vertAlign w:val="superscript"/>
          <w:lang w:val="fr-FR"/>
        </w:rPr>
        <w:t>-</w:t>
      </w:r>
      <w:r w:rsidRPr="007A37B1">
        <w:rPr>
          <w:vertAlign w:val="superscript"/>
          <w:lang w:val="fr-FR"/>
        </w:rPr>
        <w:t>1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9A8" w14:textId="74D3BFC2" w:rsidR="00FE2366" w:rsidRPr="00FE2366" w:rsidRDefault="00FE2366">
    <w:pPr>
      <w:pStyle w:val="En-tte"/>
      <w:rPr>
        <w:lang w:val="en-US"/>
      </w:rPr>
    </w:pPr>
    <w:r>
      <w:fldChar w:fldCharType="begin"/>
    </w:r>
    <w:r w:rsidRPr="00FE2366">
      <w:rPr>
        <w:lang w:val="en-US"/>
      </w:rPr>
      <w:instrText xml:space="preserve"> TITLE  \* MERGEFORMAT </w:instrText>
    </w:r>
    <w:r>
      <w:fldChar w:fldCharType="separate"/>
    </w:r>
    <w:r w:rsidR="00FC6383">
      <w:rPr>
        <w:lang w:val="en-US"/>
      </w:rPr>
      <w:t>E/ECE/324/Rev.1/Add.25/Rev.1/Amend.3</w:t>
    </w:r>
    <w:r>
      <w:fldChar w:fldCharType="end"/>
    </w:r>
    <w:r w:rsidRPr="00FE2366">
      <w:rPr>
        <w:lang w:val="en-US"/>
      </w:rPr>
      <w:br/>
    </w:r>
    <w:r>
      <w:fldChar w:fldCharType="begin"/>
    </w:r>
    <w:r w:rsidRPr="00FE2366">
      <w:rPr>
        <w:lang w:val="en-US"/>
      </w:rPr>
      <w:instrText xml:space="preserve"> KEYWORDS  \* MERGEFORMAT </w:instrText>
    </w:r>
    <w:r>
      <w:fldChar w:fldCharType="separate"/>
    </w:r>
    <w:r w:rsidR="00FC6383">
      <w:rPr>
        <w:lang w:val="en-US"/>
      </w:rPr>
      <w:t>E/ECE/TRANS/505/Rev.1/Add.25/Rev.1/Amend.3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2F4E" w14:textId="724CCBAF" w:rsidR="00FE2366" w:rsidRPr="00FE2366" w:rsidRDefault="00FE2366" w:rsidP="00FE2366">
    <w:pPr>
      <w:pStyle w:val="En-tte"/>
      <w:jc w:val="right"/>
      <w:rPr>
        <w:lang w:val="en-US"/>
      </w:rPr>
    </w:pPr>
    <w:r>
      <w:fldChar w:fldCharType="begin"/>
    </w:r>
    <w:r w:rsidRPr="00FE2366">
      <w:rPr>
        <w:lang w:val="en-US"/>
      </w:rPr>
      <w:instrText xml:space="preserve"> TITLE  \* MERGEFORMAT </w:instrText>
    </w:r>
    <w:r>
      <w:fldChar w:fldCharType="separate"/>
    </w:r>
    <w:r w:rsidR="00FC6383">
      <w:rPr>
        <w:lang w:val="en-US"/>
      </w:rPr>
      <w:t>E/ECE/324/Rev.1/Add.25/Rev.1/Amend.3</w:t>
    </w:r>
    <w:r>
      <w:fldChar w:fldCharType="end"/>
    </w:r>
    <w:r w:rsidRPr="00FE2366">
      <w:rPr>
        <w:lang w:val="en-US"/>
      </w:rPr>
      <w:br/>
    </w:r>
    <w:r>
      <w:fldChar w:fldCharType="begin"/>
    </w:r>
    <w:r w:rsidRPr="00FE2366">
      <w:rPr>
        <w:lang w:val="en-US"/>
      </w:rPr>
      <w:instrText xml:space="preserve"> KEYWORDS  \* MERGEFORMAT </w:instrText>
    </w:r>
    <w:r>
      <w:fldChar w:fldCharType="separate"/>
    </w:r>
    <w:r w:rsidR="00FC6383">
      <w:rPr>
        <w:lang w:val="en-US"/>
      </w:rPr>
      <w:t>E/ECE/TRANS/505/Rev.1/Add.25/Rev.1/Amend.3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0B8"/>
    <w:rsid w:val="0001470D"/>
    <w:rsid w:val="00016165"/>
    <w:rsid w:val="00016AC5"/>
    <w:rsid w:val="000205C9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1B26"/>
    <w:rsid w:val="000B20D3"/>
    <w:rsid w:val="000C6CDB"/>
    <w:rsid w:val="000D5C25"/>
    <w:rsid w:val="000E4F06"/>
    <w:rsid w:val="000E5601"/>
    <w:rsid w:val="000E5602"/>
    <w:rsid w:val="000F1633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44B1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0396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9719A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901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6B46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1EA9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3777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4C50"/>
    <w:rsid w:val="00996562"/>
    <w:rsid w:val="009A3048"/>
    <w:rsid w:val="009A6C26"/>
    <w:rsid w:val="009B17AD"/>
    <w:rsid w:val="009B3F8C"/>
    <w:rsid w:val="009B45E0"/>
    <w:rsid w:val="009B540F"/>
    <w:rsid w:val="009C1D60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28E0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40C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70B8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3B79"/>
    <w:rsid w:val="00FC6383"/>
    <w:rsid w:val="00FD02A2"/>
    <w:rsid w:val="00FD5E64"/>
    <w:rsid w:val="00FD7985"/>
    <w:rsid w:val="00FE2366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4ADF8C"/>
  <w15:docId w15:val="{A76F9931-F305-4E77-96B9-F7321CF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4144B1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4</Pages>
  <Words>758</Words>
  <Characters>4061</Characters>
  <Application>Microsoft Office Word</Application>
  <DocSecurity>0</DocSecurity>
  <Lines>96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E/ECE/324/Rev.1/Add.25/Rev.1/Amend.3</vt:lpstr>
    </vt:vector>
  </TitlesOfParts>
  <Company>CSD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E/ECE/324/Rev.1/Add.25/Rev.1/Amend.3</dc:title>
  <dc:creator>Nathalie VITTOZ</dc:creator>
  <cp:keywords>E/ECE/TRANS/505/Rev.1/Add.25/Rev.1/Amend.3</cp:keywords>
  <cp:lastModifiedBy>Sandrine Clere</cp:lastModifiedBy>
  <cp:revision>2</cp:revision>
  <cp:lastPrinted>2020-11-20T10:31:00Z</cp:lastPrinted>
  <dcterms:created xsi:type="dcterms:W3CDTF">2022-06-14T13:12:00Z</dcterms:created>
  <dcterms:modified xsi:type="dcterms:W3CDTF">2022-06-14T13:12:00Z</dcterms:modified>
</cp:coreProperties>
</file>