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45573" w14:paraId="4C35946E" w14:textId="77777777" w:rsidTr="00A27C92">
        <w:trPr>
          <w:trHeight w:hRule="exact" w:val="851"/>
        </w:trPr>
        <w:tc>
          <w:tcPr>
            <w:tcW w:w="9639" w:type="dxa"/>
            <w:gridSpan w:val="2"/>
            <w:tcBorders>
              <w:bottom w:val="single" w:sz="4" w:space="0" w:color="auto"/>
            </w:tcBorders>
            <w:shd w:val="clear" w:color="auto" w:fill="auto"/>
            <w:vAlign w:val="bottom"/>
          </w:tcPr>
          <w:p w14:paraId="5DEC4590" w14:textId="77777777" w:rsidR="00845573" w:rsidRPr="00845573" w:rsidRDefault="00845573" w:rsidP="00845573">
            <w:pPr>
              <w:jc w:val="right"/>
              <w:rPr>
                <w:lang w:val="en-US"/>
              </w:rPr>
            </w:pPr>
            <w:r w:rsidRPr="00845573">
              <w:rPr>
                <w:sz w:val="40"/>
                <w:lang w:val="en-US"/>
              </w:rPr>
              <w:t>E</w:t>
            </w:r>
            <w:r w:rsidRPr="00845573">
              <w:rPr>
                <w:lang w:val="en-US"/>
              </w:rPr>
              <w:t>/ECE/324/Rev.1/Add.78/Rev.4/Amend.5−</w:t>
            </w:r>
            <w:r w:rsidRPr="00845573">
              <w:rPr>
                <w:sz w:val="40"/>
                <w:lang w:val="en-US"/>
              </w:rPr>
              <w:t>E</w:t>
            </w:r>
            <w:r w:rsidRPr="00845573">
              <w:rPr>
                <w:lang w:val="en-US"/>
              </w:rPr>
              <w:t>/ECE/TRANS/505/Rev.1/Add.78/Rev.4/Amend.5</w:t>
            </w:r>
          </w:p>
        </w:tc>
      </w:tr>
      <w:tr w:rsidR="00421A10" w:rsidRPr="00DB58B5" w14:paraId="685D28F2" w14:textId="77777777" w:rsidTr="00A27C92">
        <w:trPr>
          <w:trHeight w:hRule="exact" w:val="2835"/>
        </w:trPr>
        <w:tc>
          <w:tcPr>
            <w:tcW w:w="6804" w:type="dxa"/>
            <w:tcBorders>
              <w:top w:val="single" w:sz="4" w:space="0" w:color="auto"/>
              <w:bottom w:val="single" w:sz="12" w:space="0" w:color="auto"/>
            </w:tcBorders>
            <w:shd w:val="clear" w:color="auto" w:fill="auto"/>
          </w:tcPr>
          <w:p w14:paraId="3E8C281D" w14:textId="77777777" w:rsidR="00421A10" w:rsidRPr="0084557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1EBA672" w14:textId="77777777" w:rsidR="00421A10" w:rsidRPr="00DB58B5" w:rsidRDefault="00845573" w:rsidP="00A27C92">
            <w:pPr>
              <w:spacing w:before="480" w:line="240" w:lineRule="exact"/>
            </w:pPr>
            <w:r>
              <w:t>17 mars 2022</w:t>
            </w:r>
          </w:p>
        </w:tc>
      </w:tr>
    </w:tbl>
    <w:p w14:paraId="58F8BB55" w14:textId="77777777" w:rsidR="00421A10" w:rsidRPr="006549FF" w:rsidRDefault="0029791D" w:rsidP="0029791D">
      <w:pPr>
        <w:pStyle w:val="HChG"/>
      </w:pPr>
      <w:r>
        <w:tab/>
      </w:r>
      <w:r>
        <w:tab/>
      </w:r>
      <w:r w:rsidR="00421A10" w:rsidRPr="006549FF">
        <w:t>Accord</w:t>
      </w:r>
    </w:p>
    <w:p w14:paraId="5937898A" w14:textId="76CD0648" w:rsidR="00421A10" w:rsidRPr="00583D68" w:rsidRDefault="0029791D" w:rsidP="0029791D">
      <w:pPr>
        <w:pStyle w:val="H1G"/>
      </w:pPr>
      <w:r>
        <w:tab/>
      </w:r>
      <w:r>
        <w:tab/>
      </w:r>
      <w:r w:rsidR="00421A10" w:rsidRPr="00583D68">
        <w:t xml:space="preserve">Concernant l’adoption </w:t>
      </w:r>
      <w:r w:rsidR="00845573" w:rsidRPr="00845573">
        <w:rPr>
          <w:lang w:val="fr-FR"/>
        </w:rPr>
        <w:t xml:space="preserve">de Règlements techniques harmonisés </w:t>
      </w:r>
      <w:r w:rsidR="00845573">
        <w:rPr>
          <w:lang w:val="fr-FR"/>
        </w:rPr>
        <w:br/>
      </w:r>
      <w:r w:rsidR="00845573" w:rsidRPr="00845573">
        <w:rPr>
          <w:lang w:val="fr-FR"/>
        </w:rPr>
        <w:t xml:space="preserve">de l’ONU applicables aux véhicules à roues et aux équipements </w:t>
      </w:r>
      <w:r w:rsidR="00845573">
        <w:rPr>
          <w:lang w:val="fr-FR"/>
        </w:rPr>
        <w:br/>
      </w:r>
      <w:r w:rsidR="00845573" w:rsidRPr="00845573">
        <w:rPr>
          <w:lang w:val="fr-FR"/>
        </w:rPr>
        <w:t xml:space="preserve">et pièces susceptibles d’être montés ou utilisés sur les véhicules </w:t>
      </w:r>
      <w:r w:rsidR="00845573">
        <w:rPr>
          <w:lang w:val="fr-FR"/>
        </w:rPr>
        <w:br/>
      </w:r>
      <w:r w:rsidR="00845573" w:rsidRPr="00845573">
        <w:rPr>
          <w:lang w:val="fr-FR"/>
        </w:rPr>
        <w:t xml:space="preserve">à roues et les conditions de reconnaissance réciproque </w:t>
      </w:r>
      <w:r w:rsidR="00845573">
        <w:rPr>
          <w:lang w:val="fr-FR"/>
        </w:rPr>
        <w:br/>
      </w:r>
      <w:r w:rsidR="00845573" w:rsidRPr="00845573">
        <w:rPr>
          <w:lang w:val="fr-FR"/>
        </w:rPr>
        <w:t>des homologations délivrées conformément à ces Règlements</w:t>
      </w:r>
      <w:r w:rsidR="00442E31" w:rsidRPr="00845573">
        <w:rPr>
          <w:rStyle w:val="Appelnotedebasdep"/>
          <w:b w:val="0"/>
          <w:bCs/>
          <w:sz w:val="20"/>
          <w:vertAlign w:val="baseline"/>
        </w:rPr>
        <w:footnoteReference w:customMarkFollows="1" w:id="2"/>
        <w:t>*</w:t>
      </w:r>
    </w:p>
    <w:p w14:paraId="42A44EEC" w14:textId="7ED25ECA" w:rsidR="00421A10" w:rsidRPr="00A12483" w:rsidRDefault="00421A10" w:rsidP="0029791D">
      <w:pPr>
        <w:pStyle w:val="SingleTxtG"/>
        <w:jc w:val="left"/>
        <w:rPr>
          <w:b/>
          <w:sz w:val="24"/>
          <w:szCs w:val="24"/>
        </w:rPr>
      </w:pPr>
      <w:r w:rsidRPr="006549FF">
        <w:t xml:space="preserve">(Révision </w:t>
      </w:r>
      <w:r w:rsidR="00845573" w:rsidRPr="00845573">
        <w:rPr>
          <w:lang w:val="fr-FR"/>
        </w:rPr>
        <w:t>3, comprenant les amendements entrés en vigueur le 14 septembre 2017</w:t>
      </w:r>
      <w:r w:rsidRPr="006549FF">
        <w:t>)</w:t>
      </w:r>
    </w:p>
    <w:p w14:paraId="34747AC4" w14:textId="77777777" w:rsidR="00421A10" w:rsidRPr="006549FF" w:rsidRDefault="0029791D" w:rsidP="0029791D">
      <w:pPr>
        <w:jc w:val="center"/>
      </w:pPr>
      <w:r>
        <w:t>_______________</w:t>
      </w:r>
    </w:p>
    <w:p w14:paraId="73969288" w14:textId="71368C49" w:rsidR="00421A10" w:rsidRPr="006549FF" w:rsidRDefault="0029791D" w:rsidP="0029791D">
      <w:pPr>
        <w:pStyle w:val="HChG"/>
      </w:pPr>
      <w:r>
        <w:tab/>
      </w:r>
      <w:r>
        <w:tab/>
      </w:r>
      <w:r w:rsidR="00421A10" w:rsidRPr="006549FF">
        <w:t xml:space="preserve">Additif </w:t>
      </w:r>
      <w:r w:rsidR="00845573">
        <w:t>78 −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845573">
        <w:t>79</w:t>
      </w:r>
    </w:p>
    <w:p w14:paraId="728069BC" w14:textId="56F37056" w:rsidR="00421A10" w:rsidRPr="006549FF" w:rsidRDefault="0029791D" w:rsidP="0029791D">
      <w:pPr>
        <w:pStyle w:val="H1G"/>
      </w:pPr>
      <w:r>
        <w:tab/>
      </w:r>
      <w:r>
        <w:tab/>
      </w:r>
      <w:r w:rsidR="00421A10" w:rsidRPr="006549FF">
        <w:t xml:space="preserve">Révision </w:t>
      </w:r>
      <w:r w:rsidR="00845573" w:rsidRPr="005032D2">
        <w:rPr>
          <w:rFonts w:eastAsia="Times New Roman"/>
          <w:lang w:val="fr-FR"/>
        </w:rPr>
        <w:t xml:space="preserve">4 </w:t>
      </w:r>
      <w:r w:rsidR="00845573">
        <w:rPr>
          <w:rFonts w:eastAsia="Times New Roman"/>
          <w:lang w:val="fr-FR"/>
        </w:rPr>
        <w:t>−</w:t>
      </w:r>
      <w:r w:rsidR="00845573" w:rsidRPr="005032D2">
        <w:rPr>
          <w:rFonts w:eastAsia="Times New Roman"/>
          <w:lang w:val="fr-FR"/>
        </w:rPr>
        <w:t xml:space="preserve"> Amend</w:t>
      </w:r>
      <w:r w:rsidR="00845573" w:rsidRPr="00B14880">
        <w:rPr>
          <w:rFonts w:eastAsia="Times New Roman"/>
          <w:lang w:val="fr-FR"/>
        </w:rPr>
        <w:t>e</w:t>
      </w:r>
      <w:r w:rsidR="00845573" w:rsidRPr="005032D2">
        <w:rPr>
          <w:rFonts w:eastAsia="Times New Roman"/>
          <w:lang w:val="fr-FR"/>
        </w:rPr>
        <w:t>ment 5</w:t>
      </w:r>
    </w:p>
    <w:p w14:paraId="1CA49EE9" w14:textId="5D9B9DA7" w:rsidR="00421A10" w:rsidRPr="0029791D" w:rsidRDefault="00845573" w:rsidP="0029791D">
      <w:pPr>
        <w:pStyle w:val="SingleTxtG"/>
      </w:pPr>
      <w:r w:rsidRPr="00845573">
        <w:rPr>
          <w:lang w:val="fr-FR"/>
        </w:rPr>
        <w:t xml:space="preserve">Complément 5 à la série 03 d’amendements </w:t>
      </w:r>
      <w:r>
        <w:rPr>
          <w:lang w:val="fr-FR"/>
        </w:rPr>
        <w:t>−</w:t>
      </w:r>
      <w:r w:rsidRPr="00845573">
        <w:rPr>
          <w:lang w:val="fr-FR"/>
        </w:rPr>
        <w:t xml:space="preserve"> Date d’entrée en vigueur : 7 janvier 2022</w:t>
      </w:r>
    </w:p>
    <w:p w14:paraId="7271143A" w14:textId="4D69BDE1" w:rsidR="00421A10" w:rsidRDefault="0029791D" w:rsidP="0029791D">
      <w:pPr>
        <w:pStyle w:val="H1G"/>
      </w:pPr>
      <w:r>
        <w:tab/>
      </w:r>
      <w:r>
        <w:tab/>
      </w:r>
      <w:r w:rsidR="00421A10" w:rsidRPr="007619D3">
        <w:t xml:space="preserve">Prescriptions uniformes relatives </w:t>
      </w:r>
      <w:r w:rsidR="00845573" w:rsidRPr="00845573">
        <w:rPr>
          <w:lang w:val="fr-FR"/>
        </w:rPr>
        <w:t xml:space="preserve">à l’homologation des véhicules </w:t>
      </w:r>
      <w:r w:rsidR="00845573">
        <w:rPr>
          <w:lang w:val="fr-FR"/>
        </w:rPr>
        <w:br/>
      </w:r>
      <w:r w:rsidR="00845573" w:rsidRPr="00845573">
        <w:rPr>
          <w:lang w:val="fr-FR"/>
        </w:rPr>
        <w:t>en ce qui concerne l’équipement de direction</w:t>
      </w:r>
    </w:p>
    <w:p w14:paraId="7721EF20" w14:textId="3E27AE76" w:rsidR="00845573" w:rsidRDefault="00442E31" w:rsidP="00845573">
      <w:pPr>
        <w:pStyle w:val="SingleTxtG"/>
      </w:pPr>
      <w:r>
        <w:rPr>
          <w:noProof/>
          <w:lang w:eastAsia="fr-CH"/>
        </w:rPr>
        <mc:AlternateContent>
          <mc:Choice Requires="wps">
            <w:drawing>
              <wp:anchor distT="0" distB="0" distL="114300" distR="114300" simplePos="0" relativeHeight="251658240" behindDoc="0" locked="0" layoutInCell="1" allowOverlap="1" wp14:anchorId="7C41C3BE" wp14:editId="01FF4F2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51DFA1B5" w14:textId="77777777" w:rsidR="00442E31" w:rsidRPr="0029791D" w:rsidRDefault="00442E31" w:rsidP="00C9521D">
                            <w:pPr>
                              <w:ind w:left="1134" w:right="1134"/>
                              <w:jc w:val="center"/>
                            </w:pPr>
                            <w:r>
                              <w:t>_______________</w:t>
                            </w:r>
                          </w:p>
                          <w:p w14:paraId="0B4B8F53" w14:textId="77777777" w:rsidR="00442E31" w:rsidRDefault="00442E31" w:rsidP="00C9521D">
                            <w:pPr>
                              <w:jc w:val="center"/>
                              <w:rPr>
                                <w:b/>
                                <w:bCs/>
                                <w:sz w:val="22"/>
                              </w:rPr>
                            </w:pPr>
                            <w:r>
                              <w:rPr>
                                <w:noProof/>
                                <w:lang w:eastAsia="fr-CH"/>
                              </w:rPr>
                              <w:drawing>
                                <wp:inline distT="0" distB="0" distL="0" distR="0" wp14:anchorId="1FFFC86F" wp14:editId="32B908B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CC60C36"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C3BE"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51DFA1B5" w14:textId="77777777" w:rsidR="00442E31" w:rsidRPr="0029791D" w:rsidRDefault="00442E31" w:rsidP="00C9521D">
                      <w:pPr>
                        <w:ind w:left="1134" w:right="1134"/>
                        <w:jc w:val="center"/>
                      </w:pPr>
                      <w:r>
                        <w:t>_______________</w:t>
                      </w:r>
                    </w:p>
                    <w:p w14:paraId="0B4B8F53" w14:textId="77777777" w:rsidR="00442E31" w:rsidRDefault="00442E31" w:rsidP="00C9521D">
                      <w:pPr>
                        <w:jc w:val="center"/>
                        <w:rPr>
                          <w:b/>
                          <w:bCs/>
                          <w:sz w:val="22"/>
                        </w:rPr>
                      </w:pPr>
                      <w:r>
                        <w:rPr>
                          <w:noProof/>
                          <w:lang w:eastAsia="fr-CH"/>
                        </w:rPr>
                        <w:drawing>
                          <wp:inline distT="0" distB="0" distL="0" distR="0" wp14:anchorId="1FFFC86F" wp14:editId="32B908B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CC60C36"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845573">
        <w:tab/>
      </w:r>
      <w:r w:rsidR="00845573">
        <w:tab/>
      </w:r>
      <w:r w:rsidR="00845573" w:rsidRPr="00B14880">
        <w:rPr>
          <w:rFonts w:eastAsia="Times New Roman"/>
          <w:spacing w:val="-4"/>
          <w:lang w:val="fr-FR" w:eastAsia="en-GB"/>
        </w:rPr>
        <w:t>Le présent document est communiqué uniquement à titre d</w:t>
      </w:r>
      <w:r w:rsidR="00845573">
        <w:rPr>
          <w:rFonts w:eastAsia="Times New Roman"/>
          <w:spacing w:val="-4"/>
          <w:lang w:val="fr-FR" w:eastAsia="en-GB"/>
        </w:rPr>
        <w:t>’</w:t>
      </w:r>
      <w:r w:rsidR="00845573" w:rsidRPr="00B14880">
        <w:rPr>
          <w:rFonts w:eastAsia="Times New Roman"/>
          <w:spacing w:val="-4"/>
          <w:lang w:val="fr-FR" w:eastAsia="en-GB"/>
        </w:rPr>
        <w:t>information. Le texte authentique, juridiquement contraignant, est celui du document</w:t>
      </w:r>
      <w:r w:rsidR="00845573" w:rsidRPr="005032D2">
        <w:rPr>
          <w:rFonts w:eastAsia="Times New Roman"/>
          <w:lang w:val="fr-FR" w:eastAsia="en-GB"/>
        </w:rPr>
        <w:t xml:space="preserve"> </w:t>
      </w:r>
      <w:r w:rsidR="00845573" w:rsidRPr="005032D2">
        <w:rPr>
          <w:rFonts w:eastAsia="Times New Roman"/>
          <w:spacing w:val="-6"/>
          <w:lang w:val="fr-FR" w:eastAsia="en-GB"/>
        </w:rPr>
        <w:t>ECE/TRANS/WP.29/2021/72.</w:t>
      </w:r>
    </w:p>
    <w:p w14:paraId="6BDF9AC7" w14:textId="5A16CFA9" w:rsidR="00845573" w:rsidRDefault="00845573">
      <w:pPr>
        <w:suppressAutoHyphens w:val="0"/>
        <w:kinsoku/>
        <w:overflowPunct/>
        <w:autoSpaceDE/>
        <w:autoSpaceDN/>
        <w:adjustRightInd/>
        <w:snapToGrid/>
        <w:spacing w:line="240" w:lineRule="auto"/>
      </w:pPr>
      <w:r>
        <w:br w:type="page"/>
      </w:r>
    </w:p>
    <w:p w14:paraId="0EA99285" w14:textId="77777777" w:rsidR="00845573" w:rsidRPr="0095783F" w:rsidRDefault="00845573" w:rsidP="00845573">
      <w:pPr>
        <w:pStyle w:val="SingleTxtG"/>
        <w:rPr>
          <w:i/>
        </w:rPr>
      </w:pPr>
      <w:r>
        <w:rPr>
          <w:i/>
          <w:iCs/>
          <w:lang w:val="fr-FR"/>
        </w:rPr>
        <w:lastRenderedPageBreak/>
        <w:t xml:space="preserve">Le paragraphe 2.3.4.18 </w:t>
      </w:r>
      <w:r w:rsidRPr="004E28A8">
        <w:rPr>
          <w:lang w:val="fr-FR"/>
        </w:rPr>
        <w:t>devient</w:t>
      </w:r>
      <w:r>
        <w:rPr>
          <w:i/>
          <w:iCs/>
          <w:lang w:val="fr-FR"/>
        </w:rPr>
        <w:t xml:space="preserve"> </w:t>
      </w:r>
      <w:r>
        <w:rPr>
          <w:lang w:val="fr-FR"/>
        </w:rPr>
        <w:t>le paragraphe 2.4.18.</w:t>
      </w:r>
    </w:p>
    <w:p w14:paraId="1A66C20C" w14:textId="77777777" w:rsidR="00845573" w:rsidRPr="0095783F" w:rsidRDefault="00845573" w:rsidP="00845573">
      <w:pPr>
        <w:pStyle w:val="SingleTxtG"/>
      </w:pPr>
      <w:r>
        <w:rPr>
          <w:i/>
          <w:iCs/>
          <w:lang w:val="fr-FR"/>
        </w:rPr>
        <w:t>Paragraphe 5.6.4.1.2</w:t>
      </w:r>
      <w:r>
        <w:rPr>
          <w:lang w:val="fr-FR"/>
        </w:rPr>
        <w:t>, lire :</w:t>
      </w:r>
    </w:p>
    <w:p w14:paraId="732F1601" w14:textId="77777777" w:rsidR="00845573" w:rsidRPr="0095783F" w:rsidRDefault="00845573" w:rsidP="00845573">
      <w:pPr>
        <w:pStyle w:val="SingleTxtG"/>
        <w:ind w:left="2268" w:hanging="1134"/>
        <w:rPr>
          <w:bCs/>
        </w:rPr>
      </w:pPr>
      <w:bookmarkStart w:id="0" w:name="_Hlk56146177"/>
      <w:r>
        <w:rPr>
          <w:lang w:val="fr-FR"/>
        </w:rPr>
        <w:t>« 5.6.4.1.2</w:t>
      </w:r>
      <w:r>
        <w:rPr>
          <w:lang w:val="fr-FR"/>
        </w:rPr>
        <w:tab/>
        <w:t>Lorsqu’une ACSF de catégorie C est en mode veille, l’ACSF de catégorie B1 doit avoir pour fonction de maintenir le véhicule au milieu de la voie, à moins qu’une position différente dans la voie ne soit jugée raisonnable en raison de la situation ou à la suite d’une intervention du conducteur (par exemple, lorsqu’un autre véhicule circule parallèlement à faible distance).</w:t>
      </w:r>
      <w:bookmarkEnd w:id="0"/>
    </w:p>
    <w:p w14:paraId="706C27C9" w14:textId="77777777" w:rsidR="00845573" w:rsidRPr="0095783F" w:rsidRDefault="00845573" w:rsidP="00845573">
      <w:pPr>
        <w:pStyle w:val="SingleTxtG"/>
        <w:ind w:left="2268"/>
      </w:pPr>
      <w:r>
        <w:rPr>
          <w:lang w:val="fr-FR"/>
        </w:rPr>
        <w:t>Ceci doit être démontré au service technique par le constructeur du véhicule lors de l’homologation de type. ».</w:t>
      </w:r>
    </w:p>
    <w:p w14:paraId="003F3AF1" w14:textId="77777777" w:rsidR="00845573" w:rsidRPr="0095783F" w:rsidRDefault="00845573" w:rsidP="00845573">
      <w:pPr>
        <w:pStyle w:val="SingleTxtG"/>
      </w:pPr>
      <w:r>
        <w:rPr>
          <w:i/>
          <w:iCs/>
          <w:lang w:val="fr-FR"/>
        </w:rPr>
        <w:t>Paragraphe 5.6.4.2.3</w:t>
      </w:r>
      <w:r>
        <w:rPr>
          <w:lang w:val="fr-FR"/>
        </w:rPr>
        <w:t>, lire :</w:t>
      </w:r>
    </w:p>
    <w:p w14:paraId="14C4D8D7" w14:textId="77777777" w:rsidR="00845573" w:rsidRPr="0095783F" w:rsidRDefault="00845573" w:rsidP="00845573">
      <w:pPr>
        <w:pStyle w:val="SingleTxtG"/>
        <w:ind w:left="2268" w:hanging="1134"/>
      </w:pPr>
      <w:r>
        <w:rPr>
          <w:lang w:val="fr-FR"/>
        </w:rPr>
        <w:t>« 5.6.4.2.3</w:t>
      </w:r>
      <w:r>
        <w:rPr>
          <w:lang w:val="fr-FR"/>
        </w:rPr>
        <w:tab/>
        <w:t>Le système ne doit être...</w:t>
      </w:r>
    </w:p>
    <w:p w14:paraId="5EBF66CE" w14:textId="77777777" w:rsidR="00845573" w:rsidRPr="0095783F" w:rsidRDefault="00845573" w:rsidP="00845573">
      <w:pPr>
        <w:pStyle w:val="SingleTxtG"/>
        <w:ind w:left="2268"/>
      </w:pPr>
      <w:r>
        <w:rPr>
          <w:lang w:val="fr-FR"/>
        </w:rPr>
        <w:t>… Ces conditions doivent être vérifiées par au moins deux moyens indépendants.</w:t>
      </w:r>
    </w:p>
    <w:p w14:paraId="6FD7C59B" w14:textId="77777777" w:rsidR="00845573" w:rsidRPr="0095783F" w:rsidRDefault="00845573" w:rsidP="00845573">
      <w:pPr>
        <w:pStyle w:val="SingleTxtG"/>
        <w:ind w:left="2268"/>
      </w:pPr>
      <w:r>
        <w:rPr>
          <w:lang w:val="fr-FR"/>
        </w:rPr>
        <w:t>Si le véhicule quitte un type de route sur lequel l’utilisation d’une ACSF de catégorie C est autorisée pour emprunter une route sur laquelle elle est interdite, le système doit être automatiquement désactivé (mode arrêt), à moins que l’absence d’une deuxième voie dans le sens de la circulation soit la seule condition non remplie parmi celles mentionnées ci-dessus (par exemple, sur une bretelle de raccordement entre deux autoroutes). ».</w:t>
      </w:r>
    </w:p>
    <w:p w14:paraId="43C4B662" w14:textId="77777777" w:rsidR="00845573" w:rsidRPr="0095783F" w:rsidRDefault="00845573" w:rsidP="00845573">
      <w:pPr>
        <w:pStyle w:val="SingleTxtG"/>
      </w:pPr>
      <w:r>
        <w:rPr>
          <w:i/>
          <w:iCs/>
          <w:lang w:val="fr-FR"/>
        </w:rPr>
        <w:t>Paragraphe 5.6.4.3</w:t>
      </w:r>
      <w:r>
        <w:rPr>
          <w:lang w:val="fr-FR"/>
        </w:rPr>
        <w:t>, lire :</w:t>
      </w:r>
    </w:p>
    <w:p w14:paraId="6C9596CE" w14:textId="77777777" w:rsidR="00845573" w:rsidRPr="0095783F" w:rsidRDefault="00845573" w:rsidP="00845573">
      <w:pPr>
        <w:pStyle w:val="SingleTxtG"/>
        <w:ind w:left="2268" w:hanging="1134"/>
      </w:pPr>
      <w:r>
        <w:rPr>
          <w:lang w:val="fr-FR"/>
        </w:rPr>
        <w:t>« 5.6.4.3</w:t>
      </w:r>
      <w:r>
        <w:rPr>
          <w:lang w:val="fr-FR"/>
        </w:rPr>
        <w:tab/>
        <w:t>Neutralisation</w:t>
      </w:r>
    </w:p>
    <w:p w14:paraId="41C7486F" w14:textId="77777777" w:rsidR="00845573" w:rsidRPr="0095783F" w:rsidRDefault="00845573" w:rsidP="00845573">
      <w:pPr>
        <w:pStyle w:val="SingleTxtG"/>
        <w:ind w:left="2268"/>
      </w:pPr>
      <w:r>
        <w:rPr>
          <w:lang w:val="fr-FR"/>
        </w:rPr>
        <w:tab/>
        <w:t>Le conducteur doit exercer une force sur la commande de direction afin de neutraliser l’action du système sur la direction. La force nécessaire pour neutraliser le changement de trajectoire déclenché par le système ne doit pas dépasser 50 N.</w:t>
      </w:r>
    </w:p>
    <w:p w14:paraId="15329DDF" w14:textId="77777777" w:rsidR="00845573" w:rsidRPr="0095783F" w:rsidRDefault="00845573" w:rsidP="00845573">
      <w:pPr>
        <w:pStyle w:val="SingleTxtG"/>
        <w:ind w:left="2268"/>
      </w:pPr>
      <w:r>
        <w:rPr>
          <w:lang w:val="fr-FR"/>
        </w:rPr>
        <w:tab/>
        <w:t>Le système peut rester actif pendant la période de neutralisation à condition que la priorité soit donnée au conducteur. ».</w:t>
      </w:r>
    </w:p>
    <w:p w14:paraId="51DF3BCB" w14:textId="77777777" w:rsidR="00845573" w:rsidRPr="0095783F" w:rsidRDefault="00845573" w:rsidP="00845573">
      <w:pPr>
        <w:pStyle w:val="SingleTxtG"/>
      </w:pPr>
      <w:r>
        <w:rPr>
          <w:i/>
          <w:iCs/>
          <w:lang w:val="fr-FR"/>
        </w:rPr>
        <w:t>Paragraphe 5.6.4.7</w:t>
      </w:r>
      <w:r>
        <w:rPr>
          <w:lang w:val="fr-FR"/>
        </w:rPr>
        <w:t>, lire :</w:t>
      </w:r>
    </w:p>
    <w:p w14:paraId="7C05B508" w14:textId="77777777" w:rsidR="00845573" w:rsidRPr="0095783F" w:rsidRDefault="00845573" w:rsidP="00845573">
      <w:pPr>
        <w:pStyle w:val="SingleTxtG"/>
        <w:ind w:left="2268" w:hanging="1134"/>
      </w:pPr>
      <w:bookmarkStart w:id="1" w:name="_Hlk56146146"/>
      <w:r>
        <w:rPr>
          <w:lang w:val="fr-FR"/>
        </w:rPr>
        <w:t>« 5.6.4.7</w:t>
      </w:r>
      <w:r>
        <w:rPr>
          <w:lang w:val="fr-FR"/>
        </w:rPr>
        <w:tab/>
        <w:t>Situations critiques</w:t>
      </w:r>
    </w:p>
    <w:bookmarkEnd w:id="1"/>
    <w:p w14:paraId="01FEEF64" w14:textId="77777777" w:rsidR="00845573" w:rsidRPr="0095783F" w:rsidRDefault="00845573" w:rsidP="00845573">
      <w:pPr>
        <w:pStyle w:val="SingleTxtG"/>
        <w:ind w:left="2268"/>
      </w:pPr>
      <w:r>
        <w:rPr>
          <w:lang w:val="fr-FR"/>
        </w:rPr>
        <w:tab/>
        <w:t>Une situation est considérée comme critique si, au moment où débute une manœuvre de changement de voie, un véhicule en approche dans la voie de destination est obligé de ralentir en effectuant une décélération supérieure à 3 m/s</w:t>
      </w:r>
      <w:r w:rsidRPr="00EC5AB1">
        <w:rPr>
          <w:vertAlign w:val="superscript"/>
          <w:lang w:val="fr-FR"/>
        </w:rPr>
        <w:t>2</w:t>
      </w:r>
      <w:r>
        <w:rPr>
          <w:lang w:val="fr-FR"/>
        </w:rPr>
        <w:t>, 0,4 s après le début de la manœuvre, pour que la distance entre les deux véhicules ne soit jamais inférieure à la distance parcourue en 1 s par le véhicule changeant de voie.</w:t>
      </w:r>
    </w:p>
    <w:p w14:paraId="2C328FFE" w14:textId="77777777" w:rsidR="00845573" w:rsidRPr="0095783F" w:rsidRDefault="00845573" w:rsidP="00845573">
      <w:pPr>
        <w:pStyle w:val="SingleTxtG"/>
        <w:ind w:left="2268"/>
      </w:pPr>
      <w:r>
        <w:rPr>
          <w:lang w:val="fr-FR"/>
        </w:rPr>
        <w:tab/>
        <w:t>La distance critique au début de la manœuvre de changement de voie doit être calculée selon la formule suivante :</w:t>
      </w:r>
    </w:p>
    <w:p w14:paraId="2ACAD3C0" w14:textId="77777777" w:rsidR="00845573" w:rsidRPr="001614AB" w:rsidRDefault="00845573" w:rsidP="00845573">
      <w:pPr>
        <w:pStyle w:val="SingleTxtG"/>
        <w:ind w:left="2268"/>
        <w:rPr>
          <w:lang w:val="en-US"/>
        </w:rPr>
      </w:pPr>
      <w:proofErr w:type="spellStart"/>
      <w:r w:rsidRPr="001614AB">
        <w:rPr>
          <w:lang w:val="en-US"/>
        </w:rPr>
        <w:t>S</w:t>
      </w:r>
      <w:r w:rsidRPr="001614AB">
        <w:rPr>
          <w:i/>
          <w:vertAlign w:val="subscript"/>
          <w:lang w:val="en-US"/>
        </w:rPr>
        <w:t>critical</w:t>
      </w:r>
      <w:proofErr w:type="spellEnd"/>
      <w:r w:rsidRPr="001614AB">
        <w:rPr>
          <w:i/>
          <w:lang w:val="en-US"/>
        </w:rPr>
        <w:t xml:space="preserve"> = (</w:t>
      </w:r>
      <w:proofErr w:type="spellStart"/>
      <w:r w:rsidRPr="001614AB">
        <w:rPr>
          <w:i/>
          <w:lang w:val="en-US"/>
        </w:rPr>
        <w:t>v</w:t>
      </w:r>
      <w:r w:rsidRPr="001614AB">
        <w:rPr>
          <w:i/>
          <w:vertAlign w:val="subscript"/>
          <w:lang w:val="en-US"/>
        </w:rPr>
        <w:t>rear</w:t>
      </w:r>
      <w:proofErr w:type="spellEnd"/>
      <w:r w:rsidRPr="001614AB">
        <w:rPr>
          <w:i/>
          <w:lang w:val="en-US"/>
        </w:rPr>
        <w:t xml:space="preserve"> - </w:t>
      </w:r>
      <w:proofErr w:type="spellStart"/>
      <w:r w:rsidRPr="001614AB">
        <w:rPr>
          <w:i/>
          <w:lang w:val="en-US"/>
        </w:rPr>
        <w:t>v</w:t>
      </w:r>
      <w:r w:rsidRPr="001614AB">
        <w:rPr>
          <w:i/>
          <w:vertAlign w:val="subscript"/>
          <w:lang w:val="en-US"/>
        </w:rPr>
        <w:t>ACSF</w:t>
      </w:r>
      <w:proofErr w:type="spellEnd"/>
      <w:r w:rsidRPr="001614AB">
        <w:rPr>
          <w:i/>
          <w:lang w:val="en-US"/>
        </w:rPr>
        <w:t xml:space="preserve">) * </w:t>
      </w:r>
      <w:proofErr w:type="spellStart"/>
      <w:r w:rsidRPr="001614AB">
        <w:rPr>
          <w:i/>
          <w:lang w:val="en-US"/>
        </w:rPr>
        <w:t>t</w:t>
      </w:r>
      <w:r w:rsidRPr="001614AB">
        <w:rPr>
          <w:i/>
          <w:vertAlign w:val="subscript"/>
          <w:lang w:val="en-US"/>
        </w:rPr>
        <w:t>B</w:t>
      </w:r>
      <w:proofErr w:type="spellEnd"/>
      <w:r w:rsidRPr="001614AB">
        <w:rPr>
          <w:i/>
          <w:lang w:val="en-US"/>
        </w:rPr>
        <w:t xml:space="preserve"> + (</w:t>
      </w:r>
      <w:proofErr w:type="spellStart"/>
      <w:r w:rsidRPr="001614AB">
        <w:rPr>
          <w:i/>
          <w:lang w:val="en-US"/>
        </w:rPr>
        <w:t>v</w:t>
      </w:r>
      <w:r w:rsidRPr="001614AB">
        <w:rPr>
          <w:i/>
          <w:vertAlign w:val="subscript"/>
          <w:lang w:val="en-US"/>
        </w:rPr>
        <w:t>rear</w:t>
      </w:r>
      <w:proofErr w:type="spellEnd"/>
      <w:r w:rsidRPr="001614AB">
        <w:rPr>
          <w:i/>
          <w:lang w:val="en-US"/>
        </w:rPr>
        <w:t xml:space="preserve"> - </w:t>
      </w:r>
      <w:proofErr w:type="spellStart"/>
      <w:r w:rsidRPr="001614AB">
        <w:rPr>
          <w:i/>
          <w:lang w:val="en-US"/>
        </w:rPr>
        <w:t>v</w:t>
      </w:r>
      <w:r w:rsidRPr="001614AB">
        <w:rPr>
          <w:i/>
          <w:vertAlign w:val="subscript"/>
          <w:lang w:val="en-US"/>
        </w:rPr>
        <w:t>ACSF</w:t>
      </w:r>
      <w:proofErr w:type="spellEnd"/>
      <w:r w:rsidRPr="001614AB">
        <w:rPr>
          <w:i/>
          <w:lang w:val="en-US"/>
        </w:rPr>
        <w:t>)</w:t>
      </w:r>
      <w:r w:rsidRPr="001614AB">
        <w:rPr>
          <w:i/>
          <w:vertAlign w:val="superscript"/>
          <w:lang w:val="en-US"/>
        </w:rPr>
        <w:t>2</w:t>
      </w:r>
      <w:r w:rsidRPr="001614AB">
        <w:rPr>
          <w:i/>
          <w:lang w:val="en-US"/>
        </w:rPr>
        <w:t xml:space="preserve"> / (2 * a) + </w:t>
      </w:r>
      <w:proofErr w:type="spellStart"/>
      <w:r w:rsidRPr="001614AB">
        <w:rPr>
          <w:i/>
          <w:lang w:val="en-US"/>
        </w:rPr>
        <w:t>v</w:t>
      </w:r>
      <w:r w:rsidRPr="001614AB">
        <w:rPr>
          <w:i/>
          <w:vertAlign w:val="subscript"/>
          <w:lang w:val="en-US"/>
        </w:rPr>
        <w:t>ACSF</w:t>
      </w:r>
      <w:proofErr w:type="spellEnd"/>
      <w:r w:rsidRPr="001614AB">
        <w:rPr>
          <w:i/>
          <w:lang w:val="en-US"/>
        </w:rPr>
        <w:t xml:space="preserve"> * </w:t>
      </w:r>
      <w:proofErr w:type="spellStart"/>
      <w:r w:rsidRPr="001614AB">
        <w:rPr>
          <w:i/>
          <w:lang w:val="en-US"/>
        </w:rPr>
        <w:t>t</w:t>
      </w:r>
      <w:r w:rsidRPr="001614AB">
        <w:rPr>
          <w:i/>
          <w:vertAlign w:val="subscript"/>
          <w:lang w:val="en-US"/>
        </w:rPr>
        <w:t>G</w:t>
      </w:r>
      <w:proofErr w:type="spellEnd"/>
      <w:r w:rsidRPr="001614AB">
        <w:rPr>
          <w:lang w:val="en-US"/>
        </w:rPr>
        <w:tab/>
      </w:r>
    </w:p>
    <w:p w14:paraId="422A3A60" w14:textId="77777777" w:rsidR="00845573" w:rsidRPr="001614AB" w:rsidRDefault="00845573" w:rsidP="00845573">
      <w:pPr>
        <w:pStyle w:val="SingleTxtG"/>
        <w:ind w:left="2268"/>
        <w:rPr>
          <w:lang w:val="en-US"/>
        </w:rPr>
      </w:pPr>
      <w:r w:rsidRPr="001614AB">
        <w:rPr>
          <w:lang w:val="en-US"/>
        </w:rPr>
        <w:tab/>
      </w:r>
      <w:proofErr w:type="spellStart"/>
      <w:r w:rsidRPr="001614AB">
        <w:rPr>
          <w:lang w:val="en-US"/>
        </w:rPr>
        <w:t>Où</w:t>
      </w:r>
      <w:proofErr w:type="spellEnd"/>
      <w:r w:rsidRPr="001614AB">
        <w:rPr>
          <w:lang w:val="en-US"/>
        </w:rPr>
        <w:t> :</w:t>
      </w:r>
    </w:p>
    <w:p w14:paraId="690E559B" w14:textId="77777777" w:rsidR="00845573" w:rsidRPr="0095783F" w:rsidRDefault="00845573" w:rsidP="00845573">
      <w:pPr>
        <w:pStyle w:val="SingleTxtG"/>
        <w:tabs>
          <w:tab w:val="left" w:pos="2835"/>
        </w:tabs>
        <w:ind w:left="3402" w:hanging="1134"/>
      </w:pPr>
      <w:proofErr w:type="spellStart"/>
      <w:r>
        <w:rPr>
          <w:lang w:val="fr-FR"/>
        </w:rPr>
        <w:t>v</w:t>
      </w:r>
      <w:r w:rsidRPr="0014746C">
        <w:rPr>
          <w:vertAlign w:val="subscript"/>
          <w:lang w:val="fr-FR"/>
        </w:rPr>
        <w:t>rear</w:t>
      </w:r>
      <w:proofErr w:type="spellEnd"/>
      <w:r>
        <w:rPr>
          <w:lang w:val="fr-FR"/>
        </w:rPr>
        <w:tab/>
        <w:t>est</w:t>
      </w:r>
      <w:r>
        <w:rPr>
          <w:lang w:val="fr-FR"/>
        </w:rPr>
        <w:tab/>
        <w:t>La vitesse effective du véhicule en approche ou 130 km/h, la valeur retenue étant la moins élevée</w:t>
      </w:r>
    </w:p>
    <w:p w14:paraId="65F70841" w14:textId="77777777" w:rsidR="00845573" w:rsidRPr="0095783F" w:rsidRDefault="00845573" w:rsidP="00845573">
      <w:pPr>
        <w:pStyle w:val="SingleTxtG"/>
        <w:tabs>
          <w:tab w:val="left" w:pos="2835"/>
        </w:tabs>
        <w:ind w:left="3402" w:hanging="1134"/>
      </w:pPr>
      <w:proofErr w:type="spellStart"/>
      <w:r>
        <w:rPr>
          <w:lang w:val="fr-FR"/>
        </w:rPr>
        <w:t>v</w:t>
      </w:r>
      <w:r w:rsidRPr="0014746C">
        <w:rPr>
          <w:vertAlign w:val="subscript"/>
          <w:lang w:val="fr-FR"/>
        </w:rPr>
        <w:t>ACSF</w:t>
      </w:r>
      <w:proofErr w:type="spellEnd"/>
      <w:r>
        <w:rPr>
          <w:lang w:val="fr-FR"/>
        </w:rPr>
        <w:tab/>
        <w:t>est</w:t>
      </w:r>
      <w:r>
        <w:rPr>
          <w:lang w:val="fr-FR"/>
        </w:rPr>
        <w:tab/>
        <w:t xml:space="preserve">La vitesse effective du véhicule équipé de l’ACSF </w:t>
      </w:r>
    </w:p>
    <w:p w14:paraId="5104837F" w14:textId="77777777" w:rsidR="00845573" w:rsidRPr="0095783F" w:rsidRDefault="00845573" w:rsidP="00845573">
      <w:pPr>
        <w:pStyle w:val="SingleTxtG"/>
        <w:tabs>
          <w:tab w:val="left" w:pos="2835"/>
        </w:tabs>
        <w:ind w:left="3402" w:hanging="1134"/>
      </w:pPr>
      <w:r>
        <w:rPr>
          <w:lang w:val="fr-FR"/>
        </w:rPr>
        <w:t>a</w:t>
      </w:r>
      <w:r>
        <w:rPr>
          <w:lang w:val="fr-FR"/>
        </w:rPr>
        <w:tab/>
        <w:t>=</w:t>
      </w:r>
      <w:r>
        <w:rPr>
          <w:lang w:val="fr-FR"/>
        </w:rPr>
        <w:tab/>
        <w:t>3 m/s</w:t>
      </w:r>
      <w:r w:rsidRPr="0014746C">
        <w:rPr>
          <w:vertAlign w:val="superscript"/>
          <w:lang w:val="fr-FR"/>
        </w:rPr>
        <w:t>2</w:t>
      </w:r>
      <w:r>
        <w:rPr>
          <w:lang w:val="fr-FR"/>
        </w:rPr>
        <w:tab/>
        <w:t>(Décélération du véhicule en approche)</w:t>
      </w:r>
    </w:p>
    <w:p w14:paraId="35358FD4" w14:textId="77777777" w:rsidR="00845573" w:rsidRPr="0095783F" w:rsidRDefault="00845573" w:rsidP="00845573">
      <w:pPr>
        <w:pStyle w:val="SingleTxtG"/>
        <w:tabs>
          <w:tab w:val="left" w:pos="2835"/>
          <w:tab w:val="left" w:pos="3402"/>
        </w:tabs>
        <w:ind w:left="3969" w:hanging="1701"/>
      </w:pPr>
      <w:proofErr w:type="spellStart"/>
      <w:r>
        <w:rPr>
          <w:lang w:val="fr-FR"/>
        </w:rPr>
        <w:t>t</w:t>
      </w:r>
      <w:r w:rsidRPr="0014746C">
        <w:rPr>
          <w:vertAlign w:val="subscript"/>
          <w:lang w:val="fr-FR"/>
        </w:rPr>
        <w:t>B</w:t>
      </w:r>
      <w:proofErr w:type="spellEnd"/>
      <w:r>
        <w:rPr>
          <w:lang w:val="fr-FR"/>
        </w:rPr>
        <w:tab/>
        <w:t>=</w:t>
      </w:r>
      <w:r>
        <w:rPr>
          <w:lang w:val="fr-FR"/>
        </w:rPr>
        <w:tab/>
        <w:t>0,4 s</w:t>
      </w:r>
      <w:r>
        <w:rPr>
          <w:lang w:val="fr-FR"/>
        </w:rPr>
        <w:tab/>
        <w:t xml:space="preserve">(Temps écoulé après le début de la manœuvre de changement de voie, correspondant au début de la décélération du véhicule en approche) </w:t>
      </w:r>
    </w:p>
    <w:p w14:paraId="62DB990C" w14:textId="77777777" w:rsidR="00845573" w:rsidRPr="0095783F" w:rsidRDefault="00845573" w:rsidP="00845573">
      <w:pPr>
        <w:pStyle w:val="SingleTxtG"/>
        <w:tabs>
          <w:tab w:val="left" w:pos="2835"/>
          <w:tab w:val="left" w:pos="3402"/>
        </w:tabs>
        <w:ind w:left="3969" w:hanging="1701"/>
      </w:pPr>
      <w:proofErr w:type="spellStart"/>
      <w:r>
        <w:rPr>
          <w:lang w:val="fr-FR"/>
        </w:rPr>
        <w:t>t</w:t>
      </w:r>
      <w:r w:rsidRPr="0014746C">
        <w:rPr>
          <w:vertAlign w:val="subscript"/>
          <w:lang w:val="fr-FR"/>
        </w:rPr>
        <w:t>G</w:t>
      </w:r>
      <w:proofErr w:type="spellEnd"/>
      <w:r>
        <w:rPr>
          <w:lang w:val="fr-FR"/>
        </w:rPr>
        <w:tab/>
        <w:t>=</w:t>
      </w:r>
      <w:r>
        <w:rPr>
          <w:lang w:val="fr-FR"/>
        </w:rPr>
        <w:tab/>
        <w:t>1 s</w:t>
      </w:r>
      <w:r>
        <w:rPr>
          <w:lang w:val="fr-FR"/>
        </w:rPr>
        <w:tab/>
        <w:t>(Écart restant entre les véhicules après la décélération du véhicule en approche). ».</w:t>
      </w:r>
    </w:p>
    <w:p w14:paraId="1D8B43D1" w14:textId="77777777" w:rsidR="00845573" w:rsidRPr="0095783F" w:rsidRDefault="00845573" w:rsidP="00845573">
      <w:pPr>
        <w:pStyle w:val="SingleTxtG"/>
        <w:rPr>
          <w:i/>
        </w:rPr>
      </w:pPr>
      <w:r>
        <w:rPr>
          <w:i/>
          <w:iCs/>
          <w:lang w:val="fr-FR"/>
        </w:rPr>
        <w:lastRenderedPageBreak/>
        <w:t>Annexe 8</w:t>
      </w:r>
    </w:p>
    <w:p w14:paraId="02B57655" w14:textId="77777777" w:rsidR="00845573" w:rsidRPr="0095783F" w:rsidRDefault="00845573" w:rsidP="00845573">
      <w:pPr>
        <w:pStyle w:val="SingleTxtG"/>
      </w:pPr>
      <w:r>
        <w:rPr>
          <w:i/>
          <w:iCs/>
          <w:lang w:val="fr-FR"/>
        </w:rPr>
        <w:t>Paragraphe 2</w:t>
      </w:r>
      <w:r>
        <w:rPr>
          <w:lang w:val="fr-FR"/>
        </w:rPr>
        <w:t>, lire :</w:t>
      </w:r>
    </w:p>
    <w:p w14:paraId="06894059" w14:textId="77777777" w:rsidR="00845573" w:rsidRPr="000A0AB1" w:rsidRDefault="00845573" w:rsidP="00845573">
      <w:pPr>
        <w:pStyle w:val="SingleTxtG"/>
        <w:ind w:left="2268" w:hanging="1134"/>
      </w:pPr>
      <w:r>
        <w:rPr>
          <w:lang w:val="fr-FR"/>
        </w:rPr>
        <w:t>« 2.</w:t>
      </w:r>
      <w:r>
        <w:rPr>
          <w:lang w:val="fr-FR"/>
        </w:rPr>
        <w:tab/>
        <w:t>Conditions d’essai</w:t>
      </w:r>
    </w:p>
    <w:p w14:paraId="5A7642EA" w14:textId="77777777" w:rsidR="00845573" w:rsidRPr="000A0AB1" w:rsidRDefault="00845573" w:rsidP="00845573">
      <w:pPr>
        <w:pStyle w:val="SingleTxtG"/>
        <w:ind w:left="2268"/>
      </w:pPr>
      <w:r>
        <w:rPr>
          <w:lang w:val="fr-FR"/>
        </w:rPr>
        <w:t xml:space="preserve">Les essais doivent se dérouler sur une chaussée plane et sèche en bitume ou en béton offrant une bonne adhérence. La température ambiante doit être comprise entre 0 °C et 45 °C. </w:t>
      </w:r>
    </w:p>
    <w:p w14:paraId="05F1FEC4" w14:textId="77777777" w:rsidR="00845573" w:rsidRPr="00183CDA" w:rsidRDefault="00845573" w:rsidP="00845573">
      <w:pPr>
        <w:pStyle w:val="SingleTxtG"/>
        <w:ind w:left="2268"/>
        <w:rPr>
          <w:bCs/>
        </w:rPr>
      </w:pPr>
      <w:r>
        <w:rPr>
          <w:lang w:val="fr-FR"/>
        </w:rPr>
        <w:t>À la demande du constructeur et avec l’accord du service technique, les essais peuvent être effectués dans des conditions d’essai différentes (conditions non optimales, par exemple sur une chaussée non sèche</w:t>
      </w:r>
      <w:r w:rsidRPr="000F20AF">
        <w:t xml:space="preserve"> </w:t>
      </w:r>
      <w:r w:rsidRPr="000F20AF">
        <w:rPr>
          <w:lang w:val="fr-FR"/>
        </w:rPr>
        <w:t>ou à une température ambiante inférieure à la température minimale prévue</w:t>
      </w:r>
      <w:r>
        <w:rPr>
          <w:lang w:val="fr-FR"/>
        </w:rPr>
        <w:t xml:space="preserve">), mais les prescriptions d’efficacité </w:t>
      </w:r>
      <w:r w:rsidRPr="00822D81">
        <w:rPr>
          <w:lang w:val="fr-FR"/>
        </w:rPr>
        <w:t xml:space="preserve">doivent être </w:t>
      </w:r>
      <w:r>
        <w:rPr>
          <w:lang w:val="fr-FR"/>
        </w:rPr>
        <w:t xml:space="preserve">respectées. ». </w:t>
      </w:r>
    </w:p>
    <w:p w14:paraId="2FC761BF" w14:textId="77777777" w:rsidR="00845573" w:rsidRPr="0095783F" w:rsidRDefault="00845573" w:rsidP="00845573">
      <w:pPr>
        <w:pStyle w:val="SingleTxtG"/>
      </w:pPr>
      <w:r>
        <w:rPr>
          <w:i/>
          <w:iCs/>
          <w:lang w:val="fr-FR"/>
        </w:rPr>
        <w:t>Paragraphe 3.5.1.2</w:t>
      </w:r>
      <w:r>
        <w:rPr>
          <w:lang w:val="fr-FR"/>
        </w:rPr>
        <w:t>, lire :</w:t>
      </w:r>
    </w:p>
    <w:p w14:paraId="0EFDAD3D" w14:textId="77777777" w:rsidR="00845573" w:rsidRPr="0095783F" w:rsidRDefault="00845573" w:rsidP="00845573">
      <w:pPr>
        <w:pStyle w:val="SingleTxtG"/>
        <w:ind w:left="2268" w:hanging="1134"/>
      </w:pPr>
      <w:r>
        <w:rPr>
          <w:lang w:val="fr-FR"/>
        </w:rPr>
        <w:t>« 3.5.1.2</w:t>
      </w:r>
      <w:r>
        <w:rPr>
          <w:lang w:val="fr-FR"/>
        </w:rPr>
        <w:tab/>
        <w:t>L’essai est satisfaisant si :</w:t>
      </w:r>
    </w:p>
    <w:p w14:paraId="34EBB043" w14:textId="07D02FC6" w:rsidR="00845573" w:rsidRPr="0095783F" w:rsidRDefault="00845573" w:rsidP="00845573">
      <w:pPr>
        <w:pStyle w:val="SingleTxtG"/>
        <w:ind w:left="2835" w:hanging="567"/>
      </w:pPr>
      <w:r>
        <w:rPr>
          <w:lang w:val="fr-FR"/>
        </w:rPr>
        <w:t>a)</w:t>
      </w:r>
      <w:r>
        <w:rPr>
          <w:lang w:val="fr-FR"/>
        </w:rPr>
        <w:tab/>
        <w:t>Le déplacement latéral en direction des marques ne commence pas dans un délai inférieur à 1 s après que la procédure de changement de voie a été engagée</w:t>
      </w:r>
      <w:r w:rsidR="00DE7792">
        <w:rPr>
          <w:lang w:val="fr-FR"/>
        </w:rPr>
        <w:t>,</w:t>
      </w:r>
    </w:p>
    <w:p w14:paraId="50D5CF88" w14:textId="2BEBD5E2" w:rsidR="00845573" w:rsidRPr="0095783F" w:rsidRDefault="00845573" w:rsidP="00845573">
      <w:pPr>
        <w:pStyle w:val="SingleTxtG"/>
        <w:ind w:left="2835" w:hanging="567"/>
      </w:pPr>
      <w:r>
        <w:rPr>
          <w:lang w:val="fr-FR"/>
        </w:rPr>
        <w:t>b)</w:t>
      </w:r>
      <w:r>
        <w:rPr>
          <w:lang w:val="fr-FR"/>
        </w:rPr>
        <w:tab/>
        <w:t>Le déplacement latéral en direction des marques et le déplacement latéral nécessaire pour achever la manœuvre de changement de voie s’effectuent en un seul mouvement continu</w:t>
      </w:r>
      <w:r w:rsidR="00DE7792">
        <w:rPr>
          <w:lang w:val="fr-FR"/>
        </w:rPr>
        <w:t>,</w:t>
      </w:r>
    </w:p>
    <w:p w14:paraId="35878267" w14:textId="77777777" w:rsidR="00845573" w:rsidRPr="0095783F" w:rsidRDefault="00845573" w:rsidP="00845573">
      <w:pPr>
        <w:pStyle w:val="SingleTxtG"/>
        <w:ind w:left="2835"/>
      </w:pPr>
      <w:r>
        <w:rPr>
          <w:lang w:val="fr-FR"/>
        </w:rPr>
        <w:t>[...]</w:t>
      </w:r>
    </w:p>
    <w:p w14:paraId="38295C90" w14:textId="03234B25" w:rsidR="005F0207" w:rsidRDefault="00845573" w:rsidP="00845573">
      <w:pPr>
        <w:pStyle w:val="SingleTxtG"/>
        <w:ind w:left="2835" w:hanging="567"/>
        <w:rPr>
          <w:lang w:val="fr-FR"/>
        </w:rPr>
      </w:pPr>
      <w:r>
        <w:rPr>
          <w:lang w:val="fr-FR"/>
        </w:rPr>
        <w:t>j)</w:t>
      </w:r>
      <w:r>
        <w:rPr>
          <w:lang w:val="fr-FR"/>
        </w:rPr>
        <w:tab/>
        <w:t>L’indicateur de direction n’est pas désactivé avant la fin de la manœuvre de changement de voie et cette désactivation n’intervient pas au-delà d’un délai de 0,5 s après la reprise de l’ACSF de catégorie B1, dans le cas où le déplacement latéral est engagé automatiquement et où la commande de l’indicateur de direction n’était pas complètement enclenchée (position verrouillée) pendant la manœuvre de changement de voie. ».</w:t>
      </w:r>
    </w:p>
    <w:p w14:paraId="7C066D34" w14:textId="318009B4" w:rsidR="00845573" w:rsidRPr="00845573" w:rsidRDefault="00845573" w:rsidP="00845573">
      <w:pPr>
        <w:pStyle w:val="SingleTxtG"/>
        <w:spacing w:before="240" w:after="0"/>
        <w:jc w:val="center"/>
        <w:rPr>
          <w:u w:val="single"/>
        </w:rPr>
      </w:pPr>
      <w:r>
        <w:tab/>
      </w:r>
      <w:r>
        <w:rPr>
          <w:u w:val="single"/>
        </w:rPr>
        <w:tab/>
      </w:r>
      <w:r>
        <w:rPr>
          <w:u w:val="single"/>
        </w:rPr>
        <w:tab/>
      </w:r>
      <w:r>
        <w:rPr>
          <w:u w:val="single"/>
        </w:rPr>
        <w:tab/>
      </w:r>
    </w:p>
    <w:sectPr w:rsidR="00845573" w:rsidRPr="00845573" w:rsidSect="00845573">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A25E" w14:textId="77777777" w:rsidR="00706059" w:rsidRDefault="00706059"/>
  </w:endnote>
  <w:endnote w:type="continuationSeparator" w:id="0">
    <w:p w14:paraId="45BE2D84" w14:textId="77777777" w:rsidR="00706059" w:rsidRDefault="00706059">
      <w:pPr>
        <w:pStyle w:val="Pieddepage"/>
      </w:pPr>
    </w:p>
  </w:endnote>
  <w:endnote w:type="continuationNotice" w:id="1">
    <w:p w14:paraId="0C059D72" w14:textId="77777777" w:rsidR="00706059" w:rsidRPr="00C451B9" w:rsidRDefault="0070605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2951" w14:textId="77777777" w:rsidR="00845573" w:rsidRPr="00845573" w:rsidRDefault="00845573" w:rsidP="00845573">
    <w:pPr>
      <w:pStyle w:val="Pieddepage"/>
      <w:tabs>
        <w:tab w:val="right" w:pos="9638"/>
      </w:tabs>
    </w:pPr>
    <w:r w:rsidRPr="00845573">
      <w:rPr>
        <w:b/>
        <w:sz w:val="18"/>
      </w:rPr>
      <w:fldChar w:fldCharType="begin"/>
    </w:r>
    <w:r w:rsidRPr="00845573">
      <w:rPr>
        <w:b/>
        <w:sz w:val="18"/>
      </w:rPr>
      <w:instrText xml:space="preserve"> PAGE  \* MERGEFORMAT </w:instrText>
    </w:r>
    <w:r w:rsidRPr="00845573">
      <w:rPr>
        <w:b/>
        <w:sz w:val="18"/>
      </w:rPr>
      <w:fldChar w:fldCharType="separate"/>
    </w:r>
    <w:r w:rsidRPr="00845573">
      <w:rPr>
        <w:b/>
        <w:noProof/>
        <w:sz w:val="18"/>
      </w:rPr>
      <w:t>2</w:t>
    </w:r>
    <w:r w:rsidRPr="00845573">
      <w:rPr>
        <w:b/>
        <w:sz w:val="18"/>
      </w:rPr>
      <w:fldChar w:fldCharType="end"/>
    </w:r>
    <w:r>
      <w:rPr>
        <w:b/>
        <w:sz w:val="18"/>
      </w:rPr>
      <w:tab/>
    </w:r>
    <w:r>
      <w:t>GE.22-03916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11FA" w14:textId="77777777" w:rsidR="00845573" w:rsidRPr="00845573" w:rsidRDefault="00845573" w:rsidP="00845573">
    <w:pPr>
      <w:pStyle w:val="Pieddepage"/>
      <w:tabs>
        <w:tab w:val="right" w:pos="9638"/>
      </w:tabs>
      <w:rPr>
        <w:b/>
        <w:sz w:val="18"/>
      </w:rPr>
    </w:pPr>
    <w:r>
      <w:t>GE.22-03916</w:t>
    </w:r>
    <w:r>
      <w:tab/>
    </w:r>
    <w:r w:rsidRPr="00845573">
      <w:rPr>
        <w:b/>
        <w:sz w:val="18"/>
      </w:rPr>
      <w:fldChar w:fldCharType="begin"/>
    </w:r>
    <w:r w:rsidRPr="00845573">
      <w:rPr>
        <w:b/>
        <w:sz w:val="18"/>
      </w:rPr>
      <w:instrText xml:space="preserve"> PAGE  \* MERGEFORMAT </w:instrText>
    </w:r>
    <w:r w:rsidRPr="00845573">
      <w:rPr>
        <w:b/>
        <w:sz w:val="18"/>
      </w:rPr>
      <w:fldChar w:fldCharType="separate"/>
    </w:r>
    <w:r w:rsidRPr="00845573">
      <w:rPr>
        <w:b/>
        <w:noProof/>
        <w:sz w:val="18"/>
      </w:rPr>
      <w:t>3</w:t>
    </w:r>
    <w:r w:rsidRPr="008455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512" w14:textId="426FAFFD" w:rsidR="00467F2C" w:rsidRPr="00845573" w:rsidRDefault="00845573" w:rsidP="0084557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BBB707E" wp14:editId="10D778E1">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22-03916  (F)</w:t>
    </w:r>
    <w:r>
      <w:rPr>
        <w:noProof/>
        <w:sz w:val="20"/>
      </w:rPr>
      <w:drawing>
        <wp:anchor distT="0" distB="0" distL="114300" distR="114300" simplePos="0" relativeHeight="251660288" behindDoc="0" locked="0" layoutInCell="1" allowOverlap="1" wp14:anchorId="120088F5" wp14:editId="3992CC7D">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180322    230322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51C3" w14:textId="77777777" w:rsidR="00706059" w:rsidRPr="00D27D5E" w:rsidRDefault="00706059" w:rsidP="00D27D5E">
      <w:pPr>
        <w:tabs>
          <w:tab w:val="right" w:pos="2155"/>
        </w:tabs>
        <w:spacing w:after="80"/>
        <w:ind w:left="680"/>
        <w:rPr>
          <w:u w:val="single"/>
        </w:rPr>
      </w:pPr>
      <w:r>
        <w:rPr>
          <w:u w:val="single"/>
        </w:rPr>
        <w:tab/>
      </w:r>
    </w:p>
  </w:footnote>
  <w:footnote w:type="continuationSeparator" w:id="0">
    <w:p w14:paraId="776A5471" w14:textId="77777777" w:rsidR="00706059" w:rsidRPr="00D171D4" w:rsidRDefault="00706059" w:rsidP="00D171D4">
      <w:pPr>
        <w:tabs>
          <w:tab w:val="right" w:pos="2155"/>
        </w:tabs>
        <w:spacing w:after="80"/>
        <w:ind w:left="680"/>
        <w:rPr>
          <w:u w:val="single"/>
        </w:rPr>
      </w:pPr>
      <w:r w:rsidRPr="00D171D4">
        <w:rPr>
          <w:u w:val="single"/>
        </w:rPr>
        <w:tab/>
      </w:r>
    </w:p>
  </w:footnote>
  <w:footnote w:type="continuationNotice" w:id="1">
    <w:p w14:paraId="52893209" w14:textId="77777777" w:rsidR="00706059" w:rsidRPr="00C451B9" w:rsidRDefault="00706059" w:rsidP="00C451B9">
      <w:pPr>
        <w:spacing w:line="240" w:lineRule="auto"/>
        <w:rPr>
          <w:sz w:val="2"/>
          <w:szCs w:val="2"/>
        </w:rPr>
      </w:pPr>
    </w:p>
  </w:footnote>
  <w:footnote w:id="2">
    <w:p w14:paraId="4FBBA034"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6BFDC34E" w14:textId="77777777" w:rsidR="00591072" w:rsidRPr="00591072" w:rsidRDefault="00591072" w:rsidP="00591072">
      <w:pPr>
        <w:pStyle w:val="Notedebasdepage"/>
      </w:pPr>
      <w:r w:rsidRPr="00845573">
        <w:tab/>
      </w:r>
      <w:r w:rsidRPr="00845573">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013A6E11"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399D36DA"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45C1" w14:textId="69F20F13" w:rsidR="00845573" w:rsidRPr="00845573" w:rsidRDefault="00845573">
    <w:pPr>
      <w:pStyle w:val="En-tte"/>
      <w:rPr>
        <w:lang w:val="en-US"/>
      </w:rPr>
    </w:pPr>
    <w:r>
      <w:fldChar w:fldCharType="begin"/>
    </w:r>
    <w:r w:rsidRPr="00845573">
      <w:rPr>
        <w:lang w:val="en-US"/>
      </w:rPr>
      <w:instrText xml:space="preserve"> TITLE  \* MERGEFORMAT </w:instrText>
    </w:r>
    <w:r>
      <w:fldChar w:fldCharType="separate"/>
    </w:r>
    <w:r w:rsidR="00FB07EC">
      <w:rPr>
        <w:lang w:val="en-US"/>
      </w:rPr>
      <w:t>E/ECE/324/Rev.1/Add.78/Rev.4/Amend.5</w:t>
    </w:r>
    <w:r>
      <w:fldChar w:fldCharType="end"/>
    </w:r>
    <w:r w:rsidRPr="00845573">
      <w:rPr>
        <w:lang w:val="en-US"/>
      </w:rPr>
      <w:br/>
    </w:r>
    <w:r>
      <w:fldChar w:fldCharType="begin"/>
    </w:r>
    <w:r w:rsidRPr="00845573">
      <w:rPr>
        <w:lang w:val="en-US"/>
      </w:rPr>
      <w:instrText xml:space="preserve"> KEYWORDS  \* MERGEFORMAT </w:instrText>
    </w:r>
    <w:r>
      <w:fldChar w:fldCharType="separate"/>
    </w:r>
    <w:r w:rsidR="00FB07EC">
      <w:rPr>
        <w:lang w:val="en-US"/>
      </w:rPr>
      <w:t>E/ECE/TRANS/505/Rev.1/Add.78/Rev.4/Amend.5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8AEE" w14:textId="498B4187" w:rsidR="00845573" w:rsidRPr="00845573" w:rsidRDefault="00845573" w:rsidP="00845573">
    <w:pPr>
      <w:pStyle w:val="En-tte"/>
      <w:jc w:val="right"/>
      <w:rPr>
        <w:lang w:val="en-US"/>
      </w:rPr>
    </w:pPr>
    <w:r>
      <w:fldChar w:fldCharType="begin"/>
    </w:r>
    <w:r w:rsidRPr="00845573">
      <w:rPr>
        <w:lang w:val="en-US"/>
      </w:rPr>
      <w:instrText xml:space="preserve"> TITLE  \* MERGEFORMAT </w:instrText>
    </w:r>
    <w:r>
      <w:fldChar w:fldCharType="separate"/>
    </w:r>
    <w:r w:rsidR="00FB07EC">
      <w:rPr>
        <w:lang w:val="en-US"/>
      </w:rPr>
      <w:t>E/ECE/324/Rev.1/Add.78/Rev.4/Amend.5</w:t>
    </w:r>
    <w:r>
      <w:fldChar w:fldCharType="end"/>
    </w:r>
    <w:r w:rsidRPr="00845573">
      <w:rPr>
        <w:lang w:val="en-US"/>
      </w:rPr>
      <w:br/>
    </w:r>
    <w:r>
      <w:fldChar w:fldCharType="begin"/>
    </w:r>
    <w:r w:rsidRPr="00845573">
      <w:rPr>
        <w:lang w:val="en-US"/>
      </w:rPr>
      <w:instrText xml:space="preserve"> KEYWORDS  \* MERGEFORMAT </w:instrText>
    </w:r>
    <w:r>
      <w:fldChar w:fldCharType="separate"/>
    </w:r>
    <w:r w:rsidR="00FB07EC">
      <w:rPr>
        <w:lang w:val="en-US"/>
      </w:rPr>
      <w:t>E/ECE/TRANS/505/Rev.1/Add.78/Rev.4/Amend.5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5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06059"/>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45573"/>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1975"/>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E7792"/>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7EC"/>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54500D1"/>
  <w15:docId w15:val="{A50CBFDC-919D-4EE8-BE46-1F611CF0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0FDEE-783C-4B88-B3F4-596F1E42203C}"/>
</file>

<file path=customXml/itemProps2.xml><?xml version="1.0" encoding="utf-8"?>
<ds:datastoreItem xmlns:ds="http://schemas.openxmlformats.org/officeDocument/2006/customXml" ds:itemID="{87EF5C06-1B35-4C6D-9145-F67A858566F7}"/>
</file>

<file path=docProps/app.xml><?xml version="1.0" encoding="utf-8"?>
<Properties xmlns="http://schemas.openxmlformats.org/officeDocument/2006/extended-properties" xmlns:vt="http://schemas.openxmlformats.org/officeDocument/2006/docPropsVTypes">
  <Template>E_ECE_324.dotm</Template>
  <TotalTime>1</TotalTime>
  <Pages>3</Pages>
  <Words>676</Words>
  <Characters>4397</Characters>
  <Application>Microsoft Office Word</Application>
  <DocSecurity>0</DocSecurity>
  <Lines>439</Lines>
  <Paragraphs>298</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E/ECE/324/Rev.1/Add.78/Rev.4/Amend.5</dc:title>
  <dc:creator>Maud DARICHE</dc:creator>
  <cp:keywords>E/ECE/TRANS/505/Rev.1/Add.78/Rev.4/Amend.5</cp:keywords>
  <cp:lastModifiedBy>Maud Dariche</cp:lastModifiedBy>
  <cp:revision>3</cp:revision>
  <cp:lastPrinted>2022-03-23T11:28:00Z</cp:lastPrinted>
  <dcterms:created xsi:type="dcterms:W3CDTF">2022-03-23T11:28:00Z</dcterms:created>
  <dcterms:modified xsi:type="dcterms:W3CDTF">2022-03-23T11:29:00Z</dcterms:modified>
</cp:coreProperties>
</file>