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B51D1" w:rsidRPr="003B51D1"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3B51D1"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9044F91" w:rsidR="008B60F7" w:rsidRPr="003B51D1" w:rsidRDefault="008B60F7" w:rsidP="00AA0743">
            <w:pPr>
              <w:jc w:val="right"/>
            </w:pPr>
            <w:r w:rsidRPr="003B51D1">
              <w:rPr>
                <w:sz w:val="40"/>
              </w:rPr>
              <w:t>E</w:t>
            </w:r>
            <w:r w:rsidRPr="003B51D1">
              <w:t>/ECE/324/</w:t>
            </w:r>
            <w:r w:rsidR="000E6FB0" w:rsidRPr="003B51D1">
              <w:t>Rev.1/</w:t>
            </w:r>
            <w:r w:rsidRPr="003B51D1">
              <w:t>Add.</w:t>
            </w:r>
            <w:r w:rsidR="00146F3E" w:rsidRPr="003B51D1">
              <w:t>82</w:t>
            </w:r>
            <w:r w:rsidRPr="003B51D1">
              <w:t>/</w:t>
            </w:r>
            <w:r w:rsidR="003F5657" w:rsidRPr="003B51D1">
              <w:t>Rev.</w:t>
            </w:r>
            <w:r w:rsidR="00AA0743" w:rsidRPr="003B51D1">
              <w:t>5</w:t>
            </w:r>
            <w:r w:rsidR="003F5657" w:rsidRPr="003B51D1">
              <w:t>/</w:t>
            </w:r>
            <w:r w:rsidRPr="003B51D1">
              <w:t>Amend.</w:t>
            </w:r>
            <w:r w:rsidR="006050E5" w:rsidRPr="003B51D1">
              <w:t>1</w:t>
            </w:r>
            <w:r w:rsidR="0055533B" w:rsidRPr="003B51D1">
              <w:t>3</w:t>
            </w:r>
            <w:r w:rsidRPr="003B51D1">
              <w:t>−</w:t>
            </w:r>
            <w:r w:rsidRPr="003B51D1">
              <w:rPr>
                <w:sz w:val="40"/>
              </w:rPr>
              <w:t>E</w:t>
            </w:r>
            <w:r w:rsidRPr="003B51D1">
              <w:t>/ECE/TRANS/505/</w:t>
            </w:r>
            <w:r w:rsidR="000E6FB0" w:rsidRPr="003B51D1">
              <w:t>Rev.1</w:t>
            </w:r>
            <w:r w:rsidR="003F5657" w:rsidRPr="003B51D1">
              <w:t>/Add.</w:t>
            </w:r>
            <w:r w:rsidR="008500BE" w:rsidRPr="003B51D1">
              <w:t>8</w:t>
            </w:r>
            <w:r w:rsidR="00146F3E" w:rsidRPr="003B51D1">
              <w:t>2</w:t>
            </w:r>
            <w:r w:rsidR="003F5657" w:rsidRPr="003B51D1">
              <w:t>/Rev.</w:t>
            </w:r>
            <w:r w:rsidR="00AA0743" w:rsidRPr="003B51D1">
              <w:t>5</w:t>
            </w:r>
            <w:r w:rsidR="003F5657" w:rsidRPr="003B51D1">
              <w:t>/Amend.</w:t>
            </w:r>
            <w:r w:rsidR="006050E5" w:rsidRPr="003B51D1">
              <w:t>1</w:t>
            </w:r>
            <w:r w:rsidR="0055533B" w:rsidRPr="003B51D1">
              <w:t>3</w:t>
            </w:r>
          </w:p>
        </w:tc>
      </w:tr>
      <w:tr w:rsidR="003B51D1" w:rsidRPr="003B51D1"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3B51D1"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3B51D1"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3B51D1" w:rsidRDefault="008B60F7" w:rsidP="008B60F7">
            <w:pPr>
              <w:spacing w:before="120"/>
              <w:rPr>
                <w:highlight w:val="yellow"/>
              </w:rPr>
            </w:pPr>
          </w:p>
          <w:p w14:paraId="5F566627" w14:textId="77777777" w:rsidR="008B60F7" w:rsidRPr="003B51D1" w:rsidRDefault="008B60F7" w:rsidP="008B60F7">
            <w:pPr>
              <w:spacing w:before="120"/>
              <w:rPr>
                <w:highlight w:val="yellow"/>
              </w:rPr>
            </w:pPr>
          </w:p>
          <w:p w14:paraId="1099C328" w14:textId="5628701F" w:rsidR="008B60F7" w:rsidRPr="003B51D1" w:rsidRDefault="003B51D1" w:rsidP="002B7397">
            <w:pPr>
              <w:spacing w:before="120"/>
              <w:rPr>
                <w:highlight w:val="yellow"/>
              </w:rPr>
            </w:pPr>
            <w:r>
              <w:t>21 March</w:t>
            </w:r>
            <w:r w:rsidR="0055533B" w:rsidRPr="003B51D1">
              <w:t xml:space="preserve"> 2022</w:t>
            </w:r>
          </w:p>
        </w:tc>
      </w:tr>
    </w:tbl>
    <w:p w14:paraId="445927DA" w14:textId="77777777" w:rsidR="008B60F7" w:rsidRPr="003B51D1" w:rsidRDefault="008B60F7" w:rsidP="008B60F7">
      <w:pPr>
        <w:pStyle w:val="HChG"/>
        <w:spacing w:before="240" w:after="120"/>
      </w:pPr>
      <w:r w:rsidRPr="003B51D1">
        <w:tab/>
      </w:r>
      <w:r w:rsidRPr="003B51D1">
        <w:tab/>
      </w:r>
      <w:bookmarkStart w:id="3" w:name="_Toc340666199"/>
      <w:bookmarkStart w:id="4" w:name="_Toc340745062"/>
      <w:r w:rsidRPr="003B51D1">
        <w:t>Agreement</w:t>
      </w:r>
      <w:bookmarkEnd w:id="3"/>
      <w:bookmarkEnd w:id="4"/>
    </w:p>
    <w:p w14:paraId="2B5AB43B" w14:textId="77777777" w:rsidR="008B60F7" w:rsidRPr="003B51D1" w:rsidRDefault="008B60F7" w:rsidP="008B60F7">
      <w:pPr>
        <w:pStyle w:val="H1G"/>
        <w:spacing w:before="240"/>
      </w:pPr>
      <w:r w:rsidRPr="003B51D1">
        <w:rPr>
          <w:rStyle w:val="H1GChar"/>
        </w:rPr>
        <w:tab/>
      </w:r>
      <w:r w:rsidRPr="003B51D1">
        <w:rPr>
          <w:rStyle w:val="H1GChar"/>
        </w:rPr>
        <w:tab/>
      </w:r>
      <w:r w:rsidRPr="003B51D1">
        <w:t>Concerning the</w:t>
      </w:r>
      <w:r w:rsidRPr="003B51D1">
        <w:rPr>
          <w:smallCaps/>
        </w:rPr>
        <w:t xml:space="preserve"> </w:t>
      </w:r>
      <w:r w:rsidRPr="003B51D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B51D1">
        <w:rPr>
          <w:rStyle w:val="FootnoteReference"/>
          <w:b w:val="0"/>
          <w:sz w:val="20"/>
          <w:vertAlign w:val="baseline"/>
        </w:rPr>
        <w:footnoteReference w:customMarkFollows="1" w:id="2"/>
        <w:t>*</w:t>
      </w:r>
    </w:p>
    <w:p w14:paraId="51C113B3" w14:textId="77777777" w:rsidR="008B60F7" w:rsidRPr="003B51D1" w:rsidRDefault="008B60F7" w:rsidP="008B60F7">
      <w:pPr>
        <w:pStyle w:val="SingleTxtG"/>
        <w:spacing w:before="120"/>
      </w:pPr>
      <w:r w:rsidRPr="003B51D1">
        <w:t>(Revision 3, including the amendments which entered into force on 14 September 2017)</w:t>
      </w:r>
    </w:p>
    <w:p w14:paraId="771D92D0" w14:textId="77777777" w:rsidR="008B60F7" w:rsidRPr="003B51D1" w:rsidRDefault="008B60F7" w:rsidP="008B60F7">
      <w:pPr>
        <w:pStyle w:val="H1G"/>
        <w:spacing w:before="120"/>
        <w:ind w:left="0" w:right="0" w:firstLine="0"/>
        <w:jc w:val="center"/>
      </w:pPr>
      <w:r w:rsidRPr="003B51D1">
        <w:t>_________</w:t>
      </w:r>
    </w:p>
    <w:p w14:paraId="44963F22" w14:textId="28AA6765" w:rsidR="008B60F7" w:rsidRPr="003B51D1" w:rsidRDefault="008B60F7" w:rsidP="008B60F7">
      <w:pPr>
        <w:pStyle w:val="H1G"/>
        <w:spacing w:before="240" w:after="120"/>
      </w:pPr>
      <w:r w:rsidRPr="003B51D1">
        <w:tab/>
      </w:r>
      <w:r w:rsidRPr="003B51D1">
        <w:tab/>
        <w:t xml:space="preserve">Addendum </w:t>
      </w:r>
      <w:r w:rsidR="00ED7EFB" w:rsidRPr="003B51D1">
        <w:t>8</w:t>
      </w:r>
      <w:r w:rsidR="00413591" w:rsidRPr="003B51D1">
        <w:t>2</w:t>
      </w:r>
      <w:r w:rsidRPr="003B51D1">
        <w:t xml:space="preserve"> – UN Regulation No. </w:t>
      </w:r>
      <w:r w:rsidR="00ED7EFB" w:rsidRPr="003B51D1">
        <w:t>83</w:t>
      </w:r>
    </w:p>
    <w:p w14:paraId="5300C1B5" w14:textId="6788CB5B" w:rsidR="008B60F7" w:rsidRPr="003B51D1" w:rsidRDefault="008B60F7" w:rsidP="008B60F7">
      <w:pPr>
        <w:pStyle w:val="H1G"/>
        <w:spacing w:before="240"/>
      </w:pPr>
      <w:r w:rsidRPr="003B51D1">
        <w:tab/>
      </w:r>
      <w:r w:rsidRPr="003B51D1">
        <w:tab/>
      </w:r>
      <w:r w:rsidR="003F5657" w:rsidRPr="003B51D1">
        <w:t xml:space="preserve">Revision </w:t>
      </w:r>
      <w:r w:rsidR="00AA0743" w:rsidRPr="003B51D1">
        <w:t>5</w:t>
      </w:r>
      <w:r w:rsidR="003F5657" w:rsidRPr="003B51D1">
        <w:t xml:space="preserve"> - </w:t>
      </w:r>
      <w:r w:rsidRPr="003B51D1">
        <w:t xml:space="preserve">Amendment </w:t>
      </w:r>
      <w:r w:rsidR="006050E5" w:rsidRPr="003B51D1">
        <w:t>1</w:t>
      </w:r>
      <w:r w:rsidR="006B17AB" w:rsidRPr="003B51D1">
        <w:t>3</w:t>
      </w:r>
    </w:p>
    <w:p w14:paraId="5F142C19" w14:textId="130AE568" w:rsidR="008B60F7" w:rsidRPr="003B51D1" w:rsidRDefault="005860C5" w:rsidP="008B60F7">
      <w:pPr>
        <w:pStyle w:val="SingleTxtG"/>
        <w:spacing w:after="360"/>
        <w:rPr>
          <w:spacing w:val="-2"/>
        </w:rPr>
      </w:pPr>
      <w:r w:rsidRPr="003B51D1">
        <w:rPr>
          <w:spacing w:val="-2"/>
        </w:rPr>
        <w:t xml:space="preserve">Supplement </w:t>
      </w:r>
      <w:r w:rsidR="00ED7EFB" w:rsidRPr="003B51D1">
        <w:rPr>
          <w:spacing w:val="-2"/>
        </w:rPr>
        <w:t>1</w:t>
      </w:r>
      <w:r w:rsidR="006B17AB" w:rsidRPr="003B51D1">
        <w:rPr>
          <w:spacing w:val="-2"/>
        </w:rPr>
        <w:t>3</w:t>
      </w:r>
      <w:r w:rsidRPr="003B51D1">
        <w:rPr>
          <w:spacing w:val="-2"/>
        </w:rPr>
        <w:t xml:space="preserve"> to the </w:t>
      </w:r>
      <w:r w:rsidR="003F5657" w:rsidRPr="003B51D1">
        <w:rPr>
          <w:spacing w:val="-2"/>
        </w:rPr>
        <w:t>0</w:t>
      </w:r>
      <w:r w:rsidR="00AA0743" w:rsidRPr="003B51D1">
        <w:rPr>
          <w:spacing w:val="-2"/>
        </w:rPr>
        <w:t>7</w:t>
      </w:r>
      <w:r w:rsidR="003F5657" w:rsidRPr="003B51D1">
        <w:rPr>
          <w:spacing w:val="-2"/>
        </w:rPr>
        <w:t xml:space="preserve"> series of amendments</w:t>
      </w:r>
      <w:r w:rsidR="008B60F7" w:rsidRPr="003B51D1">
        <w:rPr>
          <w:spacing w:val="-2"/>
        </w:rPr>
        <w:t xml:space="preserve"> – Date of entry into force: </w:t>
      </w:r>
      <w:r w:rsidR="006B17AB" w:rsidRPr="003B51D1">
        <w:t>7 January 2022</w:t>
      </w:r>
    </w:p>
    <w:p w14:paraId="285A6550" w14:textId="7859DD87" w:rsidR="007842B3" w:rsidRPr="003B51D1" w:rsidRDefault="008B60F7" w:rsidP="00461688">
      <w:pPr>
        <w:pStyle w:val="H1G"/>
        <w:spacing w:before="120" w:after="120" w:line="240" w:lineRule="exact"/>
        <w:ind w:left="1138" w:right="1138" w:hanging="1138"/>
      </w:pPr>
      <w:r w:rsidRPr="003B51D1">
        <w:rPr>
          <w:lang w:val="en-US"/>
        </w:rPr>
        <w:tab/>
      </w:r>
      <w:r w:rsidRPr="003B51D1">
        <w:rPr>
          <w:lang w:val="en-US"/>
        </w:rPr>
        <w:tab/>
      </w:r>
      <w:r w:rsidR="00ED7EFB" w:rsidRPr="003B51D1">
        <w:t>Uniform provisions concerning the approval of vehicles with regard to the emission of pollutants according to engine fuel requirements</w:t>
      </w:r>
    </w:p>
    <w:p w14:paraId="45A138D6" w14:textId="0BA58CA9" w:rsidR="008B60F7" w:rsidRPr="003B51D1" w:rsidRDefault="008B60F7" w:rsidP="008B60F7">
      <w:pPr>
        <w:pStyle w:val="SingleTxtG"/>
        <w:spacing w:after="40"/>
        <w:rPr>
          <w:lang w:eastAsia="en-GB"/>
        </w:rPr>
      </w:pPr>
      <w:r w:rsidRPr="003B51D1">
        <w:rPr>
          <w:spacing w:val="-4"/>
          <w:lang w:eastAsia="en-GB"/>
        </w:rPr>
        <w:t>This document is meant purely as documentation tool. The authentic and legal binding text is:</w:t>
      </w:r>
      <w:r w:rsidRPr="003B51D1">
        <w:rPr>
          <w:lang w:eastAsia="en-GB"/>
        </w:rPr>
        <w:t xml:space="preserve"> </w:t>
      </w:r>
      <w:r w:rsidRPr="003B51D1">
        <w:rPr>
          <w:spacing w:val="-6"/>
          <w:lang w:eastAsia="en-GB"/>
        </w:rPr>
        <w:t>ECE/TRANS/WP.29/20</w:t>
      </w:r>
      <w:r w:rsidR="007B1EC7" w:rsidRPr="003B51D1">
        <w:rPr>
          <w:spacing w:val="-6"/>
          <w:lang w:eastAsia="en-GB"/>
        </w:rPr>
        <w:t>2</w:t>
      </w:r>
      <w:r w:rsidR="006B17AB" w:rsidRPr="003B51D1">
        <w:rPr>
          <w:spacing w:val="-6"/>
          <w:lang w:eastAsia="en-GB"/>
        </w:rPr>
        <w:t>1</w:t>
      </w:r>
      <w:r w:rsidRPr="003B51D1">
        <w:rPr>
          <w:spacing w:val="-6"/>
          <w:lang w:eastAsia="en-GB"/>
        </w:rPr>
        <w:t>/</w:t>
      </w:r>
      <w:r w:rsidR="00193848" w:rsidRPr="003B51D1">
        <w:rPr>
          <w:spacing w:val="-6"/>
          <w:lang w:eastAsia="en-GB"/>
        </w:rPr>
        <w:t>70</w:t>
      </w:r>
      <w:r w:rsidR="00BF62AB" w:rsidRPr="003B51D1">
        <w:rPr>
          <w:spacing w:val="-6"/>
          <w:lang w:eastAsia="en-GB"/>
        </w:rPr>
        <w:t>.</w:t>
      </w:r>
    </w:p>
    <w:p w14:paraId="550E56C3" w14:textId="77777777" w:rsidR="008B60F7" w:rsidRPr="003B51D1" w:rsidRDefault="008B60F7" w:rsidP="008B60F7">
      <w:pPr>
        <w:suppressAutoHyphens w:val="0"/>
        <w:spacing w:line="240" w:lineRule="auto"/>
        <w:jc w:val="center"/>
        <w:rPr>
          <w:b/>
          <w:sz w:val="24"/>
        </w:rPr>
      </w:pPr>
      <w:r w:rsidRPr="003B51D1">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3B51D1">
        <w:rPr>
          <w:b/>
          <w:sz w:val="24"/>
        </w:rPr>
        <w:t>_________</w:t>
      </w:r>
    </w:p>
    <w:p w14:paraId="3C642F16" w14:textId="77777777" w:rsidR="00D51D38" w:rsidRPr="003B51D1" w:rsidRDefault="008B60F7" w:rsidP="004F5FAF">
      <w:pPr>
        <w:spacing w:after="120"/>
        <w:ind w:left="1134" w:right="1134"/>
        <w:jc w:val="center"/>
        <w:rPr>
          <w:b/>
          <w:sz w:val="24"/>
        </w:rPr>
      </w:pPr>
      <w:r w:rsidRPr="003B51D1">
        <w:rPr>
          <w:b/>
          <w:sz w:val="24"/>
        </w:rPr>
        <w:t>UNITED NATIONS</w:t>
      </w:r>
      <w:bookmarkEnd w:id="1"/>
    </w:p>
    <w:p w14:paraId="3EA4ABCD" w14:textId="77777777" w:rsidR="00BA57B3" w:rsidRDefault="007B1EC7" w:rsidP="00BA57B3">
      <w:pPr>
        <w:spacing w:after="120"/>
        <w:ind w:left="1134" w:right="1134"/>
        <w:jc w:val="both"/>
        <w:rPr>
          <w:rFonts w:eastAsia="MS Mincho"/>
          <w:i/>
          <w:lang w:val="en-US"/>
        </w:rPr>
      </w:pPr>
      <w:r w:rsidRPr="003B51D1">
        <w:rPr>
          <w:b/>
          <w:sz w:val="24"/>
        </w:rPr>
        <w:br w:type="page"/>
      </w:r>
      <w:bookmarkEnd w:id="2"/>
      <w:r w:rsidR="00BA57B3" w:rsidRPr="0063242D">
        <w:rPr>
          <w:rFonts w:eastAsia="MS Mincho"/>
          <w:i/>
          <w:lang w:val="en-US"/>
        </w:rPr>
        <w:lastRenderedPageBreak/>
        <w:t>Appendix 6</w:t>
      </w:r>
    </w:p>
    <w:p w14:paraId="4E5FAAB8" w14:textId="77777777" w:rsidR="00BA57B3" w:rsidRPr="0063242D" w:rsidRDefault="00BA57B3" w:rsidP="00BA57B3">
      <w:pPr>
        <w:spacing w:after="120"/>
        <w:ind w:left="1134" w:right="1134"/>
        <w:jc w:val="both"/>
        <w:rPr>
          <w:rFonts w:eastAsia="MS Mincho"/>
          <w:iCs/>
          <w:lang w:eastAsia="ja-JP"/>
        </w:rPr>
      </w:pPr>
      <w:r>
        <w:rPr>
          <w:rFonts w:eastAsia="MS Mincho"/>
          <w:i/>
          <w:lang w:val="en-US"/>
        </w:rPr>
        <w:t>P</w:t>
      </w:r>
      <w:r w:rsidRPr="0063242D">
        <w:rPr>
          <w:rFonts w:eastAsia="MS Mincho"/>
          <w:i/>
          <w:lang w:val="en-US"/>
        </w:rPr>
        <w:t>aragraph 6.2.</w:t>
      </w:r>
      <w:r w:rsidRPr="0063242D">
        <w:rPr>
          <w:rFonts w:eastAsia="MS Mincho" w:hint="eastAsia"/>
          <w:i/>
          <w:lang w:eastAsia="ja-JP"/>
        </w:rPr>
        <w:t>,</w:t>
      </w:r>
      <w:r w:rsidRPr="0063242D">
        <w:rPr>
          <w:rFonts w:eastAsia="MS Mincho" w:hint="eastAsia"/>
          <w:lang w:eastAsia="ja-JP"/>
        </w:rPr>
        <w:t xml:space="preserve"> </w:t>
      </w:r>
      <w:r w:rsidRPr="0063242D">
        <w:rPr>
          <w:rFonts w:eastAsia="MS Mincho"/>
          <w:iCs/>
          <w:lang w:eastAsia="ja-JP"/>
        </w:rPr>
        <w:t xml:space="preserve">delete second subparagraph and </w:t>
      </w:r>
      <w:r w:rsidRPr="0063242D">
        <w:rPr>
          <w:rFonts w:eastAsia="MS Mincho" w:hint="eastAsia"/>
          <w:iCs/>
          <w:lang w:eastAsia="ja-JP"/>
        </w:rPr>
        <w:t xml:space="preserve">amend </w:t>
      </w:r>
      <w:r w:rsidRPr="0063242D">
        <w:rPr>
          <w:rFonts w:eastAsia="MS Mincho"/>
          <w:iCs/>
          <w:lang w:eastAsia="ja-JP"/>
        </w:rPr>
        <w:t>to read</w:t>
      </w:r>
      <w:r w:rsidRPr="0063242D">
        <w:rPr>
          <w:rFonts w:eastAsia="MS Mincho" w:hint="eastAsia"/>
          <w:iCs/>
          <w:lang w:eastAsia="ja-JP"/>
        </w:rPr>
        <w:t>:</w:t>
      </w:r>
    </w:p>
    <w:p w14:paraId="4725271D" w14:textId="77777777" w:rsidR="00BA57B3" w:rsidRPr="0063242D" w:rsidRDefault="00BA57B3" w:rsidP="00BA57B3">
      <w:pPr>
        <w:widowControl w:val="0"/>
        <w:suppressAutoHyphens w:val="0"/>
        <w:autoSpaceDE w:val="0"/>
        <w:autoSpaceDN w:val="0"/>
        <w:adjustRightInd w:val="0"/>
        <w:spacing w:after="120" w:line="240" w:lineRule="auto"/>
        <w:ind w:leftChars="567" w:left="2268" w:right="1134" w:hangingChars="567" w:hanging="1134"/>
        <w:jc w:val="both"/>
        <w:rPr>
          <w:rFonts w:eastAsia="MS Mincho"/>
          <w:lang w:val="en-US"/>
        </w:rPr>
      </w:pPr>
      <w:r>
        <w:rPr>
          <w:rFonts w:eastAsia="MS Mincho"/>
          <w:lang w:val="en-US"/>
        </w:rPr>
        <w:t>"</w:t>
      </w:r>
      <w:r w:rsidRPr="0063242D">
        <w:rPr>
          <w:rFonts w:eastAsia="MS Mincho"/>
          <w:lang w:val="en-US"/>
        </w:rPr>
        <w:t xml:space="preserve">6.2. </w:t>
      </w:r>
      <w:r w:rsidRPr="0063242D">
        <w:rPr>
          <w:rFonts w:eastAsia="MS Mincho"/>
          <w:lang w:val="en-US"/>
        </w:rPr>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activation of the driver inducement system as referred to in paragraph 8.3. below, when the situations referred to in paragraphs 4.2., 5.4. or 5.5. above occur.</w:t>
      </w:r>
    </w:p>
    <w:p w14:paraId="775A6E4E" w14:textId="77777777" w:rsidR="00BA57B3" w:rsidRPr="0063242D" w:rsidRDefault="00BA57B3" w:rsidP="00BA57B3">
      <w:pPr>
        <w:widowControl w:val="0"/>
        <w:suppressAutoHyphens w:val="0"/>
        <w:autoSpaceDE w:val="0"/>
        <w:autoSpaceDN w:val="0"/>
        <w:adjustRightInd w:val="0"/>
        <w:spacing w:after="120" w:line="240" w:lineRule="auto"/>
        <w:ind w:leftChars="1134" w:left="2268" w:right="1134"/>
        <w:jc w:val="both"/>
        <w:rPr>
          <w:rFonts w:eastAsia="MS Mincho"/>
          <w:lang w:val="en-US"/>
        </w:rPr>
      </w:pPr>
      <w:r w:rsidRPr="0063242D">
        <w:rPr>
          <w:rFonts w:eastAsia="MS Mincho"/>
          <w:lang w:val="en-US"/>
        </w:rPr>
        <w:t>For the purposes of this paragraph these situations are presumed to occur if the applicable NOx OBD threshold limit of the tables set out in paragraph 3.3.2. of Annex 11 to this Regulation is exceeded.</w:t>
      </w:r>
    </w:p>
    <w:p w14:paraId="6346A051" w14:textId="77777777" w:rsidR="00BA57B3" w:rsidRDefault="00BA57B3" w:rsidP="00BA57B3">
      <w:pPr>
        <w:spacing w:after="120"/>
        <w:ind w:left="2268" w:right="1134"/>
        <w:jc w:val="both"/>
        <w:rPr>
          <w:rFonts w:eastAsia="MS Mincho"/>
          <w:lang w:val="en-US"/>
        </w:rPr>
      </w:pPr>
      <w:r w:rsidRPr="0063242D">
        <w:rPr>
          <w:rFonts w:eastAsia="MS Mincho"/>
          <w:lang w:val="en-US"/>
        </w:rPr>
        <w:t>The NOx emissions during the test to demonstrate compliance with these requirements shall be no more than 20 per cent higher than the above threshold.</w:t>
      </w:r>
      <w:r>
        <w:rPr>
          <w:rFonts w:eastAsia="MS Mincho"/>
          <w:lang w:val="en-US"/>
        </w:rPr>
        <w:t>"</w:t>
      </w:r>
    </w:p>
    <w:p w14:paraId="2781388A" w14:textId="77777777" w:rsidR="00BA57B3" w:rsidRDefault="00BA57B3" w:rsidP="00BA57B3">
      <w:pPr>
        <w:spacing w:after="120"/>
        <w:ind w:left="1134" w:right="1134"/>
        <w:jc w:val="both"/>
        <w:rPr>
          <w:rFonts w:eastAsia="MS Mincho"/>
          <w:i/>
          <w:lang w:val="en-US"/>
        </w:rPr>
      </w:pPr>
      <w:r w:rsidRPr="00094785">
        <w:rPr>
          <w:rFonts w:eastAsia="MS Mincho"/>
          <w:i/>
          <w:lang w:val="en-US"/>
        </w:rPr>
        <w:t xml:space="preserve">Annex </w:t>
      </w:r>
      <w:r w:rsidRPr="00094785">
        <w:rPr>
          <w:rFonts w:eastAsia="MS Mincho" w:hint="eastAsia"/>
          <w:i/>
          <w:lang w:val="en-US"/>
        </w:rPr>
        <w:t>4a</w:t>
      </w:r>
      <w:r>
        <w:rPr>
          <w:rFonts w:eastAsia="MS Mincho"/>
          <w:i/>
          <w:lang w:val="en-US"/>
        </w:rPr>
        <w:t xml:space="preserve"> - </w:t>
      </w:r>
      <w:r w:rsidRPr="00094785">
        <w:rPr>
          <w:rFonts w:eastAsia="MS Mincho"/>
          <w:i/>
          <w:lang w:val="en-US"/>
        </w:rPr>
        <w:t>Appendix 7b</w:t>
      </w:r>
    </w:p>
    <w:p w14:paraId="2362DC4D" w14:textId="77777777" w:rsidR="00BA57B3" w:rsidRPr="00094785" w:rsidRDefault="00BA57B3" w:rsidP="00BA57B3">
      <w:pPr>
        <w:spacing w:after="120"/>
        <w:ind w:left="1134" w:right="1134"/>
        <w:jc w:val="both"/>
        <w:rPr>
          <w:rFonts w:eastAsia="MS Mincho"/>
          <w:iCs/>
          <w:lang w:val="en-US"/>
        </w:rPr>
      </w:pPr>
      <w:r>
        <w:rPr>
          <w:rFonts w:eastAsia="MS Mincho"/>
          <w:i/>
          <w:lang w:val="en-US"/>
        </w:rPr>
        <w:t>P</w:t>
      </w:r>
      <w:r w:rsidRPr="00094785">
        <w:rPr>
          <w:rFonts w:eastAsia="MS Mincho"/>
          <w:i/>
          <w:lang w:val="en-US"/>
        </w:rPr>
        <w:t xml:space="preserve">aragraph 2.1., </w:t>
      </w:r>
      <w:r w:rsidRPr="00094785">
        <w:rPr>
          <w:rFonts w:eastAsia="MS Mincho"/>
          <w:iCs/>
          <w:lang w:val="en-US"/>
        </w:rPr>
        <w:t>amend to read:</w:t>
      </w:r>
    </w:p>
    <w:p w14:paraId="22AA4B78" w14:textId="77777777" w:rsidR="00BA57B3" w:rsidRPr="00094785" w:rsidRDefault="00BA57B3" w:rsidP="00BA57B3">
      <w:pPr>
        <w:spacing w:after="120"/>
        <w:ind w:left="2268" w:right="1134" w:hanging="1134"/>
        <w:jc w:val="both"/>
        <w:rPr>
          <w:rFonts w:eastAsia="MS Mincho"/>
          <w:bCs/>
        </w:rPr>
      </w:pPr>
      <w:r>
        <w:rPr>
          <w:rFonts w:eastAsia="MS Mincho"/>
          <w:bCs/>
        </w:rPr>
        <w:t>"</w:t>
      </w:r>
      <w:r w:rsidRPr="00094785">
        <w:rPr>
          <w:rFonts w:eastAsia="MS Mincho"/>
          <w:bCs/>
        </w:rPr>
        <w:t>2.1.</w:t>
      </w:r>
      <w:r w:rsidRPr="00094785">
        <w:rPr>
          <w:rFonts w:eastAsia="MS Mincho"/>
          <w:bCs/>
        </w:rPr>
        <w:tab/>
        <w:t>WLTP Road Load calculation of the vehicle</w:t>
      </w:r>
    </w:p>
    <w:p w14:paraId="7A1DF7BB" w14:textId="77777777" w:rsidR="00BA57B3" w:rsidRPr="00094785" w:rsidRDefault="00BA57B3" w:rsidP="00BA57B3">
      <w:pPr>
        <w:spacing w:after="120"/>
        <w:ind w:left="2268" w:right="1134"/>
        <w:jc w:val="both"/>
        <w:rPr>
          <w:rFonts w:eastAsia="MS Mincho"/>
          <w:bCs/>
        </w:rPr>
      </w:pPr>
      <w:r w:rsidRPr="00094785">
        <w:rPr>
          <w:rFonts w:eastAsia="MS Mincho"/>
          <w:bCs/>
        </w:rPr>
        <w:t xml:space="preserve">The WLTP Road Load of the vehicle shall be determined according to </w:t>
      </w:r>
      <w:r>
        <w:rPr>
          <w:rFonts w:eastAsia="MS Mincho"/>
          <w:bCs/>
        </w:rPr>
        <w:t xml:space="preserve">UN </w:t>
      </w:r>
      <w:r w:rsidRPr="00094785">
        <w:rPr>
          <w:rFonts w:eastAsia="MS Mincho"/>
          <w:bCs/>
        </w:rPr>
        <w:t>GTR No. 15 Annex 4 or in case the vehicle is part of an interpolation family, according to Annex 7 point 3.2.3.2.2</w:t>
      </w:r>
      <w:r>
        <w:rPr>
          <w:rFonts w:eastAsia="MS Mincho"/>
          <w:bCs/>
        </w:rPr>
        <w:t>.</w:t>
      </w:r>
      <w:r w:rsidRPr="00094785">
        <w:rPr>
          <w:rFonts w:eastAsia="MS Mincho"/>
          <w:bCs/>
        </w:rPr>
        <w:t xml:space="preserve"> </w:t>
      </w:r>
      <w:r>
        <w:rPr>
          <w:rFonts w:eastAsia="MS Mincho"/>
          <w:bCs/>
        </w:rPr>
        <w:t>"</w:t>
      </w:r>
      <w:r w:rsidRPr="00094785">
        <w:rPr>
          <w:rFonts w:eastAsia="MS Mincho"/>
          <w:bCs/>
        </w:rPr>
        <w:t>Road Load calculation for an individual vehicle</w:t>
      </w:r>
      <w:r>
        <w:rPr>
          <w:rFonts w:eastAsia="MS Mincho"/>
          <w:bCs/>
        </w:rPr>
        <w:t>"</w:t>
      </w:r>
      <w:r w:rsidRPr="00094785">
        <w:rPr>
          <w:rFonts w:eastAsia="MS Mincho"/>
          <w:bCs/>
        </w:rPr>
        <w:t xml:space="preserve"> considering as input parameters of the individual vehicle: </w:t>
      </w:r>
    </w:p>
    <w:p w14:paraId="6AB5C987" w14:textId="77777777" w:rsidR="00BA57B3" w:rsidRPr="00094785" w:rsidRDefault="00BA57B3" w:rsidP="00BA57B3">
      <w:pPr>
        <w:spacing w:after="120"/>
        <w:ind w:left="1701" w:right="1134" w:firstLine="567"/>
        <w:jc w:val="both"/>
        <w:rPr>
          <w:rFonts w:eastAsia="MS Mincho"/>
          <w:bCs/>
        </w:rPr>
      </w:pPr>
      <w:r w:rsidRPr="00094785">
        <w:rPr>
          <w:bCs/>
        </w:rPr>
        <w:t>(a)</w:t>
      </w:r>
      <w:r>
        <w:rPr>
          <w:bCs/>
        </w:rPr>
        <w:tab/>
      </w:r>
      <w:r w:rsidRPr="00094785">
        <w:rPr>
          <w:bCs/>
        </w:rPr>
        <w:t>The Test Mass of the vehicle</w:t>
      </w:r>
      <w:r>
        <w:rPr>
          <w:bCs/>
        </w:rPr>
        <w:t>,</w:t>
      </w:r>
      <w:r w:rsidRPr="00094785">
        <w:rPr>
          <w:rStyle w:val="FootnoteReference"/>
          <w:rFonts w:eastAsia="MS Mincho"/>
          <w:bCs/>
        </w:rPr>
        <w:footnoteReference w:id="3"/>
      </w:r>
      <w:r w:rsidRPr="00094785">
        <w:rPr>
          <w:bCs/>
        </w:rPr>
        <w:t xml:space="preserve"> fitted with its standard equipment</w:t>
      </w:r>
      <w:r>
        <w:rPr>
          <w:bCs/>
        </w:rPr>
        <w:t>;</w:t>
      </w:r>
      <w:r w:rsidRPr="00094785">
        <w:rPr>
          <w:rStyle w:val="FootnoteReference"/>
          <w:bCs/>
        </w:rPr>
        <w:footnoteRef/>
      </w:r>
      <w:r w:rsidRPr="00094785">
        <w:rPr>
          <w:bCs/>
        </w:rPr>
        <w:t xml:space="preserve"> </w:t>
      </w:r>
    </w:p>
    <w:p w14:paraId="5B011EFA" w14:textId="77777777" w:rsidR="00BA57B3" w:rsidRPr="00BA57B3" w:rsidRDefault="00BA57B3" w:rsidP="00BA57B3">
      <w:pPr>
        <w:pStyle w:val="Default"/>
        <w:spacing w:after="120"/>
        <w:ind w:left="2835" w:right="1134" w:hanging="567"/>
        <w:jc w:val="both"/>
        <w:rPr>
          <w:bCs/>
          <w:sz w:val="20"/>
          <w:szCs w:val="20"/>
          <w:lang w:val="en-US"/>
        </w:rPr>
      </w:pPr>
      <w:r w:rsidRPr="00BA57B3">
        <w:rPr>
          <w:bCs/>
          <w:sz w:val="20"/>
          <w:szCs w:val="20"/>
          <w:lang w:val="en-US"/>
        </w:rPr>
        <w:t>(b)</w:t>
      </w:r>
      <w:r w:rsidRPr="00BA57B3">
        <w:rPr>
          <w:bCs/>
          <w:sz w:val="20"/>
          <w:szCs w:val="20"/>
          <w:lang w:val="en-US"/>
        </w:rPr>
        <w:tab/>
      </w:r>
      <w:r w:rsidRPr="00BA57B3">
        <w:rPr>
          <w:bCs/>
          <w:sz w:val="20"/>
          <w:szCs w:val="20"/>
          <w:lang w:val="en-US"/>
        </w:rPr>
        <w:tab/>
        <w:t xml:space="preserve">The RRC value of the applicable </w:t>
      </w:r>
      <w:proofErr w:type="spellStart"/>
      <w:r w:rsidRPr="00BA57B3">
        <w:rPr>
          <w:bCs/>
          <w:sz w:val="20"/>
          <w:szCs w:val="20"/>
          <w:lang w:val="en-US"/>
        </w:rPr>
        <w:t>tyre</w:t>
      </w:r>
      <w:proofErr w:type="spellEnd"/>
      <w:r w:rsidRPr="00BA57B3">
        <w:rPr>
          <w:bCs/>
          <w:sz w:val="20"/>
          <w:szCs w:val="20"/>
          <w:lang w:val="en-US"/>
        </w:rPr>
        <w:t xml:space="preserve"> energy class according to Table A4/2 of UN GTR No. 15 Annex 4 or, if the </w:t>
      </w:r>
      <w:proofErr w:type="spellStart"/>
      <w:r w:rsidRPr="00BA57B3">
        <w:rPr>
          <w:bCs/>
          <w:sz w:val="20"/>
          <w:szCs w:val="20"/>
          <w:lang w:val="en-US"/>
        </w:rPr>
        <w:t>tyres</w:t>
      </w:r>
      <w:proofErr w:type="spellEnd"/>
      <w:r w:rsidRPr="00BA57B3">
        <w:rPr>
          <w:bCs/>
          <w:sz w:val="20"/>
          <w:szCs w:val="20"/>
          <w:lang w:val="en-US"/>
        </w:rPr>
        <w:t xml:space="preserve"> on the front and rear axles belong to different energy efficiency classes, the weighted mean using the equation in paragraph 3.2.3.2.2.2.3. of Annex 7 to</w:t>
      </w:r>
      <w:r w:rsidRPr="00BA57B3">
        <w:rPr>
          <w:b/>
          <w:sz w:val="20"/>
          <w:szCs w:val="20"/>
          <w:lang w:val="en-US"/>
        </w:rPr>
        <w:t xml:space="preserve"> </w:t>
      </w:r>
      <w:r w:rsidRPr="00BA57B3">
        <w:rPr>
          <w:bCs/>
          <w:sz w:val="20"/>
          <w:szCs w:val="20"/>
          <w:lang w:val="en-US"/>
        </w:rPr>
        <w:t xml:space="preserve">UN GTR No. 15; </w:t>
      </w:r>
    </w:p>
    <w:p w14:paraId="550E3BFA" w14:textId="77777777" w:rsidR="00BA57B3" w:rsidRPr="00094785" w:rsidRDefault="00BA57B3" w:rsidP="00BA57B3">
      <w:pPr>
        <w:spacing w:after="120"/>
        <w:ind w:left="2835" w:right="1134" w:hanging="567"/>
        <w:jc w:val="both"/>
        <w:rPr>
          <w:rFonts w:eastAsia="MS Mincho"/>
          <w:bCs/>
        </w:rPr>
      </w:pPr>
      <w:r w:rsidRPr="00094785">
        <w:rPr>
          <w:bCs/>
        </w:rPr>
        <w:t>(c)</w:t>
      </w:r>
      <w:r>
        <w:rPr>
          <w:bCs/>
        </w:rPr>
        <w:tab/>
      </w:r>
      <w:r w:rsidRPr="00094785">
        <w:rPr>
          <w:bCs/>
        </w:rPr>
        <w:t>The aerodynamic drag of the vehicle fitted with its standard equipment</w:t>
      </w:r>
      <w:r>
        <w:rPr>
          <w:bCs/>
        </w:rPr>
        <w:t>.</w:t>
      </w:r>
      <w:r w:rsidRPr="00094785">
        <w:rPr>
          <w:rStyle w:val="FootnoteReference"/>
          <w:bCs/>
        </w:rPr>
        <w:footnoteRef/>
      </w:r>
      <w:r>
        <w:rPr>
          <w:bCs/>
        </w:rPr>
        <w:t>"</w:t>
      </w:r>
    </w:p>
    <w:p w14:paraId="1E1FD9E3" w14:textId="77777777" w:rsidR="00BA57B3" w:rsidRPr="00094785" w:rsidRDefault="00BA57B3" w:rsidP="00BA57B3">
      <w:pPr>
        <w:spacing w:after="120"/>
        <w:ind w:left="1134" w:right="1134"/>
        <w:jc w:val="both"/>
        <w:rPr>
          <w:rFonts w:eastAsia="MS Mincho"/>
          <w:iCs/>
        </w:rPr>
      </w:pPr>
      <w:r>
        <w:rPr>
          <w:rFonts w:eastAsia="MS Mincho"/>
          <w:i/>
        </w:rPr>
        <w:t>P</w:t>
      </w:r>
      <w:r w:rsidRPr="00094785">
        <w:rPr>
          <w:rFonts w:eastAsia="MS Mincho"/>
          <w:i/>
        </w:rPr>
        <w:t>aragraph 2.2.4</w:t>
      </w:r>
      <w:r>
        <w:rPr>
          <w:rFonts w:eastAsia="MS Mincho"/>
          <w:i/>
        </w:rPr>
        <w:t xml:space="preserve">. subparagraph </w:t>
      </w:r>
      <w:r w:rsidRPr="00094785">
        <w:rPr>
          <w:rFonts w:eastAsia="MS Mincho"/>
          <w:i/>
        </w:rPr>
        <w:t xml:space="preserve">(a) (iv), </w:t>
      </w:r>
      <w:r w:rsidRPr="00094785">
        <w:rPr>
          <w:rFonts w:eastAsia="MS Mincho"/>
          <w:iCs/>
        </w:rPr>
        <w:t>amend to read:</w:t>
      </w:r>
    </w:p>
    <w:p w14:paraId="46F69ACD" w14:textId="77777777" w:rsidR="00BA57B3" w:rsidRPr="00094785" w:rsidRDefault="00BA57B3" w:rsidP="00BA57B3">
      <w:pPr>
        <w:spacing w:after="120"/>
        <w:ind w:left="2835" w:right="1134"/>
        <w:jc w:val="both"/>
        <w:rPr>
          <w:rFonts w:eastAsia="MS Mincho"/>
        </w:rPr>
      </w:pPr>
      <w:r>
        <w:rPr>
          <w:rFonts w:eastAsia="MS Mincho"/>
        </w:rPr>
        <w:t>"</w:t>
      </w:r>
      <w:r w:rsidRPr="00094785">
        <w:rPr>
          <w:rFonts w:eastAsia="MS Mincho"/>
        </w:rPr>
        <w:t>(iv)</w:t>
      </w:r>
      <w:r w:rsidRPr="00094785">
        <w:rPr>
          <w:rFonts w:eastAsia="MS Mincho"/>
        </w:rPr>
        <w:tab/>
        <w:t>Effect of different tyre tread depth:</w:t>
      </w:r>
    </w:p>
    <w:p w14:paraId="7D9D934B" w14:textId="77777777" w:rsidR="00BA57B3" w:rsidRPr="00D12748" w:rsidRDefault="00BC5407" w:rsidP="00BA57B3">
      <w:pPr>
        <w:spacing w:after="120"/>
        <w:ind w:left="1985" w:right="1134" w:hanging="284"/>
        <w:rPr>
          <w:rFonts w:eastAsia="MS Mincho"/>
        </w:rPr>
      </w:pPr>
      <m:oMathPara>
        <m:oMath>
          <m:sSub>
            <m:sSubPr>
              <m:ctrlPr>
                <w:rPr>
                  <w:rFonts w:ascii="Cambria Math" w:eastAsia="MS Mincho" w:hAnsi="Cambria Math"/>
                  <w:i/>
                </w:rPr>
              </m:ctrlPr>
            </m:sSubPr>
            <m:e>
              <m:r>
                <w:rPr>
                  <w:rFonts w:ascii="Cambria Math" w:eastAsia="MS Mincho" w:hAnsi="Cambria Math"/>
                </w:rPr>
                <m:t>F</m:t>
              </m:r>
            </m:e>
            <m:sub>
              <m:r>
                <w:rPr>
                  <w:rFonts w:ascii="Cambria Math" w:eastAsia="MS Mincho" w:hAnsi="Cambria Math"/>
                </w:rPr>
                <m:t>0n</m:t>
              </m:r>
            </m:sub>
          </m:sSub>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3</m:t>
              </m:r>
            </m:sup>
          </m:sSubSup>
          <m:r>
            <w:rPr>
              <w:rFonts w:ascii="Cambria Math" w:eastAsia="MS Mincho" w:hAnsi="Cambria Math"/>
            </w:rPr>
            <m:t>-TTD</m:t>
          </m:r>
        </m:oMath>
      </m:oMathPara>
    </w:p>
    <w:p w14:paraId="2128A8DF" w14:textId="77777777" w:rsidR="00BA57B3" w:rsidRPr="00DA4FB4" w:rsidRDefault="00BA57B3" w:rsidP="00BA57B3">
      <w:pPr>
        <w:autoSpaceDE w:val="0"/>
        <w:autoSpaceDN w:val="0"/>
        <w:adjustRightInd w:val="0"/>
        <w:spacing w:after="120"/>
        <w:ind w:leftChars="1701" w:left="3402" w:right="1134"/>
        <w:rPr>
          <w:rFonts w:eastAsia="MS Mincho"/>
        </w:rPr>
      </w:pPr>
      <w:r w:rsidRPr="00D12748">
        <w:rPr>
          <w:rFonts w:eastAsia="MS Mincho"/>
        </w:rPr>
        <w:t xml:space="preserve">Where the factors </w:t>
      </w:r>
      <m:oMath>
        <m:r>
          <w:rPr>
            <w:rFonts w:ascii="Cambria Math" w:eastAsia="MS Mincho" w:hAnsi="Cambria Math"/>
          </w:rPr>
          <m:t>TTD</m:t>
        </m:r>
      </m:oMath>
      <w:r w:rsidRPr="00D12748">
        <w:rPr>
          <w:rFonts w:eastAsia="MS Mincho"/>
        </w:rPr>
        <w:t xml:space="preserve"> in the formula are as defined in point 2.2.2</w:t>
      </w:r>
      <w:r>
        <w:rPr>
          <w:rFonts w:eastAsia="MS Mincho"/>
        </w:rPr>
        <w:t>."</w:t>
      </w:r>
    </w:p>
    <w:p w14:paraId="072151DC" w14:textId="354FA678" w:rsidR="00AA0743" w:rsidRPr="00AA0743" w:rsidRDefault="00AA0743" w:rsidP="00AA0743">
      <w:pPr>
        <w:spacing w:before="240"/>
        <w:jc w:val="center"/>
        <w:rPr>
          <w:u w:val="single"/>
        </w:rPr>
      </w:pPr>
      <w:r>
        <w:rPr>
          <w:u w:val="single"/>
        </w:rPr>
        <w:tab/>
      </w:r>
      <w:r>
        <w:rPr>
          <w:u w:val="single"/>
        </w:rPr>
        <w:tab/>
      </w:r>
      <w:r>
        <w:rPr>
          <w:u w:val="single"/>
        </w:rPr>
        <w:tab/>
      </w:r>
    </w:p>
    <w:p w14:paraId="5506822F" w14:textId="77777777" w:rsidR="003D6D85" w:rsidRDefault="003D6D85" w:rsidP="002B7397">
      <w:pPr>
        <w:spacing w:after="120"/>
        <w:ind w:left="1134" w:right="1134"/>
        <w:jc w:val="both"/>
        <w:rPr>
          <w:lang w:eastAsia="fr-FR"/>
        </w:rPr>
      </w:pPr>
    </w:p>
    <w:sectPr w:rsidR="003D6D85" w:rsidSect="0041359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3AF4" w14:textId="77777777" w:rsidR="00A022FD" w:rsidRDefault="00A022FD"/>
  </w:endnote>
  <w:endnote w:type="continuationSeparator" w:id="0">
    <w:p w14:paraId="2CB775AF" w14:textId="77777777" w:rsidR="00A022FD" w:rsidRDefault="00A022FD"/>
  </w:endnote>
  <w:endnote w:type="continuationNotice" w:id="1">
    <w:p w14:paraId="1CF41F09" w14:textId="77777777" w:rsidR="00A022FD" w:rsidRDefault="00A0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402E4">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AA0743">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5E37" w14:textId="6A58F5C5" w:rsidR="00BC5407" w:rsidRDefault="00BC5407" w:rsidP="00BC5407">
    <w:pPr>
      <w:pStyle w:val="Footer"/>
    </w:pPr>
    <w:r w:rsidRPr="0027112F">
      <w:rPr>
        <w:noProof/>
        <w:lang w:val="en-US"/>
      </w:rPr>
      <w:drawing>
        <wp:anchor distT="0" distB="0" distL="114300" distR="114300" simplePos="0" relativeHeight="251659264" behindDoc="0" locked="1" layoutInCell="1" allowOverlap="1" wp14:anchorId="3B88DEE6" wp14:editId="0CDBE12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D982A5" w14:textId="5DB0C6E5" w:rsidR="00BC5407" w:rsidRPr="00BC5407" w:rsidRDefault="00BC5407" w:rsidP="00BC5407">
    <w:pPr>
      <w:pStyle w:val="Footer"/>
      <w:ind w:right="1134"/>
      <w:rPr>
        <w:sz w:val="20"/>
      </w:rPr>
    </w:pPr>
    <w:r>
      <w:rPr>
        <w:sz w:val="20"/>
      </w:rPr>
      <w:t>GE.22-04075(E)</w:t>
    </w:r>
    <w:r>
      <w:rPr>
        <w:noProof/>
        <w:sz w:val="20"/>
      </w:rPr>
      <w:drawing>
        <wp:anchor distT="0" distB="0" distL="114300" distR="114300" simplePos="0" relativeHeight="251660288" behindDoc="0" locked="0" layoutInCell="1" allowOverlap="1" wp14:anchorId="3F67D9A5" wp14:editId="09CE91E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070B" w14:textId="77777777" w:rsidR="00A022FD" w:rsidRPr="000B175B" w:rsidRDefault="00A022FD" w:rsidP="000B175B">
      <w:pPr>
        <w:tabs>
          <w:tab w:val="right" w:pos="2155"/>
        </w:tabs>
        <w:spacing w:after="80"/>
        <w:ind w:left="680"/>
        <w:rPr>
          <w:u w:val="single"/>
        </w:rPr>
      </w:pPr>
      <w:r>
        <w:rPr>
          <w:u w:val="single"/>
        </w:rPr>
        <w:tab/>
      </w:r>
    </w:p>
  </w:footnote>
  <w:footnote w:type="continuationSeparator" w:id="0">
    <w:p w14:paraId="0CB7A185" w14:textId="77777777" w:rsidR="00A022FD" w:rsidRPr="00FC68B7" w:rsidRDefault="00A022FD" w:rsidP="00FC68B7">
      <w:pPr>
        <w:tabs>
          <w:tab w:val="left" w:pos="2155"/>
        </w:tabs>
        <w:spacing w:after="80"/>
        <w:ind w:left="680"/>
        <w:rPr>
          <w:u w:val="single"/>
        </w:rPr>
      </w:pPr>
      <w:r>
        <w:rPr>
          <w:u w:val="single"/>
        </w:rPr>
        <w:tab/>
      </w:r>
    </w:p>
  </w:footnote>
  <w:footnote w:type="continuationNotice" w:id="1">
    <w:p w14:paraId="7E5D1C3B" w14:textId="77777777" w:rsidR="00A022FD" w:rsidRDefault="00A022FD"/>
  </w:footnote>
  <w:footnote w:id="2">
    <w:p w14:paraId="2421CCCF" w14:textId="77777777" w:rsidR="00E679C3" w:rsidRPr="003B51D1" w:rsidRDefault="00E679C3" w:rsidP="008B60F7">
      <w:pPr>
        <w:pStyle w:val="FootnoteText"/>
        <w:rPr>
          <w:lang w:val="en-US"/>
        </w:rPr>
      </w:pPr>
      <w:r w:rsidRPr="003B51D1">
        <w:tab/>
      </w:r>
      <w:r w:rsidRPr="003B51D1">
        <w:rPr>
          <w:rStyle w:val="FootnoteReference"/>
          <w:sz w:val="20"/>
          <w:lang w:val="en-US"/>
        </w:rPr>
        <w:t>*</w:t>
      </w:r>
      <w:r w:rsidRPr="003B51D1">
        <w:rPr>
          <w:sz w:val="20"/>
          <w:lang w:val="en-US"/>
        </w:rPr>
        <w:tab/>
      </w:r>
      <w:r w:rsidRPr="003B51D1">
        <w:rPr>
          <w:lang w:val="en-US"/>
        </w:rPr>
        <w:t>Former titles of the Agreement:</w:t>
      </w:r>
    </w:p>
    <w:p w14:paraId="3FBAD9FF" w14:textId="77777777" w:rsidR="00E679C3" w:rsidRPr="003B51D1" w:rsidRDefault="00E679C3" w:rsidP="008B60F7">
      <w:pPr>
        <w:pStyle w:val="FootnoteText"/>
        <w:rPr>
          <w:sz w:val="20"/>
          <w:lang w:val="en-US"/>
        </w:rPr>
      </w:pPr>
      <w:r w:rsidRPr="003B51D1">
        <w:rPr>
          <w:lang w:val="en-US"/>
        </w:rPr>
        <w:tab/>
      </w:r>
      <w:r w:rsidRPr="003B51D1">
        <w:rPr>
          <w:lang w:val="en-US"/>
        </w:rPr>
        <w:tab/>
      </w:r>
      <w:r w:rsidRPr="003B51D1">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3B51D1">
        <w:rPr>
          <w:spacing w:val="-4"/>
          <w:lang w:val="en-US"/>
        </w:rPr>
        <w:t>);</w:t>
      </w:r>
      <w:proofErr w:type="gramEnd"/>
    </w:p>
    <w:p w14:paraId="7E49D955" w14:textId="77777777" w:rsidR="00E679C3" w:rsidRPr="003B51D1" w:rsidRDefault="00E679C3" w:rsidP="008B60F7">
      <w:pPr>
        <w:pStyle w:val="FootnoteText"/>
        <w:rPr>
          <w:lang w:val="en-US"/>
        </w:rPr>
      </w:pPr>
      <w:r w:rsidRPr="003B51D1">
        <w:rPr>
          <w:lang w:val="en-US"/>
        </w:rPr>
        <w:tab/>
      </w:r>
      <w:r w:rsidRPr="003B51D1">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3B51D1">
        <w:rPr>
          <w:lang w:val="en-US"/>
        </w:rPr>
        <w:t>on the Basis of</w:t>
      </w:r>
      <w:proofErr w:type="gramEnd"/>
      <w:r w:rsidRPr="003B51D1">
        <w:rPr>
          <w:lang w:val="en-US"/>
        </w:rPr>
        <w:t xml:space="preserve"> these Prescriptions, done at Geneva on 5 October 1995 (Revision 2).</w:t>
      </w:r>
    </w:p>
  </w:footnote>
  <w:footnote w:id="3">
    <w:p w14:paraId="3B33B975" w14:textId="77777777" w:rsidR="00BA57B3" w:rsidRPr="0037050E" w:rsidRDefault="00BA57B3" w:rsidP="00BA57B3">
      <w:pPr>
        <w:pStyle w:val="FootnoteText"/>
      </w:pPr>
      <w:r>
        <w:tab/>
      </w:r>
      <w:r w:rsidRPr="00E52478">
        <w:rPr>
          <w:rStyle w:val="FootnoteReference"/>
        </w:rPr>
        <w:footnoteRef/>
      </w:r>
      <w:r>
        <w:tab/>
      </w:r>
      <w:r w:rsidRPr="00E52478">
        <w:rPr>
          <w:rFonts w:eastAsia="MS Mincho"/>
        </w:rPr>
        <w:t xml:space="preserve">As defined in </w:t>
      </w:r>
      <w:r>
        <w:rPr>
          <w:rFonts w:eastAsia="MS Mincho"/>
        </w:rPr>
        <w:t xml:space="preserve">UN </w:t>
      </w:r>
      <w:r w:rsidRPr="00E52478">
        <w:rPr>
          <w:rFonts w:eastAsia="MS Mincho"/>
        </w:rPr>
        <w:t>GTR</w:t>
      </w:r>
      <w:r>
        <w:rPr>
          <w:rFonts w:eastAsia="MS Mincho"/>
        </w:rPr>
        <w:t xml:space="preserve"> No.</w:t>
      </w:r>
      <w:r w:rsidRPr="00E52478">
        <w:rPr>
          <w:rFonts w:eastAsia="MS Mincho"/>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53F418C2" w:rsidR="00AB3AA0" w:rsidRDefault="00AB3AA0" w:rsidP="00AA0743">
    <w:pPr>
      <w:pStyle w:val="Header"/>
      <w:pBdr>
        <w:bottom w:val="none" w:sz="0" w:space="0" w:color="auto"/>
      </w:pBdr>
    </w:pPr>
    <w:r w:rsidRPr="008B60F7">
      <w:t>E/ECE/324/</w:t>
    </w:r>
    <w:r w:rsidR="000E6FB0">
      <w:t>Rev.1/</w:t>
    </w:r>
    <w:r w:rsidR="003F5657" w:rsidRPr="003F5657">
      <w:t>Add.</w:t>
    </w:r>
    <w:r w:rsidR="00ED7EFB">
      <w:t>82</w:t>
    </w:r>
    <w:r w:rsidR="003F5657" w:rsidRPr="003F5657">
      <w:t>/Rev.</w:t>
    </w:r>
    <w:r w:rsidR="00AA0743">
      <w:t>5</w:t>
    </w:r>
    <w:r w:rsidR="003F5657" w:rsidRPr="003F5657">
      <w:t>/Amend.</w:t>
    </w:r>
    <w:r w:rsidR="006050E5">
      <w:t>1</w:t>
    </w:r>
    <w:r w:rsidR="00BA57B3">
      <w:t>3</w:t>
    </w:r>
  </w:p>
  <w:p w14:paraId="42A1D7E1" w14:textId="3AFCA620" w:rsidR="003F5657" w:rsidRDefault="00AB3AA0" w:rsidP="00AA0743">
    <w:pPr>
      <w:pStyle w:val="Header"/>
      <w:pBdr>
        <w:bottom w:val="single" w:sz="4" w:space="1" w:color="auto"/>
      </w:pBdr>
    </w:pPr>
    <w:r w:rsidRPr="008B60F7">
      <w:t>E/ECE/TRANS/505/</w:t>
    </w:r>
    <w:r w:rsidR="008422F1">
      <w:t>Rev.1/</w:t>
    </w:r>
    <w:r w:rsidR="003F5657" w:rsidRPr="003F5657">
      <w:t>Add.</w:t>
    </w:r>
    <w:r w:rsidR="00ED7EFB">
      <w:t>82</w:t>
    </w:r>
    <w:r w:rsidR="003F5657" w:rsidRPr="003F5657">
      <w:t>/Rev.</w:t>
    </w:r>
    <w:r w:rsidR="00AA0743">
      <w:t>5</w:t>
    </w:r>
    <w:r w:rsidR="003F5657" w:rsidRPr="003F5657">
      <w:t>/Amend.</w:t>
    </w:r>
    <w:r w:rsidR="006050E5">
      <w:t>1</w:t>
    </w:r>
    <w:r w:rsidR="00BA57B3">
      <w:t>3</w:t>
    </w:r>
  </w:p>
  <w:p w14:paraId="25C73D7A" w14:textId="77777777" w:rsidR="00AA0743" w:rsidRDefault="00AA0743" w:rsidP="00AA074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CE2" w14:textId="30C0AE65" w:rsidR="00615800" w:rsidRDefault="00615800" w:rsidP="00615800">
    <w:pPr>
      <w:pStyle w:val="Header"/>
      <w:jc w:val="right"/>
    </w:pPr>
    <w:r w:rsidRPr="008B60F7">
      <w:t>E/ECE/324/</w:t>
    </w:r>
    <w:r>
      <w:t>Rev.1/</w:t>
    </w:r>
    <w:r w:rsidRPr="003F5657">
      <w:t>Add.</w:t>
    </w:r>
    <w:r>
      <w:t>82</w:t>
    </w:r>
    <w:r w:rsidRPr="003F5657">
      <w:t>/Rev.</w:t>
    </w:r>
    <w:r w:rsidR="00AA0743">
      <w:t>5</w:t>
    </w:r>
    <w:r w:rsidRPr="003F5657">
      <w:t>/Amend.</w:t>
    </w:r>
    <w:r w:rsidR="006050E5">
      <w:t>1</w:t>
    </w:r>
    <w:r w:rsidR="00AA0743">
      <w:t>2</w:t>
    </w:r>
  </w:p>
  <w:p w14:paraId="742A0BEF" w14:textId="59FDA1D7" w:rsidR="00E679C3" w:rsidRDefault="00615800" w:rsidP="00615800">
    <w:pPr>
      <w:pStyle w:val="Header"/>
      <w:jc w:val="right"/>
    </w:pPr>
    <w:r w:rsidRPr="008B60F7">
      <w:t>E/ECE/TRANS/505/</w:t>
    </w:r>
    <w:r w:rsidR="008422F1">
      <w:t>Rev.1/</w:t>
    </w:r>
    <w:r w:rsidRPr="003F5657">
      <w:t>Add.</w:t>
    </w:r>
    <w:r>
      <w:t>82</w:t>
    </w:r>
    <w:r w:rsidRPr="003F5657">
      <w:t>/Rev.</w:t>
    </w:r>
    <w:r w:rsidR="00AA0743">
      <w:t>5</w:t>
    </w:r>
    <w:r w:rsidRPr="003F5657">
      <w:t>/Amend.</w:t>
    </w:r>
    <w:r w:rsidR="006050E5">
      <w:t>1</w:t>
    </w:r>
    <w:r w:rsidR="00AA0743">
      <w:t>2</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6E4"/>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3848"/>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B7397"/>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1D1"/>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591"/>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797"/>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89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3B"/>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97CE8"/>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0E5"/>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17AB"/>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276A"/>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2FD"/>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0743"/>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B46"/>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7B3"/>
    <w:rsid w:val="00BA5BC1"/>
    <w:rsid w:val="00BA7BA3"/>
    <w:rsid w:val="00BB0068"/>
    <w:rsid w:val="00BB0AA9"/>
    <w:rsid w:val="00BB126E"/>
    <w:rsid w:val="00BB240A"/>
    <w:rsid w:val="00BB2631"/>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07"/>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19C"/>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055B"/>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174"/>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A07"/>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02E4"/>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BE946-9301-4340-A77E-9331EF65E49E}">
  <ds:schemaRefs>
    <ds:schemaRef ds:uri="http://schemas.microsoft.com/sharepoint/v3/contenttype/forms"/>
  </ds:schemaRefs>
</ds:datastoreItem>
</file>

<file path=customXml/itemProps2.xml><?xml version="1.0" encoding="utf-8"?>
<ds:datastoreItem xmlns:ds="http://schemas.openxmlformats.org/officeDocument/2006/customXml" ds:itemID="{31CA3CED-A032-4423-8018-B90F78E998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2751C-E7D5-4A67-960E-19CEB3641A5E}">
  <ds:schemaRefs>
    <ds:schemaRef ds:uri="http://schemas.openxmlformats.org/officeDocument/2006/bibliography"/>
  </ds:schemaRefs>
</ds:datastoreItem>
</file>

<file path=customXml/itemProps4.xml><?xml version="1.0" encoding="utf-8"?>
<ds:datastoreItem xmlns:ds="http://schemas.openxmlformats.org/officeDocument/2006/customXml" ds:itemID="{DF66AED2-9F89-4224-98C1-31031CCEA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467</Words>
  <Characters>2470</Characters>
  <Application>Microsoft Office Word</Application>
  <DocSecurity>0</DocSecurity>
  <Lines>62</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2928</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E/ECE/324/Rev.1/Add.82/Rev.5/Amend.13</dc:title>
  <dc:subject>2204075</dc:subject>
  <dc:creator>Pauline Anne Escalante</dc:creator>
  <cp:keywords/>
  <dc:description/>
  <cp:lastModifiedBy>Pauline Anne Escalante</cp:lastModifiedBy>
  <cp:revision>2</cp:revision>
  <cp:lastPrinted>2019-11-25T07:37:00Z</cp:lastPrinted>
  <dcterms:created xsi:type="dcterms:W3CDTF">2022-03-21T10:36:00Z</dcterms:created>
  <dcterms:modified xsi:type="dcterms:W3CDTF">2022-03-21T10:36:00Z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ies>
</file>