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14:paraId="45470744" w14:textId="77777777" w:rsidTr="000D1B89">
        <w:trPr>
          <w:cantSplit/>
          <w:trHeight w:hRule="exact" w:val="851"/>
        </w:trPr>
        <w:tc>
          <w:tcPr>
            <w:tcW w:w="1276" w:type="dxa"/>
            <w:tcBorders>
              <w:bottom w:val="single" w:sz="4" w:space="0" w:color="auto"/>
            </w:tcBorders>
            <w:vAlign w:val="bottom"/>
          </w:tcPr>
          <w:p w14:paraId="557D2122" w14:textId="77777777" w:rsidR="00717266" w:rsidRDefault="00717266" w:rsidP="000D1B89">
            <w:pPr>
              <w:spacing w:after="80"/>
            </w:pPr>
          </w:p>
        </w:tc>
        <w:tc>
          <w:tcPr>
            <w:tcW w:w="2268" w:type="dxa"/>
            <w:tcBorders>
              <w:bottom w:val="single" w:sz="4" w:space="0" w:color="auto"/>
            </w:tcBorders>
            <w:vAlign w:val="bottom"/>
          </w:tcPr>
          <w:p w14:paraId="3C6D07EB" w14:textId="77777777"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3DD591CC" w14:textId="77777777" w:rsidR="00717266" w:rsidRPr="00D47EEA" w:rsidRDefault="00F65D72" w:rsidP="00F65D72">
            <w:pPr>
              <w:suppressAutoHyphens w:val="0"/>
              <w:spacing w:after="20"/>
              <w:jc w:val="right"/>
            </w:pPr>
            <w:r w:rsidRPr="00F65D72">
              <w:rPr>
                <w:sz w:val="40"/>
              </w:rPr>
              <w:t>ECE</w:t>
            </w:r>
            <w:r>
              <w:t>/TRANS/WP.11/2021/6/Rev.1</w:t>
            </w:r>
          </w:p>
        </w:tc>
      </w:tr>
      <w:tr w:rsidR="00717266" w14:paraId="2B84CC7D" w14:textId="77777777" w:rsidTr="000D1B89">
        <w:trPr>
          <w:cantSplit/>
          <w:trHeight w:hRule="exact" w:val="2835"/>
        </w:trPr>
        <w:tc>
          <w:tcPr>
            <w:tcW w:w="1276" w:type="dxa"/>
            <w:tcBorders>
              <w:top w:val="single" w:sz="4" w:space="0" w:color="auto"/>
              <w:bottom w:val="single" w:sz="12" w:space="0" w:color="auto"/>
            </w:tcBorders>
          </w:tcPr>
          <w:p w14:paraId="50EE9278" w14:textId="77777777" w:rsidR="00717266" w:rsidRDefault="00717266" w:rsidP="000D1B89">
            <w:pPr>
              <w:spacing w:before="120"/>
            </w:pPr>
            <w:r>
              <w:rPr>
                <w:noProof/>
                <w:lang w:val="fr-CH" w:eastAsia="fr-CH"/>
              </w:rPr>
              <w:drawing>
                <wp:inline distT="0" distB="0" distL="0" distR="0" wp14:anchorId="7AE0CB6E" wp14:editId="1CE9309A">
                  <wp:extent cx="714375" cy="590550"/>
                  <wp:effectExtent l="0" t="0" r="9525" b="0"/>
                  <wp:docPr id="1" name="Picture 1" descr="United N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B75EC78" w14:textId="77777777"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25FDA07F" w14:textId="47FBAFDE" w:rsidR="00717266" w:rsidRDefault="00F65D72" w:rsidP="00F65D72">
            <w:pPr>
              <w:spacing w:before="240"/>
            </w:pPr>
            <w:r>
              <w:t>Distr.: General</w:t>
            </w:r>
          </w:p>
          <w:p w14:paraId="0E02E701" w14:textId="049D5B94" w:rsidR="00F65D72" w:rsidRDefault="00F65D72" w:rsidP="00F65D72">
            <w:pPr>
              <w:suppressAutoHyphens w:val="0"/>
            </w:pPr>
            <w:r>
              <w:t>4 August 2022</w:t>
            </w:r>
          </w:p>
          <w:p w14:paraId="2064D40D" w14:textId="0B407A96" w:rsidR="00F65D72" w:rsidRDefault="00F65D72" w:rsidP="00F65D72">
            <w:pPr>
              <w:suppressAutoHyphens w:val="0"/>
            </w:pPr>
            <w:r>
              <w:t>English</w:t>
            </w:r>
          </w:p>
          <w:p w14:paraId="5727C386" w14:textId="2072BACA" w:rsidR="00F65D72" w:rsidRDefault="00F65D72" w:rsidP="00F65D72">
            <w:pPr>
              <w:suppressAutoHyphens w:val="0"/>
            </w:pPr>
            <w:r>
              <w:t>Original: French</w:t>
            </w:r>
          </w:p>
        </w:tc>
      </w:tr>
    </w:tbl>
    <w:p w14:paraId="1D824841" w14:textId="77777777" w:rsidR="00F65D72" w:rsidRDefault="00F65D72">
      <w:pPr>
        <w:spacing w:before="120"/>
        <w:rPr>
          <w:b/>
          <w:sz w:val="28"/>
          <w:szCs w:val="28"/>
        </w:rPr>
      </w:pPr>
      <w:r>
        <w:rPr>
          <w:b/>
          <w:sz w:val="28"/>
          <w:szCs w:val="28"/>
        </w:rPr>
        <w:t>Economic Commission for Europe</w:t>
      </w:r>
    </w:p>
    <w:p w14:paraId="2A1A974B" w14:textId="77777777" w:rsidR="00F65D72" w:rsidRDefault="00F65D72">
      <w:pPr>
        <w:spacing w:before="120"/>
        <w:rPr>
          <w:sz w:val="28"/>
          <w:szCs w:val="28"/>
        </w:rPr>
      </w:pPr>
      <w:r>
        <w:rPr>
          <w:sz w:val="28"/>
          <w:szCs w:val="28"/>
        </w:rPr>
        <w:t>Inland Transport Committee</w:t>
      </w:r>
    </w:p>
    <w:p w14:paraId="592ADC21" w14:textId="63C6D61C" w:rsidR="00F65D72" w:rsidRDefault="00F65D72">
      <w:pPr>
        <w:spacing w:before="120"/>
        <w:rPr>
          <w:b/>
          <w:sz w:val="24"/>
          <w:szCs w:val="24"/>
        </w:rPr>
      </w:pPr>
      <w:r w:rsidRPr="00F65D72">
        <w:rPr>
          <w:b/>
          <w:sz w:val="24"/>
          <w:szCs w:val="24"/>
        </w:rPr>
        <w:t>Working Party on the Transport of Perishable Foodstuffs</w:t>
      </w:r>
    </w:p>
    <w:p w14:paraId="6846DC8E" w14:textId="77777777" w:rsidR="00F65D72" w:rsidRPr="00F65D72" w:rsidRDefault="00F65D72" w:rsidP="00F65D72">
      <w:pPr>
        <w:spacing w:before="120"/>
        <w:rPr>
          <w:b/>
          <w:bCs/>
          <w:color w:val="000000" w:themeColor="text1"/>
        </w:rPr>
      </w:pPr>
      <w:r w:rsidRPr="00F65D72">
        <w:rPr>
          <w:b/>
          <w:bCs/>
          <w:color w:val="000000" w:themeColor="text1"/>
        </w:rPr>
        <w:t>Seventy-ninth session</w:t>
      </w:r>
    </w:p>
    <w:p w14:paraId="018831B2" w14:textId="77777777" w:rsidR="00F65D72" w:rsidRPr="0074034B" w:rsidRDefault="00F65D72" w:rsidP="00F65D72">
      <w:pPr>
        <w:rPr>
          <w:color w:val="000000" w:themeColor="text1"/>
        </w:rPr>
      </w:pPr>
      <w:r w:rsidRPr="0074034B">
        <w:rPr>
          <w:color w:val="000000" w:themeColor="text1"/>
        </w:rPr>
        <w:t>Geneva, 25–28 October 2022</w:t>
      </w:r>
    </w:p>
    <w:p w14:paraId="60E721AD" w14:textId="77777777" w:rsidR="00F65D72" w:rsidRPr="0074034B" w:rsidRDefault="00F65D72" w:rsidP="00F65D72">
      <w:pPr>
        <w:rPr>
          <w:color w:val="000000" w:themeColor="text1"/>
        </w:rPr>
      </w:pPr>
      <w:r w:rsidRPr="0074034B">
        <w:rPr>
          <w:color w:val="000000" w:themeColor="text1"/>
        </w:rPr>
        <w:t>Item 6 of the provisional agenda</w:t>
      </w:r>
    </w:p>
    <w:p w14:paraId="1E03C38A" w14:textId="77777777" w:rsidR="00F65D72" w:rsidRPr="00F65D72" w:rsidRDefault="00F65D72" w:rsidP="00F65D72">
      <w:pPr>
        <w:rPr>
          <w:b/>
          <w:bCs/>
          <w:color w:val="000000" w:themeColor="text1"/>
        </w:rPr>
      </w:pPr>
      <w:r w:rsidRPr="00F65D72">
        <w:rPr>
          <w:b/>
          <w:bCs/>
          <w:color w:val="000000" w:themeColor="text1"/>
        </w:rPr>
        <w:t>ATP Handbook:</w:t>
      </w:r>
    </w:p>
    <w:p w14:paraId="11715456" w14:textId="0A40E3CB" w:rsidR="00F65D72" w:rsidRPr="0074034B" w:rsidRDefault="00F65D72" w:rsidP="00F65D72">
      <w:pPr>
        <w:pStyle w:val="HChG"/>
      </w:pPr>
      <w:r w:rsidRPr="0074034B">
        <w:tab/>
      </w:r>
      <w:r w:rsidRPr="0074034B">
        <w:tab/>
        <w:t xml:space="preserve">Amendment to model reports that define how to determine the effective refrigerating capacity of a refrigeration unit, in order to take into </w:t>
      </w:r>
      <w:proofErr w:type="gramStart"/>
      <w:r w:rsidRPr="0074034B">
        <w:t>account</w:t>
      </w:r>
      <w:proofErr w:type="gramEnd"/>
      <w:r w:rsidRPr="0074034B">
        <w:t xml:space="preserve"> the impact of different software versions on the performance of said units</w:t>
      </w:r>
    </w:p>
    <w:p w14:paraId="43BD1A7E" w14:textId="70266B0D" w:rsidR="00F65D72" w:rsidRPr="0074034B" w:rsidRDefault="00F65D72" w:rsidP="00F65D72">
      <w:pPr>
        <w:pStyle w:val="H1G"/>
      </w:pPr>
      <w:r w:rsidRPr="0074034B">
        <w:tab/>
      </w:r>
      <w:r w:rsidRPr="0074034B">
        <w:tab/>
        <w:t>Transmitted by the Government of France</w:t>
      </w:r>
    </w:p>
    <w:p w14:paraId="48AE36E7" w14:textId="77777777" w:rsidR="00F65D72" w:rsidRPr="0074034B" w:rsidRDefault="00F65D72" w:rsidP="00F65D72">
      <w:pPr>
        <w:pStyle w:val="H56G"/>
      </w:pPr>
      <w:r w:rsidRPr="0074034B">
        <w:tab/>
      </w:r>
      <w:r w:rsidRPr="0074034B">
        <w:tab/>
        <w:t>Revision</w:t>
      </w:r>
    </w:p>
    <w:tbl>
      <w:tblPr>
        <w:tblStyle w:val="TableGrid"/>
        <w:tblW w:w="0" w:type="auto"/>
        <w:jc w:val="center"/>
        <w:tblCellMar>
          <w:left w:w="0" w:type="dxa"/>
          <w:right w:w="0" w:type="dxa"/>
        </w:tblCellMar>
        <w:tblLook w:val="05E0" w:firstRow="1" w:lastRow="1" w:firstColumn="1" w:lastColumn="1" w:noHBand="0" w:noVBand="1"/>
      </w:tblPr>
      <w:tblGrid>
        <w:gridCol w:w="9629"/>
      </w:tblGrid>
      <w:tr w:rsidR="00F65D72" w14:paraId="02A15FAF" w14:textId="77777777" w:rsidTr="00F65D72">
        <w:trPr>
          <w:jc w:val="center"/>
        </w:trPr>
        <w:tc>
          <w:tcPr>
            <w:tcW w:w="9629" w:type="dxa"/>
            <w:tcBorders>
              <w:bottom w:val="nil"/>
            </w:tcBorders>
          </w:tcPr>
          <w:p w14:paraId="67996415" w14:textId="57B72486" w:rsidR="00F65D72" w:rsidRPr="00F65D72" w:rsidRDefault="00F65D72" w:rsidP="00F65D72">
            <w:pPr>
              <w:tabs>
                <w:tab w:val="left" w:pos="255"/>
              </w:tabs>
              <w:suppressAutoHyphens w:val="0"/>
              <w:spacing w:before="240" w:after="120"/>
              <w:rPr>
                <w:sz w:val="24"/>
              </w:rPr>
            </w:pPr>
            <w:r>
              <w:tab/>
            </w:r>
            <w:r>
              <w:rPr>
                <w:i/>
                <w:sz w:val="24"/>
              </w:rPr>
              <w:t>Summary</w:t>
            </w:r>
          </w:p>
        </w:tc>
      </w:tr>
      <w:tr w:rsidR="00F65D72" w14:paraId="567C1A46" w14:textId="77777777" w:rsidTr="00F65D72">
        <w:trPr>
          <w:jc w:val="center"/>
        </w:trPr>
        <w:tc>
          <w:tcPr>
            <w:tcW w:w="9629" w:type="dxa"/>
            <w:tcBorders>
              <w:top w:val="nil"/>
              <w:bottom w:val="nil"/>
            </w:tcBorders>
            <w:shd w:val="clear" w:color="auto" w:fill="auto"/>
          </w:tcPr>
          <w:p w14:paraId="03E07F31" w14:textId="505DFCCB" w:rsidR="00F65D72" w:rsidRDefault="00F65D72" w:rsidP="00F65D72">
            <w:pPr>
              <w:pStyle w:val="SingleTxtG"/>
              <w:tabs>
                <w:tab w:val="clear" w:pos="1701"/>
                <w:tab w:val="clear" w:pos="2268"/>
                <w:tab w:val="left" w:pos="2552"/>
              </w:tabs>
              <w:spacing w:after="60"/>
              <w:ind w:left="2552" w:hanging="2268"/>
            </w:pPr>
            <w:r w:rsidRPr="00F65D72">
              <w:rPr>
                <w:b/>
                <w:bCs/>
                <w:color w:val="000000" w:themeColor="text1"/>
              </w:rPr>
              <w:t>Executive summary</w:t>
            </w:r>
            <w:r w:rsidRPr="0074034B">
              <w:rPr>
                <w:color w:val="000000" w:themeColor="text1"/>
              </w:rPr>
              <w:t>:</w:t>
            </w:r>
            <w:r w:rsidRPr="0074034B">
              <w:rPr>
                <w:color w:val="000000" w:themeColor="text1"/>
              </w:rPr>
              <w:tab/>
              <w:t>Test report models No. 12 and No. 13, which define the determination of the effective refrigerating capacity of a refrigeration unit, do not require all the particulars of the different software versions installed in the refrigeration units.</w:t>
            </w:r>
          </w:p>
        </w:tc>
      </w:tr>
      <w:tr w:rsidR="00F65D72" w14:paraId="5B63275C" w14:textId="77777777" w:rsidTr="00F65D72">
        <w:trPr>
          <w:jc w:val="center"/>
        </w:trPr>
        <w:tc>
          <w:tcPr>
            <w:tcW w:w="9629" w:type="dxa"/>
            <w:tcBorders>
              <w:top w:val="nil"/>
              <w:bottom w:val="nil"/>
            </w:tcBorders>
            <w:shd w:val="clear" w:color="auto" w:fill="auto"/>
          </w:tcPr>
          <w:p w14:paraId="44ADD221" w14:textId="2FE4E2FD" w:rsidR="00F65D72" w:rsidRDefault="00F65D72" w:rsidP="00F65D72">
            <w:pPr>
              <w:pStyle w:val="SingleTxtG"/>
              <w:tabs>
                <w:tab w:val="clear" w:pos="1701"/>
                <w:tab w:val="clear" w:pos="2268"/>
                <w:tab w:val="left" w:pos="2552"/>
              </w:tabs>
              <w:spacing w:after="60"/>
              <w:ind w:left="2552" w:hanging="2268"/>
            </w:pPr>
            <w:r w:rsidRPr="0074034B">
              <w:rPr>
                <w:color w:val="000000" w:themeColor="text1"/>
              </w:rPr>
              <w:tab/>
              <w:t>As the performance of the units can be managed by components run by software, there is a need for this software to be part of the test report concerned, since this report is regarded as a type certificate.</w:t>
            </w:r>
          </w:p>
        </w:tc>
      </w:tr>
      <w:tr w:rsidR="00F65D72" w14:paraId="4F699C63" w14:textId="77777777" w:rsidTr="00F65D72">
        <w:trPr>
          <w:jc w:val="center"/>
        </w:trPr>
        <w:tc>
          <w:tcPr>
            <w:tcW w:w="9629" w:type="dxa"/>
            <w:tcBorders>
              <w:top w:val="nil"/>
              <w:bottom w:val="nil"/>
            </w:tcBorders>
            <w:shd w:val="clear" w:color="auto" w:fill="auto"/>
          </w:tcPr>
          <w:p w14:paraId="43091B50" w14:textId="053B979A" w:rsidR="00F65D72" w:rsidRDefault="00F65D72" w:rsidP="00F65D72">
            <w:pPr>
              <w:pStyle w:val="SingleTxtG"/>
              <w:tabs>
                <w:tab w:val="clear" w:pos="1701"/>
                <w:tab w:val="clear" w:pos="2268"/>
                <w:tab w:val="left" w:pos="2552"/>
              </w:tabs>
              <w:spacing w:after="60"/>
              <w:ind w:left="2552" w:hanging="2268"/>
            </w:pPr>
            <w:r w:rsidRPr="00F65D72">
              <w:rPr>
                <w:b/>
                <w:bCs/>
                <w:color w:val="000000" w:themeColor="text1"/>
              </w:rPr>
              <w:t>Action to be taken</w:t>
            </w:r>
            <w:r w:rsidRPr="0074034B">
              <w:rPr>
                <w:color w:val="000000" w:themeColor="text1"/>
              </w:rPr>
              <w:t>:</w:t>
            </w:r>
            <w:r w:rsidRPr="0074034B">
              <w:rPr>
                <w:color w:val="000000" w:themeColor="text1"/>
              </w:rPr>
              <w:tab/>
              <w:t>Make the following amendments to the test report models No. 12 and No. 13 only on condition of prior validation of the proposed amendment on the introduction of type examination certificates as a means of certifying compliance of designs and tests carried out in accordance with ATP.</w:t>
            </w:r>
          </w:p>
        </w:tc>
      </w:tr>
      <w:tr w:rsidR="00F65D72" w14:paraId="32ECA366" w14:textId="77777777" w:rsidTr="00F65D72">
        <w:trPr>
          <w:jc w:val="center"/>
        </w:trPr>
        <w:tc>
          <w:tcPr>
            <w:tcW w:w="9629" w:type="dxa"/>
            <w:tcBorders>
              <w:top w:val="nil"/>
              <w:bottom w:val="nil"/>
            </w:tcBorders>
            <w:shd w:val="clear" w:color="auto" w:fill="auto"/>
          </w:tcPr>
          <w:p w14:paraId="0C68FE33" w14:textId="19C991AC" w:rsidR="00F65D72" w:rsidRPr="0074034B" w:rsidRDefault="00F65D72" w:rsidP="00F65D72">
            <w:pPr>
              <w:pStyle w:val="SingleTxtG"/>
              <w:tabs>
                <w:tab w:val="clear" w:pos="1701"/>
                <w:tab w:val="clear" w:pos="2268"/>
                <w:tab w:val="left" w:pos="2552"/>
              </w:tabs>
              <w:spacing w:after="60"/>
              <w:ind w:left="284"/>
              <w:rPr>
                <w:color w:val="000000" w:themeColor="text1"/>
              </w:rPr>
            </w:pPr>
            <w:r w:rsidRPr="00F65D72">
              <w:rPr>
                <w:b/>
                <w:bCs/>
                <w:color w:val="000000" w:themeColor="text1"/>
              </w:rPr>
              <w:t>Related documents</w:t>
            </w:r>
            <w:r w:rsidRPr="0074034B">
              <w:rPr>
                <w:color w:val="000000" w:themeColor="text1"/>
              </w:rPr>
              <w:t>:</w:t>
            </w:r>
            <w:r w:rsidRPr="0074034B">
              <w:rPr>
                <w:color w:val="000000" w:themeColor="text1"/>
              </w:rPr>
              <w:tab/>
              <w:t>None</w:t>
            </w:r>
          </w:p>
        </w:tc>
      </w:tr>
      <w:tr w:rsidR="00F65D72" w14:paraId="5579F919" w14:textId="77777777" w:rsidTr="00F65D72">
        <w:trPr>
          <w:jc w:val="center"/>
        </w:trPr>
        <w:tc>
          <w:tcPr>
            <w:tcW w:w="9629" w:type="dxa"/>
            <w:tcBorders>
              <w:top w:val="nil"/>
            </w:tcBorders>
          </w:tcPr>
          <w:p w14:paraId="7208C4FC" w14:textId="77777777" w:rsidR="00F65D72" w:rsidRDefault="00F65D72" w:rsidP="00F65D72">
            <w:pPr>
              <w:suppressAutoHyphens w:val="0"/>
            </w:pPr>
          </w:p>
        </w:tc>
      </w:tr>
    </w:tbl>
    <w:p w14:paraId="12BF31FF" w14:textId="77777777" w:rsidR="00F65D72" w:rsidRPr="0074034B" w:rsidRDefault="00F65D72" w:rsidP="00F65D72">
      <w:pPr>
        <w:pStyle w:val="HChG"/>
      </w:pPr>
      <w:r w:rsidRPr="0074034B">
        <w:tab/>
      </w:r>
      <w:r w:rsidRPr="0074034B">
        <w:tab/>
        <w:t>Introduction</w:t>
      </w:r>
      <w:bookmarkStart w:id="0" w:name="OLE_LINK2"/>
      <w:bookmarkStart w:id="1" w:name="OLE_LINK1"/>
      <w:bookmarkEnd w:id="0"/>
      <w:bookmarkEnd w:id="1"/>
    </w:p>
    <w:p w14:paraId="4BEDB145" w14:textId="77777777" w:rsidR="00F65D72" w:rsidRPr="0074034B" w:rsidRDefault="00F65D72" w:rsidP="00F65D72">
      <w:pPr>
        <w:pStyle w:val="SingleTxtG"/>
      </w:pPr>
      <w:r w:rsidRPr="0074034B">
        <w:t>1.</w:t>
      </w:r>
      <w:r w:rsidRPr="0074034B">
        <w:tab/>
        <w:t>Report model No. 13, which defines the determination of the refrigeration capacity for liquefied gas refrigeration units, requires the particulars of the control software version.</w:t>
      </w:r>
    </w:p>
    <w:p w14:paraId="78B66F4B" w14:textId="77777777" w:rsidR="00F65D72" w:rsidRPr="0074034B" w:rsidRDefault="00F65D72" w:rsidP="00F65D72">
      <w:pPr>
        <w:pStyle w:val="SingleTxtG"/>
      </w:pPr>
      <w:r w:rsidRPr="0074034B">
        <w:t>2.</w:t>
      </w:r>
      <w:r w:rsidRPr="0074034B">
        <w:tab/>
        <w:t>Software other than that already required is needed for operating activities.</w:t>
      </w:r>
    </w:p>
    <w:p w14:paraId="09D8782D" w14:textId="77777777" w:rsidR="00F65D72" w:rsidRPr="0074034B" w:rsidRDefault="00F65D72" w:rsidP="00F65D72">
      <w:pPr>
        <w:pStyle w:val="SingleTxtG"/>
      </w:pPr>
      <w:r w:rsidRPr="0074034B">
        <w:t>3.</w:t>
      </w:r>
      <w:r w:rsidRPr="0074034B">
        <w:tab/>
        <w:t xml:space="preserve">Considering that the version of the different software of a refrigeration unit has a direct impact on the performance of the units, there is a need to supplement the data in model No. </w:t>
      </w:r>
      <w:r w:rsidRPr="0074034B">
        <w:lastRenderedPageBreak/>
        <w:t>13 and to harmonize the technical specifications by bringing the data in model No. 12 up to date.</w:t>
      </w:r>
    </w:p>
    <w:p w14:paraId="5087076D" w14:textId="77777777" w:rsidR="00F65D72" w:rsidRPr="0074034B" w:rsidRDefault="00F65D72" w:rsidP="00F65D72">
      <w:pPr>
        <w:pStyle w:val="SingleTxtG"/>
      </w:pPr>
      <w:r w:rsidRPr="0074034B">
        <w:t>4.</w:t>
      </w:r>
      <w:r w:rsidRPr="0074034B">
        <w:tab/>
        <w:t xml:space="preserve">In accordance with annex 1, appendix 1, paragraph 6 (a), to the ATP Agreement, the test report is to be regarded as a </w:t>
      </w:r>
      <w:proofErr w:type="gramStart"/>
      <w:r w:rsidRPr="0074034B">
        <w:t>type</w:t>
      </w:r>
      <w:proofErr w:type="gramEnd"/>
      <w:r w:rsidRPr="0074034B">
        <w:t xml:space="preserve"> approval certificate. Consequently, data supplied by the manufacturer and not measured by the official testing station may be included in a test report, but the external source of the data must be indicated.</w:t>
      </w:r>
    </w:p>
    <w:p w14:paraId="6734B976" w14:textId="77777777" w:rsidR="00F65D72" w:rsidRPr="0074034B" w:rsidRDefault="00F65D72" w:rsidP="00F65D72">
      <w:pPr>
        <w:pStyle w:val="SingleTxtG"/>
      </w:pPr>
      <w:r w:rsidRPr="0074034B">
        <w:t>5.</w:t>
      </w:r>
      <w:r w:rsidRPr="0074034B">
        <w:tab/>
        <w:t>The French text of ATP as amended on 6 July 2020 and 1 June 2022 was used for the proposed amendments.</w:t>
      </w:r>
    </w:p>
    <w:p w14:paraId="6CBBCE0A" w14:textId="77777777" w:rsidR="00F65D72" w:rsidRPr="0074034B" w:rsidRDefault="00F65D72" w:rsidP="00F65D72">
      <w:pPr>
        <w:pStyle w:val="HChG"/>
      </w:pPr>
      <w:r w:rsidRPr="0074034B">
        <w:tab/>
        <w:t>I.</w:t>
      </w:r>
      <w:r w:rsidRPr="0074034B">
        <w:tab/>
        <w:t>Proposal</w:t>
      </w:r>
    </w:p>
    <w:p w14:paraId="7BDC3E3B" w14:textId="0B5A4E6B" w:rsidR="00F65D72" w:rsidRPr="0074034B" w:rsidRDefault="00F65D72" w:rsidP="00F65D72">
      <w:pPr>
        <w:pStyle w:val="SingleTxtG"/>
      </w:pPr>
      <w:r w:rsidRPr="0074034B">
        <w:t>6.</w:t>
      </w:r>
      <w:r w:rsidRPr="0074034B">
        <w:tab/>
        <w:t>In test report model No. 13, before the line “Possibility for Multi-temperature operation: (yes/no</w:t>
      </w:r>
      <w:r w:rsidRPr="00962896">
        <w:t>)”, add the line “</w:t>
      </w:r>
      <w:r w:rsidRPr="00F65D72">
        <w:rPr>
          <w:i/>
          <w:iCs/>
        </w:rPr>
        <w:t>Software version(s) other than that of the regulator:</w:t>
      </w:r>
      <w:r w:rsidRPr="00962896">
        <w:rPr>
          <w:i/>
          <w:iCs/>
          <w:vertAlign w:val="superscript"/>
        </w:rPr>
        <w:t>3,2</w:t>
      </w:r>
      <w:r w:rsidRPr="0074034B">
        <w:t>”.</w:t>
      </w:r>
    </w:p>
    <w:p w14:paraId="4B4C4D27" w14:textId="77777777" w:rsidR="00F65D72" w:rsidRPr="0074034B" w:rsidRDefault="00F65D72" w:rsidP="00F65D72">
      <w:pPr>
        <w:pStyle w:val="SingleTxtG"/>
      </w:pPr>
      <w:r w:rsidRPr="0074034B">
        <w:t>7.</w:t>
      </w:r>
      <w:r w:rsidRPr="0074034B">
        <w:tab/>
        <w:t>At the end of test report model No. 13, add the footnote: “</w:t>
      </w:r>
      <w:r w:rsidRPr="00F65D72">
        <w:rPr>
          <w:rStyle w:val="FootnoteReference"/>
        </w:rPr>
        <w:t>3</w:t>
      </w:r>
      <w:r w:rsidRPr="00F65D72">
        <w:rPr>
          <w:i/>
          <w:iCs/>
        </w:rPr>
        <w:t xml:space="preserve"> Indicate the version of all software used.</w:t>
      </w:r>
      <w:r w:rsidRPr="0074034B">
        <w:t>”</w:t>
      </w:r>
    </w:p>
    <w:p w14:paraId="4938A46A" w14:textId="37CD6D20" w:rsidR="00F65D72" w:rsidRPr="0074034B" w:rsidRDefault="00F65D72" w:rsidP="00F65D72">
      <w:pPr>
        <w:pStyle w:val="SingleTxtG"/>
      </w:pPr>
      <w:r w:rsidRPr="0074034B">
        <w:t>8.</w:t>
      </w:r>
      <w:r>
        <w:tab/>
      </w:r>
      <w:r w:rsidRPr="0074034B">
        <w:t>In test report model No. 12, after the line “Automatic device:”, add the line “</w:t>
      </w:r>
      <w:r w:rsidRPr="00F65D72">
        <w:rPr>
          <w:i/>
          <w:iCs/>
        </w:rPr>
        <w:t xml:space="preserve">Software </w:t>
      </w:r>
      <w:r w:rsidRPr="00962896">
        <w:rPr>
          <w:i/>
          <w:iCs/>
        </w:rPr>
        <w:t>version(s</w:t>
      </w:r>
      <w:r w:rsidRPr="00962896">
        <w:rPr>
          <w:i/>
          <w:iCs/>
        </w:rPr>
        <w:t>):</w:t>
      </w:r>
      <w:r w:rsidRPr="00962896">
        <w:rPr>
          <w:i/>
          <w:iCs/>
          <w:vertAlign w:val="superscript"/>
        </w:rPr>
        <w:t>5,2</w:t>
      </w:r>
      <w:r w:rsidRPr="0074034B">
        <w:t>”.</w:t>
      </w:r>
    </w:p>
    <w:p w14:paraId="1D0848C8" w14:textId="599E65DC" w:rsidR="00F65D72" w:rsidRPr="0074034B" w:rsidRDefault="00F65D72" w:rsidP="00F65D72">
      <w:pPr>
        <w:pStyle w:val="SingleTxtG"/>
      </w:pPr>
      <w:r w:rsidRPr="0074034B">
        <w:t>9.</w:t>
      </w:r>
      <w:r>
        <w:tab/>
      </w:r>
      <w:r w:rsidRPr="0074034B">
        <w:t>At the end of test report model No. 12, add the footnote: “</w:t>
      </w:r>
      <w:r w:rsidRPr="0001206D">
        <w:rPr>
          <w:i/>
          <w:iCs/>
          <w:vertAlign w:val="superscript"/>
        </w:rPr>
        <w:t>5</w:t>
      </w:r>
      <w:r w:rsidRPr="00F65D72">
        <w:rPr>
          <w:i/>
          <w:iCs/>
        </w:rPr>
        <w:t xml:space="preserve"> Indicate the version of all software used.</w:t>
      </w:r>
      <w:r w:rsidRPr="0074034B">
        <w:t>”</w:t>
      </w:r>
    </w:p>
    <w:p w14:paraId="61DCE510" w14:textId="77777777" w:rsidR="00F65D72" w:rsidRPr="0074034B" w:rsidRDefault="00F65D72" w:rsidP="00F65D72">
      <w:pPr>
        <w:pStyle w:val="HChG"/>
      </w:pPr>
      <w:r w:rsidRPr="0074034B">
        <w:tab/>
        <w:t>II.</w:t>
      </w:r>
      <w:r w:rsidRPr="0074034B">
        <w:tab/>
        <w:t>Justification</w:t>
      </w:r>
    </w:p>
    <w:p w14:paraId="724C90CB" w14:textId="74E7F4CA" w:rsidR="00F65D72" w:rsidRPr="0074034B" w:rsidRDefault="00F65D72" w:rsidP="00F65D72">
      <w:pPr>
        <w:pStyle w:val="SingleTxtG"/>
      </w:pPr>
      <w:r w:rsidRPr="0074034B">
        <w:t>10.</w:t>
      </w:r>
      <w:r>
        <w:tab/>
      </w:r>
      <w:r w:rsidRPr="0074034B">
        <w:t>The indication of a software version is already present in the model No. 13. The data in this model should be supplemented. Refrigeration units covered by model No. 12 may be equally affected by the control software.</w:t>
      </w:r>
    </w:p>
    <w:p w14:paraId="7E5BB0DB" w14:textId="77777777" w:rsidR="00F65D72" w:rsidRPr="0074034B" w:rsidRDefault="00F65D72" w:rsidP="00F65D72">
      <w:pPr>
        <w:pStyle w:val="HChG"/>
      </w:pPr>
      <w:r w:rsidRPr="0074034B">
        <w:tab/>
        <w:t>III.</w:t>
      </w:r>
      <w:r w:rsidRPr="0074034B">
        <w:tab/>
        <w:t>Costs</w:t>
      </w:r>
    </w:p>
    <w:p w14:paraId="1E9CBE2B" w14:textId="779EBC60" w:rsidR="00F65D72" w:rsidRPr="0074034B" w:rsidRDefault="00F65D72" w:rsidP="00F65D72">
      <w:pPr>
        <w:pStyle w:val="SingleTxtG"/>
      </w:pPr>
      <w:r w:rsidRPr="0074034B">
        <w:t>11.</w:t>
      </w:r>
      <w:r>
        <w:tab/>
      </w:r>
      <w:r w:rsidRPr="0074034B">
        <w:t>No additional costs are expected for official ATP test stations, or even for manufacturers who must have available the additional parameters required by this proposal as part of their production management.</w:t>
      </w:r>
    </w:p>
    <w:p w14:paraId="7E382DCA" w14:textId="77777777" w:rsidR="00F65D72" w:rsidRPr="0074034B" w:rsidRDefault="00F65D72" w:rsidP="00F65D72">
      <w:pPr>
        <w:pStyle w:val="HChG"/>
      </w:pPr>
      <w:r w:rsidRPr="0074034B">
        <w:tab/>
        <w:t>IV.</w:t>
      </w:r>
      <w:r w:rsidRPr="0074034B">
        <w:tab/>
        <w:t>Feasibility</w:t>
      </w:r>
    </w:p>
    <w:p w14:paraId="4C41AB19" w14:textId="65D78754" w:rsidR="00F65D72" w:rsidRPr="0074034B" w:rsidRDefault="00F65D72" w:rsidP="00F65D72">
      <w:pPr>
        <w:pStyle w:val="SingleTxtG"/>
      </w:pPr>
      <w:r w:rsidRPr="0074034B">
        <w:t>12.</w:t>
      </w:r>
      <w:r>
        <w:tab/>
      </w:r>
      <w:r w:rsidRPr="0074034B">
        <w:t>There are no additional requirements for official ATP test stations.</w:t>
      </w:r>
    </w:p>
    <w:p w14:paraId="0E4DBCB8" w14:textId="77777777" w:rsidR="00F65D72" w:rsidRPr="0074034B" w:rsidRDefault="00F65D72" w:rsidP="00F65D72">
      <w:pPr>
        <w:pStyle w:val="HChG"/>
      </w:pPr>
      <w:r w:rsidRPr="0074034B">
        <w:tab/>
        <w:t>V.</w:t>
      </w:r>
      <w:r w:rsidRPr="0074034B">
        <w:tab/>
        <w:t>Enforceability</w:t>
      </w:r>
    </w:p>
    <w:p w14:paraId="574DA221" w14:textId="08F8B6EE" w:rsidR="00F65D72" w:rsidRDefault="00F65D72" w:rsidP="00F65D72">
      <w:pPr>
        <w:pStyle w:val="SingleTxtG"/>
      </w:pPr>
      <w:r w:rsidRPr="0074034B">
        <w:t>13.</w:t>
      </w:r>
      <w:r>
        <w:tab/>
      </w:r>
      <w:r w:rsidRPr="0074034B">
        <w:t>No problems are foreseen in introducing the proposed amendments to ATP model test reports No. 12 and No. 13.</w:t>
      </w:r>
    </w:p>
    <w:p w14:paraId="4AC5C144" w14:textId="34EE3EA3" w:rsidR="00F65D72" w:rsidRPr="00F65D72" w:rsidRDefault="00F65D72" w:rsidP="00F65D72">
      <w:pPr>
        <w:spacing w:before="240"/>
        <w:jc w:val="center"/>
        <w:rPr>
          <w:u w:val="single"/>
          <w:lang w:val="fr-CH"/>
        </w:rPr>
      </w:pPr>
      <w:r w:rsidRPr="003E5C6C">
        <w:rPr>
          <w:u w:val="single"/>
          <w:lang w:val="fr-CH"/>
        </w:rPr>
        <w:tab/>
      </w:r>
      <w:r w:rsidRPr="003E5C6C">
        <w:rPr>
          <w:u w:val="single"/>
          <w:lang w:val="fr-CH"/>
        </w:rPr>
        <w:tab/>
      </w:r>
      <w:r w:rsidRPr="003E5C6C">
        <w:rPr>
          <w:u w:val="single"/>
          <w:lang w:val="fr-CH"/>
        </w:rPr>
        <w:tab/>
      </w:r>
    </w:p>
    <w:sectPr w:rsidR="00F65D72" w:rsidRPr="00F65D72" w:rsidSect="00587690">
      <w:headerReference w:type="even" r:id="rId9"/>
      <w:headerReference w:type="default" r:id="rId10"/>
      <w:footerReference w:type="even" r:id="rId11"/>
      <w:footerReference w:type="default" r:id="rId12"/>
      <w:footerReference w:type="first" r:id="rId13"/>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AE4B9" w14:textId="77777777" w:rsidR="00DF7EE0" w:rsidRPr="00FB1744" w:rsidRDefault="00DF7EE0" w:rsidP="00FB1744">
      <w:pPr>
        <w:pStyle w:val="Footer"/>
      </w:pPr>
    </w:p>
  </w:endnote>
  <w:endnote w:type="continuationSeparator" w:id="0">
    <w:p w14:paraId="45773891" w14:textId="77777777" w:rsidR="00DF7EE0" w:rsidRPr="00FB1744" w:rsidRDefault="00DF7EE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15E9AF" w14:textId="77777777" w:rsidR="00F65D72" w:rsidRDefault="00F65D72" w:rsidP="00F65D72">
    <w:pPr>
      <w:pStyle w:val="Footer"/>
      <w:tabs>
        <w:tab w:val="right" w:pos="9638"/>
      </w:tabs>
    </w:pPr>
    <w:r w:rsidRPr="00F65D72">
      <w:rPr>
        <w:b/>
        <w:bCs/>
        <w:sz w:val="18"/>
      </w:rPr>
      <w:fldChar w:fldCharType="begin"/>
    </w:r>
    <w:r w:rsidRPr="00F65D72">
      <w:rPr>
        <w:b/>
        <w:bCs/>
        <w:sz w:val="18"/>
      </w:rPr>
      <w:instrText xml:space="preserve"> PAGE  \* MERGEFORMAT </w:instrText>
    </w:r>
    <w:r w:rsidRPr="00F65D72">
      <w:rPr>
        <w:b/>
        <w:bCs/>
        <w:sz w:val="18"/>
      </w:rPr>
      <w:fldChar w:fldCharType="separate"/>
    </w:r>
    <w:r w:rsidRPr="00F65D72">
      <w:rPr>
        <w:b/>
        <w:bCs/>
        <w:noProof/>
        <w:sz w:val="18"/>
      </w:rPr>
      <w:t>2</w:t>
    </w:r>
    <w:r w:rsidRPr="00F65D72">
      <w:rPr>
        <w:b/>
        <w:bCs/>
        <w:sz w:val="18"/>
      </w:rPr>
      <w:fldChar w:fldCharType="end"/>
    </w:r>
    <w:r>
      <w:tab/>
      <w:t>GE.22-12214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5B257" w14:textId="77777777" w:rsidR="00F65D72" w:rsidRDefault="00F65D72" w:rsidP="00F65D72">
    <w:pPr>
      <w:pStyle w:val="Footer"/>
      <w:tabs>
        <w:tab w:val="right" w:pos="9638"/>
      </w:tabs>
    </w:pPr>
    <w:r>
      <w:t>GE.22-12214</w:t>
    </w:r>
    <w:r>
      <w:tab/>
    </w:r>
    <w:r w:rsidRPr="00F65D72">
      <w:rPr>
        <w:b/>
        <w:bCs/>
        <w:sz w:val="18"/>
      </w:rPr>
      <w:fldChar w:fldCharType="begin"/>
    </w:r>
    <w:r w:rsidRPr="00F65D72">
      <w:rPr>
        <w:b/>
        <w:bCs/>
        <w:sz w:val="18"/>
      </w:rPr>
      <w:instrText xml:space="preserve"> PAGE  \* MERGEFORMAT </w:instrText>
    </w:r>
    <w:r w:rsidRPr="00F65D72">
      <w:rPr>
        <w:b/>
        <w:bCs/>
        <w:sz w:val="18"/>
      </w:rPr>
      <w:fldChar w:fldCharType="separate"/>
    </w:r>
    <w:r w:rsidRPr="00F65D72">
      <w:rPr>
        <w:b/>
        <w:bCs/>
        <w:noProof/>
        <w:sz w:val="18"/>
      </w:rPr>
      <w:t>3</w:t>
    </w:r>
    <w:r w:rsidRPr="00F65D72">
      <w:rPr>
        <w:b/>
        <w:bCs/>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0C119B" w14:textId="77777777" w:rsidR="00C448F7" w:rsidRDefault="00F65D72">
    <w:pPr>
      <w:pStyle w:val="Footer"/>
      <w:rPr>
        <w:sz w:val="20"/>
      </w:rPr>
    </w:pPr>
    <w:r w:rsidRPr="0027112F">
      <w:rPr>
        <w:noProof/>
        <w:lang w:val="en-US"/>
      </w:rPr>
      <w:drawing>
        <wp:anchor distT="0" distB="0" distL="114300" distR="114300" simplePos="0" relativeHeight="251659264" behindDoc="0" locked="1" layoutInCell="1" allowOverlap="1" wp14:anchorId="39E55D83" wp14:editId="2F4145DB">
          <wp:simplePos x="0" y="0"/>
          <wp:positionH relativeFrom="column">
            <wp:posOffset>4558030</wp:posOffset>
          </wp:positionH>
          <wp:positionV relativeFrom="page">
            <wp:posOffset>10128250</wp:posOffset>
          </wp:positionV>
          <wp:extent cx="932400" cy="230400"/>
          <wp:effectExtent l="0" t="0" r="1270" b="0"/>
          <wp:wrapNone/>
          <wp:docPr id="5" name="Picture 5" descr="Please recyc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240C1923" w14:textId="46F3B62F" w:rsidR="00F65D72" w:rsidRPr="00F65D72" w:rsidRDefault="00F65D72" w:rsidP="00F65D72">
    <w:pPr>
      <w:pStyle w:val="Footer"/>
      <w:tabs>
        <w:tab w:val="right" w:pos="7370"/>
      </w:tabs>
      <w:rPr>
        <w:sz w:val="20"/>
      </w:rPr>
    </w:pPr>
    <w:r>
      <w:rPr>
        <w:sz w:val="20"/>
      </w:rPr>
      <w:t>GE.22-</w:t>
    </w:r>
    <w:proofErr w:type="gramStart"/>
    <w:r>
      <w:rPr>
        <w:sz w:val="20"/>
      </w:rPr>
      <w:t>12214  (</w:t>
    </w:r>
    <w:proofErr w:type="gramEnd"/>
    <w:r>
      <w:rPr>
        <w:sz w:val="20"/>
      </w:rPr>
      <w:t>E)</w:t>
    </w:r>
    <w:r>
      <w:rPr>
        <w:noProof/>
        <w:sz w:val="20"/>
      </w:rPr>
      <w:drawing>
        <wp:anchor distT="0" distB="0" distL="114300" distR="114300" simplePos="0" relativeHeight="251660288" behindDoc="0" locked="0" layoutInCell="1" allowOverlap="1" wp14:anchorId="7621B62D" wp14:editId="0656D177">
          <wp:simplePos x="0" y="0"/>
          <wp:positionH relativeFrom="margin">
            <wp:posOffset>5583555</wp:posOffset>
          </wp:positionH>
          <wp:positionV relativeFrom="margin">
            <wp:posOffset>8981440</wp:posOffset>
          </wp:positionV>
          <wp:extent cx="638175" cy="638175"/>
          <wp:effectExtent l="0" t="0" r="9525" b="952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0001206D">
      <w:rPr>
        <w:sz w:val="20"/>
      </w:rPr>
      <w:t xml:space="preserve">    110822    110822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8E306" w14:textId="77777777" w:rsidR="00DF7EE0" w:rsidRPr="00FB1744" w:rsidRDefault="00DF7EE0" w:rsidP="00FB1744">
      <w:pPr>
        <w:tabs>
          <w:tab w:val="right" w:pos="2155"/>
        </w:tabs>
        <w:spacing w:after="80" w:line="240" w:lineRule="auto"/>
        <w:ind w:left="680"/>
      </w:pPr>
      <w:r>
        <w:rPr>
          <w:u w:val="single"/>
        </w:rPr>
        <w:tab/>
      </w:r>
    </w:p>
  </w:footnote>
  <w:footnote w:type="continuationSeparator" w:id="0">
    <w:p w14:paraId="1DB3611D" w14:textId="77777777" w:rsidR="00DF7EE0" w:rsidRPr="00FB1744" w:rsidRDefault="00DF7EE0"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8F221" w14:textId="77777777" w:rsidR="00F65D72" w:rsidRDefault="00F65D72" w:rsidP="00F65D72">
    <w:pPr>
      <w:pStyle w:val="Header"/>
    </w:pPr>
    <w:r>
      <w:t>ECE/TRANS/WP.11/2021/6/Rev.1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66FA8" w14:textId="77777777" w:rsidR="00F65D72" w:rsidRDefault="00F65D72" w:rsidP="00F65D72">
    <w:pPr>
      <w:pStyle w:val="Header"/>
      <w:jc w:val="right"/>
    </w:pPr>
    <w:r>
      <w:t>ECE/TRANS/WP.11/2021/6/Rev.1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4"/>
  </w:num>
  <w:num w:numId="5">
    <w:abstractNumId w:val="5"/>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hyphenationZone w:val="425"/>
  <w:evenAndOddHeaders/>
  <w:characterSpacingControl w:val="doNotCompress"/>
  <w:hdrShapeDefaults>
    <o:shapedefaults v:ext="edit" spidmax="2050"/>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1NjcxNzAwMzKwNDFU0lEKTi0uzszPAykwrAUArDjlOiwAAAA="/>
  </w:docVars>
  <w:rsids>
    <w:rsidRoot w:val="00DF7EE0"/>
    <w:rsid w:val="0001206D"/>
    <w:rsid w:val="00046E92"/>
    <w:rsid w:val="000D1B89"/>
    <w:rsid w:val="000F6E29"/>
    <w:rsid w:val="001170DC"/>
    <w:rsid w:val="00247E2C"/>
    <w:rsid w:val="002D6C53"/>
    <w:rsid w:val="002F5595"/>
    <w:rsid w:val="00334F6A"/>
    <w:rsid w:val="00342AC8"/>
    <w:rsid w:val="003B4550"/>
    <w:rsid w:val="0043448D"/>
    <w:rsid w:val="00461253"/>
    <w:rsid w:val="005042C2"/>
    <w:rsid w:val="00506C12"/>
    <w:rsid w:val="0056599A"/>
    <w:rsid w:val="00585AE1"/>
    <w:rsid w:val="00587690"/>
    <w:rsid w:val="00671529"/>
    <w:rsid w:val="006A5598"/>
    <w:rsid w:val="00717266"/>
    <w:rsid w:val="007268F9"/>
    <w:rsid w:val="007C52B0"/>
    <w:rsid w:val="009411B4"/>
    <w:rsid w:val="00962896"/>
    <w:rsid w:val="009D0139"/>
    <w:rsid w:val="009F5CDC"/>
    <w:rsid w:val="00A429CD"/>
    <w:rsid w:val="00A775CF"/>
    <w:rsid w:val="00AB3C7E"/>
    <w:rsid w:val="00B06045"/>
    <w:rsid w:val="00C35A27"/>
    <w:rsid w:val="00C448F7"/>
    <w:rsid w:val="00DF7EE0"/>
    <w:rsid w:val="00E02C2B"/>
    <w:rsid w:val="00E665C4"/>
    <w:rsid w:val="00E929D6"/>
    <w:rsid w:val="00ED6C48"/>
    <w:rsid w:val="00EF76C5"/>
    <w:rsid w:val="00F65D72"/>
    <w:rsid w:val="00F65F5D"/>
    <w:rsid w:val="00F86A3A"/>
    <w:rsid w:val="00FB1744"/>
    <w:rsid w:val="00FC04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E5C78A1"/>
  <w15:docId w15:val="{A7F39A39-5A7F-4075-8D3C-E3D24BB68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29D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outlineLvl w:val="1"/>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outlineLvl w:val="5"/>
    </w:pPr>
  </w:style>
  <w:style w:type="paragraph" w:customStyle="1" w:styleId="SingleTxtG">
    <w:name w:val="_ Single Txt_G"/>
    <w:basedOn w:val="Normal"/>
    <w:link w:val="SingleTxtGChar"/>
    <w:rsid w:val="00EF76C5"/>
    <w:pPr>
      <w:tabs>
        <w:tab w:val="left" w:pos="1701"/>
        <w:tab w:val="left" w:pos="2268"/>
      </w:tabs>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EF76C5"/>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20without%20Compatibility\COVERPAGES\CESC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8B45D5-B923-4B30-B681-C387A64BF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CESCR.dotm</Template>
  <TotalTime>0</TotalTime>
  <Pages>2</Pages>
  <Words>586</Words>
  <Characters>3024</Characters>
  <Application>Microsoft Office Word</Application>
  <DocSecurity>0</DocSecurity>
  <Lines>73</Lines>
  <Paragraphs>41</Paragraphs>
  <ScaleCrop>false</ScaleCrop>
  <HeadingPairs>
    <vt:vector size="2" baseType="variant">
      <vt:variant>
        <vt:lpstr>Title</vt:lpstr>
      </vt:variant>
      <vt:variant>
        <vt:i4>1</vt:i4>
      </vt:variant>
    </vt:vector>
  </HeadingPairs>
  <TitlesOfParts>
    <vt:vector size="1" baseType="lpstr">
      <vt:lpstr>ECE/TRANS/WP.11/2021/6/Rev.1</vt:lpstr>
    </vt:vector>
  </TitlesOfParts>
  <Company>DCM</Company>
  <LinksUpToDate>false</LinksUpToDate>
  <CharactersWithSpaces>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ECE/TRANS/WP.11/2021/6/Rev.1</dc:title>
  <dc:subject>2212214</dc:subject>
  <dc:creator>dm</dc:creator>
  <cp:keywords/>
  <dc:description/>
  <cp:lastModifiedBy>Don Canete Martin</cp:lastModifiedBy>
  <cp:revision>2</cp:revision>
  <dcterms:created xsi:type="dcterms:W3CDTF">2022-08-11T09:43:00Z</dcterms:created>
  <dcterms:modified xsi:type="dcterms:W3CDTF">2022-08-11T09:43:00Z</dcterms:modified>
</cp:coreProperties>
</file>