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68AC319" w14:textId="77777777" w:rsidTr="000D1B89">
        <w:trPr>
          <w:cantSplit/>
          <w:trHeight w:hRule="exact" w:val="851"/>
        </w:trPr>
        <w:tc>
          <w:tcPr>
            <w:tcW w:w="1276" w:type="dxa"/>
            <w:tcBorders>
              <w:bottom w:val="single" w:sz="4" w:space="0" w:color="auto"/>
            </w:tcBorders>
            <w:vAlign w:val="bottom"/>
          </w:tcPr>
          <w:p w14:paraId="493D7A23" w14:textId="77777777" w:rsidR="00717266" w:rsidRDefault="00717266" w:rsidP="000D1B89">
            <w:pPr>
              <w:spacing w:after="80"/>
            </w:pPr>
          </w:p>
        </w:tc>
        <w:tc>
          <w:tcPr>
            <w:tcW w:w="2268" w:type="dxa"/>
            <w:tcBorders>
              <w:bottom w:val="single" w:sz="4" w:space="0" w:color="auto"/>
            </w:tcBorders>
            <w:vAlign w:val="bottom"/>
          </w:tcPr>
          <w:p w14:paraId="56835F1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E3CF0C" w14:textId="77777777" w:rsidR="00717266" w:rsidRPr="00D47EEA" w:rsidRDefault="00AF1753" w:rsidP="00AF1753">
            <w:pPr>
              <w:suppressAutoHyphens w:val="0"/>
              <w:spacing w:after="20"/>
              <w:jc w:val="right"/>
            </w:pPr>
            <w:r w:rsidRPr="00AF1753">
              <w:rPr>
                <w:sz w:val="40"/>
              </w:rPr>
              <w:t>ECE</w:t>
            </w:r>
            <w:r>
              <w:t>/TRANS/WP.11/2021/11/Rev.1</w:t>
            </w:r>
          </w:p>
        </w:tc>
      </w:tr>
      <w:tr w:rsidR="00717266" w14:paraId="21CA7747" w14:textId="77777777" w:rsidTr="000D1B89">
        <w:trPr>
          <w:cantSplit/>
          <w:trHeight w:hRule="exact" w:val="2835"/>
        </w:trPr>
        <w:tc>
          <w:tcPr>
            <w:tcW w:w="1276" w:type="dxa"/>
            <w:tcBorders>
              <w:top w:val="single" w:sz="4" w:space="0" w:color="auto"/>
              <w:bottom w:val="single" w:sz="12" w:space="0" w:color="auto"/>
            </w:tcBorders>
          </w:tcPr>
          <w:p w14:paraId="346B515A" w14:textId="77777777" w:rsidR="00717266" w:rsidRDefault="00717266" w:rsidP="000D1B89">
            <w:pPr>
              <w:spacing w:before="120"/>
            </w:pPr>
            <w:r>
              <w:rPr>
                <w:noProof/>
                <w:lang w:val="fr-CH" w:eastAsia="fr-CH"/>
              </w:rPr>
              <w:drawing>
                <wp:inline distT="0" distB="0" distL="0" distR="0" wp14:anchorId="1C9094E8" wp14:editId="71AD580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1CB72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CABE5C8" w14:textId="77777777" w:rsidR="00717266" w:rsidRDefault="00AF1753" w:rsidP="00AF1753">
            <w:pPr>
              <w:spacing w:before="240"/>
            </w:pPr>
            <w:r>
              <w:t>Distr.: General</w:t>
            </w:r>
          </w:p>
          <w:p w14:paraId="599AF87B" w14:textId="77777777" w:rsidR="00AF1753" w:rsidRDefault="00AF1753" w:rsidP="00AF1753">
            <w:pPr>
              <w:suppressAutoHyphens w:val="0"/>
            </w:pPr>
            <w:r>
              <w:t>5 August 2022</w:t>
            </w:r>
          </w:p>
          <w:p w14:paraId="293B63D2" w14:textId="01EC73CF" w:rsidR="00AF1753" w:rsidRDefault="00AF1753" w:rsidP="00AF1753">
            <w:pPr>
              <w:tabs>
                <w:tab w:val="left" w:pos="947"/>
              </w:tabs>
              <w:suppressAutoHyphens w:val="0"/>
            </w:pPr>
            <w:r>
              <w:t>English</w:t>
            </w:r>
          </w:p>
          <w:p w14:paraId="667140A9" w14:textId="77777777" w:rsidR="00AF1753" w:rsidRDefault="00AF1753" w:rsidP="00AF1753">
            <w:pPr>
              <w:suppressAutoHyphens w:val="0"/>
            </w:pPr>
            <w:r>
              <w:t>Original: French</w:t>
            </w:r>
          </w:p>
        </w:tc>
      </w:tr>
    </w:tbl>
    <w:p w14:paraId="3574EF4A" w14:textId="77777777" w:rsidR="00AF1753" w:rsidRDefault="00AF1753">
      <w:pPr>
        <w:spacing w:before="120"/>
        <w:rPr>
          <w:b/>
          <w:sz w:val="28"/>
          <w:szCs w:val="28"/>
        </w:rPr>
      </w:pPr>
      <w:r>
        <w:rPr>
          <w:b/>
          <w:sz w:val="28"/>
          <w:szCs w:val="28"/>
        </w:rPr>
        <w:t>Economic Commission for Europe</w:t>
      </w:r>
    </w:p>
    <w:p w14:paraId="620CC824" w14:textId="77777777" w:rsidR="00AF1753" w:rsidRDefault="00AF1753">
      <w:pPr>
        <w:spacing w:before="120"/>
        <w:rPr>
          <w:sz w:val="28"/>
          <w:szCs w:val="28"/>
        </w:rPr>
      </w:pPr>
      <w:r>
        <w:rPr>
          <w:sz w:val="28"/>
          <w:szCs w:val="28"/>
        </w:rPr>
        <w:t>Inland Transport Committee</w:t>
      </w:r>
    </w:p>
    <w:p w14:paraId="1F66FA40" w14:textId="2EE928AF" w:rsidR="00AF1753" w:rsidRDefault="00AF1753">
      <w:pPr>
        <w:spacing w:before="120"/>
        <w:rPr>
          <w:b/>
          <w:sz w:val="24"/>
          <w:szCs w:val="24"/>
        </w:rPr>
      </w:pPr>
      <w:r>
        <w:rPr>
          <w:b/>
          <w:sz w:val="24"/>
          <w:szCs w:val="24"/>
        </w:rPr>
        <w:t xml:space="preserve">Working Party on the Transport of </w:t>
      </w:r>
      <w:r w:rsidR="001151B1" w:rsidRPr="001151B1">
        <w:rPr>
          <w:b/>
          <w:sz w:val="24"/>
          <w:szCs w:val="24"/>
        </w:rPr>
        <w:t>Perishable Foodstuffs</w:t>
      </w:r>
    </w:p>
    <w:p w14:paraId="40411D79" w14:textId="77777777" w:rsidR="001151B1" w:rsidRDefault="001151B1" w:rsidP="001151B1">
      <w:pPr>
        <w:spacing w:before="120"/>
        <w:rPr>
          <w:b/>
          <w:bCs/>
        </w:rPr>
      </w:pPr>
      <w:r>
        <w:rPr>
          <w:b/>
          <w:bCs/>
        </w:rPr>
        <w:t>Seventy-ninth session</w:t>
      </w:r>
    </w:p>
    <w:p w14:paraId="1D148BD7" w14:textId="77777777" w:rsidR="001151B1" w:rsidRDefault="001151B1" w:rsidP="001151B1">
      <w:r>
        <w:t>Geneva, 25–28 October 2022</w:t>
      </w:r>
    </w:p>
    <w:p w14:paraId="38458BA0" w14:textId="77777777" w:rsidR="001151B1" w:rsidRDefault="001151B1" w:rsidP="001151B1">
      <w:pPr>
        <w:pStyle w:val="Standard"/>
        <w:tabs>
          <w:tab w:val="center" w:pos="4819"/>
        </w:tabs>
        <w:overflowPunct w:val="0"/>
        <w:snapToGrid/>
      </w:pPr>
      <w:r>
        <w:rPr>
          <w:lang w:val="en-GB"/>
        </w:rPr>
        <w:t>Item 6 of the provisional agenda</w:t>
      </w:r>
    </w:p>
    <w:p w14:paraId="5F0A4EC4" w14:textId="77777777" w:rsidR="001151B1" w:rsidRDefault="001151B1" w:rsidP="001151B1">
      <w:pPr>
        <w:rPr>
          <w:b/>
          <w:bCs/>
        </w:rPr>
      </w:pPr>
      <w:r>
        <w:rPr>
          <w:b/>
          <w:bCs/>
        </w:rPr>
        <w:t>ATP Handbook</w:t>
      </w:r>
    </w:p>
    <w:p w14:paraId="18CA4BEB" w14:textId="77777777" w:rsidR="001151B1" w:rsidRPr="000C3183" w:rsidRDefault="001151B1" w:rsidP="001151B1">
      <w:pPr>
        <w:pStyle w:val="HChG"/>
      </w:pPr>
      <w:r>
        <w:tab/>
      </w:r>
      <w:r>
        <w:tab/>
      </w:r>
      <w:r>
        <w:rPr>
          <w:bCs/>
        </w:rPr>
        <w:t>Amendment to paragraph 7.3.6 of Annex 1, Appendix 2 of the ATP Handbook: Treatment of specific application cases using the multi-temperature equipment dimensioning tool</w:t>
      </w:r>
    </w:p>
    <w:p w14:paraId="23CF2641" w14:textId="77777777" w:rsidR="001151B1" w:rsidRDefault="001151B1" w:rsidP="001151B1">
      <w:pPr>
        <w:pStyle w:val="H1G"/>
      </w:pPr>
      <w:r>
        <w:tab/>
      </w:r>
      <w:r>
        <w:tab/>
      </w:r>
      <w:r>
        <w:tab/>
        <w:t>Transmitted by the Government of France</w:t>
      </w:r>
    </w:p>
    <w:p w14:paraId="5CFB41B6" w14:textId="77777777" w:rsidR="001151B1" w:rsidRPr="005A1DF1" w:rsidRDefault="001151B1" w:rsidP="001151B1">
      <w:pPr>
        <w:rPr>
          <w:b/>
          <w:bCs/>
        </w:rPr>
      </w:pPr>
      <w:r>
        <w:tab/>
      </w:r>
      <w:r>
        <w:tab/>
      </w:r>
      <w:r>
        <w:rPr>
          <w:b/>
          <w:bCs/>
        </w:rPr>
        <w:t>Revision</w:t>
      </w:r>
    </w:p>
    <w:p w14:paraId="2E14C281" w14:textId="77777777" w:rsidR="001151B1" w:rsidRDefault="001151B1" w:rsidP="001151B1">
      <w:pPr>
        <w:pStyle w:val="HChG"/>
      </w:pPr>
      <w:r>
        <w:tab/>
      </w:r>
      <w:r>
        <w:tab/>
      </w:r>
      <w:r>
        <w:tab/>
      </w:r>
      <w:r>
        <w:rPr>
          <w:bCs/>
        </w:rPr>
        <w:t>Introduction</w:t>
      </w:r>
      <w:bookmarkStart w:id="0" w:name="OLE_LINK2"/>
      <w:bookmarkStart w:id="1" w:name="OLE_LINK1"/>
      <w:bookmarkEnd w:id="0"/>
      <w:bookmarkEnd w:id="1"/>
    </w:p>
    <w:p w14:paraId="6D768B1A" w14:textId="77777777" w:rsidR="001151B1" w:rsidRPr="005E7383" w:rsidRDefault="001151B1" w:rsidP="001151B1">
      <w:pPr>
        <w:pStyle w:val="SingleTxtG"/>
      </w:pPr>
      <w:r>
        <w:t>1.</w:t>
      </w:r>
      <w:r>
        <w:tab/>
        <w:t>Under the new provisions of the version of ATP of 6 July 2020 and included in its version of 1 June 2022, all applications for ATP certificates for multi-temperature equipment manufactured after 1 October 2020 must include the declaration of conformity that is to be attached to the certificate.</w:t>
      </w:r>
    </w:p>
    <w:p w14:paraId="77C36625" w14:textId="77777777" w:rsidR="001151B1" w:rsidRPr="005E7383" w:rsidRDefault="001151B1" w:rsidP="001151B1">
      <w:pPr>
        <w:pStyle w:val="SingleTxtG"/>
      </w:pPr>
      <w:r>
        <w:t>2.</w:t>
      </w:r>
      <w:r>
        <w:tab/>
        <w:t>Equipment manufacturers use an automated multi-temperature equipment dimensioning tool to justify the correct dimensioning of equipment. This tool covers the vast majority of cases, but the treatment of some specific cases makes it necessary to use an appropriate dimensioning method.</w:t>
      </w:r>
    </w:p>
    <w:p w14:paraId="1E328378" w14:textId="77777777" w:rsidR="001151B1" w:rsidRDefault="001151B1" w:rsidP="001151B1">
      <w:pPr>
        <w:pStyle w:val="SingleTxtG"/>
      </w:pPr>
      <w:r>
        <w:t>3.</w:t>
      </w:r>
      <w:r>
        <w:tab/>
        <w:t>The purpose of this document is to specify the operating procedures for specific cases.</w:t>
      </w:r>
    </w:p>
    <w:p w14:paraId="12EA46F9" w14:textId="77777777" w:rsidR="001151B1" w:rsidRDefault="001151B1" w:rsidP="001151B1">
      <w:pPr>
        <w:pStyle w:val="HChG"/>
      </w:pPr>
      <w:r>
        <w:rPr>
          <w:bCs/>
        </w:rPr>
        <w:tab/>
        <w:t>I.</w:t>
      </w:r>
      <w:r>
        <w:tab/>
      </w:r>
      <w:r>
        <w:rPr>
          <w:bCs/>
        </w:rPr>
        <w:t>Proposed amendment to the ATP Handbook</w:t>
      </w:r>
    </w:p>
    <w:p w14:paraId="40B170A9" w14:textId="77777777" w:rsidR="001151B1" w:rsidRDefault="001151B1" w:rsidP="001151B1">
      <w:pPr>
        <w:pStyle w:val="SingleTxtG"/>
        <w:rPr>
          <w:kern w:val="3"/>
        </w:rPr>
      </w:pPr>
      <w:r>
        <w:t>4.</w:t>
      </w:r>
      <w:r>
        <w:tab/>
        <w:t>It is proposed to add the following text to the ATP Handbook, in paragraph 7.3.6 of Annex 1, Appendix 2:</w:t>
      </w:r>
    </w:p>
    <w:p w14:paraId="723BD1B1" w14:textId="0A4AFFF5" w:rsidR="001151B1" w:rsidRPr="005E7383" w:rsidRDefault="001151B1" w:rsidP="001151B1">
      <w:pPr>
        <w:pStyle w:val="SingleTxtG"/>
        <w:rPr>
          <w:i/>
          <w:iCs/>
        </w:rPr>
      </w:pPr>
      <w:r>
        <w:rPr>
          <w:i/>
          <w:iCs/>
        </w:rPr>
        <w:t>“The following provisions are intended to clarify the method for dimensioning equipment in specific cases.”</w:t>
      </w:r>
    </w:p>
    <w:p w14:paraId="7BE86C62" w14:textId="77777777" w:rsidR="001151B1" w:rsidRPr="0029552B" w:rsidRDefault="001151B1" w:rsidP="001151B1">
      <w:pPr>
        <w:pStyle w:val="SingleTxtG"/>
        <w:keepNext/>
        <w:keepLines/>
        <w:rPr>
          <w:b/>
          <w:bCs/>
          <w:i/>
          <w:iCs/>
        </w:rPr>
      </w:pPr>
      <w:bookmarkStart w:id="2" w:name="_Toc74639437"/>
      <w:bookmarkStart w:id="3" w:name="_Toc74571785"/>
      <w:bookmarkStart w:id="4" w:name="_Toc74571592"/>
      <w:r>
        <w:rPr>
          <w:b/>
          <w:bCs/>
          <w:i/>
          <w:iCs/>
        </w:rPr>
        <w:t>Case of multi-compartment equipment with a variable number of compartments</w:t>
      </w:r>
      <w:bookmarkEnd w:id="2"/>
      <w:bookmarkEnd w:id="3"/>
      <w:bookmarkEnd w:id="4"/>
    </w:p>
    <w:p w14:paraId="1E92D9D3" w14:textId="77777777" w:rsidR="001151B1" w:rsidRPr="0029552B" w:rsidRDefault="001151B1" w:rsidP="001151B1">
      <w:pPr>
        <w:pStyle w:val="SingleTxtG"/>
        <w:rPr>
          <w:i/>
          <w:iCs/>
          <w:kern w:val="3"/>
        </w:rPr>
      </w:pPr>
      <w:r>
        <w:rPr>
          <w:i/>
          <w:iCs/>
        </w:rPr>
        <w:t>All configurations must be calculated to verify the correct dimensioning of the equipment.</w:t>
      </w:r>
      <w:r>
        <w:t xml:space="preserve"> </w:t>
      </w:r>
      <w:r>
        <w:rPr>
          <w:i/>
          <w:iCs/>
        </w:rPr>
        <w:t>However, only the most relevant configuration should be presented in the annex to the certificate.</w:t>
      </w:r>
      <w:r>
        <w:t xml:space="preserve"> </w:t>
      </w:r>
      <w:r>
        <w:rPr>
          <w:i/>
          <w:iCs/>
        </w:rPr>
        <w:t>The sketch showing the configuration corresponding to the configuration of the application for certification must be attached.</w:t>
      </w:r>
      <w:r>
        <w:t xml:space="preserve"> </w:t>
      </w:r>
      <w:r>
        <w:rPr>
          <w:i/>
          <w:iCs/>
        </w:rPr>
        <w:t>Prior to applying for certification, the manufacturer or fitter shall check the correct dimensioning in the most unfavourable case.</w:t>
      </w:r>
      <w:r>
        <w:t xml:space="preserve"> </w:t>
      </w:r>
      <w:r>
        <w:rPr>
          <w:i/>
          <w:iCs/>
        </w:rPr>
        <w:lastRenderedPageBreak/>
        <w:t>The most unfavourable case corresponds to the configuration with the position of the partitions and the number of compartments that require the greatest refrigeration capacity.</w:t>
      </w:r>
      <w:r>
        <w:t xml:space="preserve"> </w:t>
      </w:r>
      <w:r>
        <w:rPr>
          <w:i/>
          <w:iCs/>
        </w:rPr>
        <w:t>These different calculated configurations shall be kept by the applicant, to be verified during audits.</w:t>
      </w:r>
    </w:p>
    <w:p w14:paraId="02BB2EA0" w14:textId="77777777" w:rsidR="001151B1" w:rsidRPr="0029552B" w:rsidRDefault="001151B1" w:rsidP="001151B1">
      <w:pPr>
        <w:pStyle w:val="SingleTxtG"/>
        <w:rPr>
          <w:i/>
          <w:iCs/>
          <w:u w:val="single"/>
        </w:rPr>
      </w:pPr>
      <w:r>
        <w:rPr>
          <w:i/>
          <w:iCs/>
          <w:u w:val="single"/>
        </w:rPr>
        <w:t>Example : case of a "J" configuration (the size of the compartments is defined by the position of the stops or markings on the walls of the body)</w:t>
      </w:r>
    </w:p>
    <w:p w14:paraId="61F861BA" w14:textId="1DE5361F" w:rsidR="001151B1" w:rsidRPr="001D3879" w:rsidRDefault="002D3A5F" w:rsidP="002D3A5F">
      <w:pPr>
        <w:pStyle w:val="Bullet1G"/>
        <w:numPr>
          <w:ilvl w:val="0"/>
          <w:numId w:val="0"/>
        </w:numPr>
        <w:kinsoku w:val="0"/>
        <w:overflowPunct w:val="0"/>
        <w:autoSpaceDE w:val="0"/>
        <w:autoSpaceDN w:val="0"/>
        <w:adjustRightInd w:val="0"/>
        <w:snapToGrid w:val="0"/>
        <w:ind w:left="1701" w:hanging="567"/>
        <w:rPr>
          <w:i/>
          <w:iCs/>
          <w:kern w:val="3"/>
        </w:rPr>
      </w:pPr>
      <w:r w:rsidRPr="001D3879">
        <w:rPr>
          <w:iCs/>
          <w:kern w:val="3"/>
        </w:rPr>
        <w:t>•</w:t>
      </w:r>
      <w:r w:rsidRPr="001D3879">
        <w:rPr>
          <w:iCs/>
          <w:kern w:val="3"/>
        </w:rPr>
        <w:tab/>
      </w:r>
      <w:r w:rsidR="001151B1">
        <w:rPr>
          <w:i/>
          <w:iCs/>
        </w:rPr>
        <w:t xml:space="preserve">The dimensioning is checked for the </w:t>
      </w:r>
      <w:r w:rsidR="001151B1" w:rsidRPr="003E3CDD">
        <w:t>most</w:t>
      </w:r>
      <w:r w:rsidR="001151B1">
        <w:rPr>
          <w:i/>
          <w:iCs/>
        </w:rPr>
        <w:t xml:space="preserve"> unfavourable case</w:t>
      </w:r>
    </w:p>
    <w:tbl>
      <w:tblPr>
        <w:tblStyle w:val="TableGrid"/>
        <w:tblW w:w="8176" w:type="dxa"/>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409"/>
        <w:gridCol w:w="851"/>
        <w:gridCol w:w="850"/>
        <w:gridCol w:w="2410"/>
        <w:gridCol w:w="947"/>
      </w:tblGrid>
      <w:tr w:rsidR="001151B1" w14:paraId="7F27383C" w14:textId="77777777" w:rsidTr="00E4518C">
        <w:tc>
          <w:tcPr>
            <w:tcW w:w="709" w:type="dxa"/>
            <w:shd w:val="clear" w:color="auto" w:fill="auto"/>
            <w:vAlign w:val="center"/>
          </w:tcPr>
          <w:p w14:paraId="10C9FFDB" w14:textId="77777777" w:rsidR="001151B1" w:rsidRPr="00A006D3" w:rsidRDefault="001151B1" w:rsidP="00E4518C">
            <w:pPr>
              <w:pStyle w:val="Bullet1G"/>
              <w:numPr>
                <w:ilvl w:val="0"/>
                <w:numId w:val="0"/>
              </w:numPr>
              <w:spacing w:line="240" w:lineRule="auto"/>
              <w:ind w:right="0"/>
              <w:jc w:val="center"/>
              <w:rPr>
                <w:i/>
                <w:iCs/>
              </w:rPr>
            </w:pPr>
          </w:p>
        </w:tc>
        <w:tc>
          <w:tcPr>
            <w:tcW w:w="2409" w:type="dxa"/>
            <w:shd w:val="clear" w:color="auto" w:fill="auto"/>
            <w:vAlign w:val="center"/>
          </w:tcPr>
          <w:p w14:paraId="30693287" w14:textId="1B766A96" w:rsidR="001151B1" w:rsidRPr="00A006D3" w:rsidRDefault="001151B1" w:rsidP="00E4518C">
            <w:pPr>
              <w:pStyle w:val="Bullet1G"/>
              <w:numPr>
                <w:ilvl w:val="0"/>
                <w:numId w:val="0"/>
              </w:numPr>
              <w:spacing w:line="240" w:lineRule="auto"/>
              <w:ind w:right="0"/>
              <w:jc w:val="center"/>
              <w:rPr>
                <w:iCs/>
              </w:rPr>
            </w:pPr>
            <w:r>
              <w:t>STAGE 1A</w:t>
            </w:r>
          </w:p>
        </w:tc>
        <w:tc>
          <w:tcPr>
            <w:tcW w:w="851" w:type="dxa"/>
            <w:shd w:val="clear" w:color="auto" w:fill="auto"/>
            <w:vAlign w:val="center"/>
          </w:tcPr>
          <w:p w14:paraId="4EC420D6" w14:textId="77777777" w:rsidR="001151B1" w:rsidRPr="00A006D3" w:rsidRDefault="001151B1" w:rsidP="00E4518C">
            <w:pPr>
              <w:pStyle w:val="Bullet1G"/>
              <w:numPr>
                <w:ilvl w:val="0"/>
                <w:numId w:val="0"/>
              </w:numPr>
              <w:spacing w:line="240" w:lineRule="auto"/>
              <w:ind w:right="0"/>
              <w:jc w:val="center"/>
              <w:rPr>
                <w:i/>
                <w:iCs/>
              </w:rPr>
            </w:pPr>
          </w:p>
        </w:tc>
        <w:tc>
          <w:tcPr>
            <w:tcW w:w="850" w:type="dxa"/>
            <w:shd w:val="clear" w:color="auto" w:fill="auto"/>
            <w:vAlign w:val="center"/>
          </w:tcPr>
          <w:p w14:paraId="552C89A2" w14:textId="77777777" w:rsidR="001151B1" w:rsidRPr="00A006D3" w:rsidRDefault="001151B1" w:rsidP="00E4518C">
            <w:pPr>
              <w:pStyle w:val="Bullet1G"/>
              <w:numPr>
                <w:ilvl w:val="0"/>
                <w:numId w:val="0"/>
              </w:numPr>
              <w:spacing w:line="240" w:lineRule="auto"/>
              <w:ind w:right="0"/>
              <w:jc w:val="center"/>
              <w:rPr>
                <w:i/>
                <w:iCs/>
              </w:rPr>
            </w:pPr>
          </w:p>
        </w:tc>
        <w:tc>
          <w:tcPr>
            <w:tcW w:w="2410" w:type="dxa"/>
            <w:shd w:val="clear" w:color="auto" w:fill="auto"/>
            <w:vAlign w:val="center"/>
          </w:tcPr>
          <w:p w14:paraId="28A8E82A" w14:textId="28E3BE0E" w:rsidR="001151B1" w:rsidRPr="00A006D3" w:rsidRDefault="001151B1" w:rsidP="00E4518C">
            <w:pPr>
              <w:pStyle w:val="Bullet1G"/>
              <w:numPr>
                <w:ilvl w:val="0"/>
                <w:numId w:val="0"/>
              </w:numPr>
              <w:spacing w:after="0" w:line="240" w:lineRule="auto"/>
              <w:ind w:right="0"/>
              <w:jc w:val="center"/>
              <w:rPr>
                <w:i/>
                <w:iCs/>
              </w:rPr>
            </w:pPr>
            <w:r>
              <w:t>STAGE 1B</w:t>
            </w:r>
          </w:p>
        </w:tc>
        <w:tc>
          <w:tcPr>
            <w:tcW w:w="947" w:type="dxa"/>
            <w:vAlign w:val="center"/>
          </w:tcPr>
          <w:p w14:paraId="72DF64B4" w14:textId="77777777" w:rsidR="001151B1" w:rsidRPr="00A006D3" w:rsidRDefault="001151B1" w:rsidP="00E4518C">
            <w:pPr>
              <w:pStyle w:val="Bullet1G"/>
              <w:numPr>
                <w:ilvl w:val="0"/>
                <w:numId w:val="0"/>
              </w:numPr>
              <w:spacing w:line="240" w:lineRule="auto"/>
              <w:ind w:right="0"/>
              <w:jc w:val="center"/>
              <w:rPr>
                <w:i/>
                <w:iCs/>
              </w:rPr>
            </w:pPr>
          </w:p>
        </w:tc>
      </w:tr>
      <w:tr w:rsidR="001151B1" w14:paraId="3B37B302" w14:textId="77777777" w:rsidTr="00E4518C">
        <w:tc>
          <w:tcPr>
            <w:tcW w:w="709" w:type="dxa"/>
            <w:shd w:val="clear" w:color="auto" w:fill="auto"/>
            <w:vAlign w:val="center"/>
          </w:tcPr>
          <w:p w14:paraId="1EA556E7" w14:textId="77777777" w:rsidR="001151B1" w:rsidRPr="00A006D3" w:rsidRDefault="001151B1" w:rsidP="00E4518C">
            <w:pPr>
              <w:pStyle w:val="ListParagraph"/>
              <w:spacing w:line="20" w:lineRule="atLeast"/>
              <w:ind w:left="57"/>
            </w:pPr>
            <w:r>
              <w:rPr>
                <w:lang w:val="en-GB"/>
              </w:rPr>
              <w:t>Front</w:t>
            </w:r>
          </w:p>
        </w:tc>
        <w:tc>
          <w:tcPr>
            <w:tcW w:w="2409" w:type="dxa"/>
            <w:shd w:val="clear" w:color="auto" w:fill="auto"/>
            <w:vAlign w:val="center"/>
          </w:tcPr>
          <w:p w14:paraId="48038E32" w14:textId="77777777" w:rsidR="001151B1" w:rsidRPr="00A006D3" w:rsidRDefault="001151B1" w:rsidP="00E4518C">
            <w:pPr>
              <w:pStyle w:val="Bullet1G"/>
              <w:numPr>
                <w:ilvl w:val="0"/>
                <w:numId w:val="0"/>
              </w:numPr>
              <w:jc w:val="left"/>
              <w:rPr>
                <w:i/>
                <w:iCs/>
              </w:rPr>
            </w:pPr>
            <w:r w:rsidRPr="00A006D3">
              <w:rPr>
                <w:i/>
                <w:iCs/>
                <w:noProof/>
                <w:lang w:val="fr-FR" w:eastAsia="fr-FR"/>
              </w:rPr>
              <w:drawing>
                <wp:inline distT="0" distB="0" distL="0" distR="0" wp14:anchorId="76CBE7F8" wp14:editId="078EFBC0">
                  <wp:extent cx="1345565" cy="621030"/>
                  <wp:effectExtent l="0" t="0" r="6985" b="762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565" cy="621030"/>
                          </a:xfrm>
                          <a:prstGeom prst="rect">
                            <a:avLst/>
                          </a:prstGeom>
                          <a:noFill/>
                          <a:ln>
                            <a:noFill/>
                          </a:ln>
                        </pic:spPr>
                      </pic:pic>
                    </a:graphicData>
                  </a:graphic>
                </wp:inline>
              </w:drawing>
            </w:r>
          </w:p>
        </w:tc>
        <w:tc>
          <w:tcPr>
            <w:tcW w:w="851" w:type="dxa"/>
            <w:shd w:val="clear" w:color="auto" w:fill="auto"/>
            <w:vAlign w:val="center"/>
          </w:tcPr>
          <w:p w14:paraId="4B72E96F" w14:textId="77777777" w:rsidR="001151B1" w:rsidRPr="00A006D3" w:rsidRDefault="001151B1" w:rsidP="00E4518C">
            <w:pPr>
              <w:pStyle w:val="Bullet1G"/>
              <w:numPr>
                <w:ilvl w:val="0"/>
                <w:numId w:val="0"/>
              </w:numPr>
              <w:spacing w:line="240" w:lineRule="auto"/>
              <w:ind w:right="0"/>
              <w:rPr>
                <w:i/>
                <w:iCs/>
              </w:rPr>
            </w:pPr>
            <w:r>
              <w:t>Back</w:t>
            </w:r>
          </w:p>
        </w:tc>
        <w:tc>
          <w:tcPr>
            <w:tcW w:w="850" w:type="dxa"/>
            <w:shd w:val="clear" w:color="auto" w:fill="auto"/>
            <w:vAlign w:val="center"/>
          </w:tcPr>
          <w:p w14:paraId="127215ED" w14:textId="77777777" w:rsidR="001151B1" w:rsidRPr="00A006D3" w:rsidRDefault="001151B1" w:rsidP="00E4518C">
            <w:pPr>
              <w:pStyle w:val="Bullet1G"/>
              <w:numPr>
                <w:ilvl w:val="0"/>
                <w:numId w:val="0"/>
              </w:numPr>
              <w:spacing w:line="240" w:lineRule="auto"/>
              <w:ind w:right="0"/>
              <w:rPr>
                <w:i/>
                <w:iCs/>
              </w:rPr>
            </w:pPr>
            <w:r>
              <w:t>Front</w:t>
            </w:r>
          </w:p>
        </w:tc>
        <w:tc>
          <w:tcPr>
            <w:tcW w:w="2410" w:type="dxa"/>
            <w:shd w:val="clear" w:color="auto" w:fill="auto"/>
            <w:vAlign w:val="center"/>
          </w:tcPr>
          <w:p w14:paraId="3DBFED54" w14:textId="77777777" w:rsidR="001151B1" w:rsidRPr="00A006D3" w:rsidRDefault="001151B1" w:rsidP="00E4518C">
            <w:pPr>
              <w:pStyle w:val="Bullet1G"/>
              <w:numPr>
                <w:ilvl w:val="0"/>
                <w:numId w:val="0"/>
              </w:numPr>
              <w:spacing w:after="0" w:line="240" w:lineRule="auto"/>
              <w:ind w:right="0"/>
              <w:jc w:val="left"/>
            </w:pPr>
            <w:r w:rsidRPr="00A006D3">
              <w:object w:dxaOrig="2115" w:dyaOrig="975" w14:anchorId="10E4A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48.8pt" o:ole="">
                  <v:imagedata r:id="rId10" o:title=""/>
                </v:shape>
                <o:OLEObject Type="Embed" ProgID="PBrush" ShapeID="_x0000_i1025" DrawAspect="Content" ObjectID="_1725689327" r:id="rId11"/>
              </w:object>
            </w:r>
          </w:p>
        </w:tc>
        <w:tc>
          <w:tcPr>
            <w:tcW w:w="947" w:type="dxa"/>
            <w:vAlign w:val="center"/>
          </w:tcPr>
          <w:p w14:paraId="07008D41" w14:textId="77777777" w:rsidR="001151B1" w:rsidRPr="00A006D3" w:rsidRDefault="001151B1" w:rsidP="00E4518C">
            <w:pPr>
              <w:pStyle w:val="Bullet1G"/>
              <w:numPr>
                <w:ilvl w:val="0"/>
                <w:numId w:val="0"/>
              </w:numPr>
              <w:spacing w:line="240" w:lineRule="auto"/>
              <w:ind w:right="0"/>
              <w:rPr>
                <w:i/>
                <w:iCs/>
              </w:rPr>
            </w:pPr>
            <w:r>
              <w:t>Back</w:t>
            </w:r>
          </w:p>
        </w:tc>
      </w:tr>
    </w:tbl>
    <w:p w14:paraId="62DB16A3" w14:textId="77777777" w:rsidR="001151B1" w:rsidRDefault="001151B1" w:rsidP="001151B1">
      <w:pPr>
        <w:pStyle w:val="Bullet1G"/>
        <w:numPr>
          <w:ilvl w:val="0"/>
          <w:numId w:val="0"/>
        </w:numPr>
        <w:tabs>
          <w:tab w:val="left" w:pos="5814"/>
        </w:tabs>
        <w:ind w:left="2694" w:hanging="1701"/>
        <w:rPr>
          <w:i/>
          <w:iCs/>
        </w:rPr>
      </w:pPr>
    </w:p>
    <w:p w14:paraId="0A004CED" w14:textId="740278E7" w:rsidR="001151B1" w:rsidRPr="00417D6B" w:rsidRDefault="002D3A5F" w:rsidP="002D3A5F">
      <w:pPr>
        <w:pStyle w:val="Bullet1G"/>
        <w:numPr>
          <w:ilvl w:val="0"/>
          <w:numId w:val="0"/>
        </w:numPr>
        <w:tabs>
          <w:tab w:val="left" w:pos="1701"/>
        </w:tabs>
        <w:kinsoku w:val="0"/>
        <w:overflowPunct w:val="0"/>
        <w:autoSpaceDE w:val="0"/>
        <w:autoSpaceDN w:val="0"/>
        <w:adjustRightInd w:val="0"/>
        <w:snapToGrid w:val="0"/>
        <w:ind w:left="1701" w:hanging="567"/>
        <w:rPr>
          <w:i/>
          <w:iCs/>
        </w:rPr>
      </w:pPr>
      <w:r w:rsidRPr="00417D6B">
        <w:rPr>
          <w:iCs/>
        </w:rPr>
        <w:t>•</w:t>
      </w:r>
      <w:r w:rsidRPr="00417D6B">
        <w:rPr>
          <w:iCs/>
        </w:rPr>
        <w:tab/>
      </w:r>
      <w:r w:rsidR="001151B1">
        <w:rPr>
          <w:i/>
          <w:iCs/>
        </w:rPr>
        <w:t>The supporting document presents all configurations</w:t>
      </w:r>
    </w:p>
    <w:p w14:paraId="4893CE2E" w14:textId="77777777" w:rsidR="001151B1" w:rsidRDefault="001151B1" w:rsidP="001151B1">
      <w:pPr>
        <w:pStyle w:val="Bullet1G"/>
        <w:numPr>
          <w:ilvl w:val="0"/>
          <w:numId w:val="0"/>
        </w:numPr>
        <w:tabs>
          <w:tab w:val="left" w:pos="5814"/>
        </w:tabs>
        <w:ind w:left="2694" w:hanging="1701"/>
        <w:rPr>
          <w:i/>
          <w:iCs/>
        </w:rPr>
      </w:pPr>
    </w:p>
    <w:tbl>
      <w:tblPr>
        <w:tblStyle w:val="TableGrid"/>
        <w:tblW w:w="3969" w:type="dxa"/>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409"/>
        <w:gridCol w:w="851"/>
      </w:tblGrid>
      <w:tr w:rsidR="001151B1" w14:paraId="01C79C25" w14:textId="77777777" w:rsidTr="00E4518C">
        <w:tc>
          <w:tcPr>
            <w:tcW w:w="709" w:type="dxa"/>
            <w:shd w:val="clear" w:color="auto" w:fill="auto"/>
            <w:vAlign w:val="center"/>
          </w:tcPr>
          <w:p w14:paraId="69598962" w14:textId="77777777" w:rsidR="001151B1" w:rsidRPr="00A006D3" w:rsidRDefault="001151B1" w:rsidP="00E4518C">
            <w:pPr>
              <w:pStyle w:val="Bullet1G"/>
              <w:numPr>
                <w:ilvl w:val="0"/>
                <w:numId w:val="0"/>
              </w:numPr>
              <w:spacing w:line="240" w:lineRule="auto"/>
              <w:ind w:right="0"/>
              <w:jc w:val="center"/>
              <w:rPr>
                <w:i/>
                <w:iCs/>
              </w:rPr>
            </w:pPr>
          </w:p>
        </w:tc>
        <w:tc>
          <w:tcPr>
            <w:tcW w:w="2409" w:type="dxa"/>
            <w:shd w:val="clear" w:color="auto" w:fill="auto"/>
            <w:vAlign w:val="center"/>
          </w:tcPr>
          <w:p w14:paraId="2AF86A2A" w14:textId="77777777" w:rsidR="001151B1" w:rsidRPr="00A006D3" w:rsidRDefault="001151B1" w:rsidP="00E4518C">
            <w:pPr>
              <w:pStyle w:val="Bullet1G"/>
              <w:numPr>
                <w:ilvl w:val="0"/>
                <w:numId w:val="0"/>
              </w:numPr>
              <w:spacing w:line="240" w:lineRule="auto"/>
              <w:ind w:right="0"/>
              <w:jc w:val="center"/>
              <w:rPr>
                <w:iCs/>
              </w:rPr>
            </w:pPr>
            <w:r>
              <w:t>STAGE 2</w:t>
            </w:r>
          </w:p>
        </w:tc>
        <w:tc>
          <w:tcPr>
            <w:tcW w:w="851" w:type="dxa"/>
            <w:shd w:val="clear" w:color="auto" w:fill="auto"/>
            <w:vAlign w:val="center"/>
          </w:tcPr>
          <w:p w14:paraId="170DA6E0" w14:textId="77777777" w:rsidR="001151B1" w:rsidRPr="00A006D3" w:rsidRDefault="001151B1" w:rsidP="00E4518C">
            <w:pPr>
              <w:pStyle w:val="Bullet1G"/>
              <w:numPr>
                <w:ilvl w:val="0"/>
                <w:numId w:val="0"/>
              </w:numPr>
              <w:spacing w:line="240" w:lineRule="auto"/>
              <w:ind w:right="0"/>
              <w:jc w:val="center"/>
              <w:rPr>
                <w:i/>
                <w:iCs/>
              </w:rPr>
            </w:pPr>
          </w:p>
        </w:tc>
      </w:tr>
      <w:tr w:rsidR="001151B1" w14:paraId="51F3B2BA" w14:textId="77777777" w:rsidTr="00E4518C">
        <w:tc>
          <w:tcPr>
            <w:tcW w:w="709" w:type="dxa"/>
            <w:shd w:val="clear" w:color="auto" w:fill="auto"/>
            <w:vAlign w:val="center"/>
          </w:tcPr>
          <w:p w14:paraId="61BDF6D4" w14:textId="77777777" w:rsidR="001151B1" w:rsidRPr="00A006D3" w:rsidRDefault="001151B1" w:rsidP="00E4518C">
            <w:pPr>
              <w:pStyle w:val="ListParagraph"/>
              <w:spacing w:line="20" w:lineRule="atLeast"/>
              <w:ind w:left="57"/>
            </w:pPr>
            <w:r>
              <w:rPr>
                <w:lang w:val="en-GB"/>
              </w:rPr>
              <w:t>Front</w:t>
            </w:r>
          </w:p>
        </w:tc>
        <w:tc>
          <w:tcPr>
            <w:tcW w:w="2409" w:type="dxa"/>
            <w:shd w:val="clear" w:color="auto" w:fill="auto"/>
            <w:vAlign w:val="center"/>
          </w:tcPr>
          <w:p w14:paraId="4FB3167B" w14:textId="77777777" w:rsidR="001151B1" w:rsidRPr="00A006D3" w:rsidRDefault="001151B1" w:rsidP="00E4518C">
            <w:pPr>
              <w:pStyle w:val="Bullet1G"/>
              <w:numPr>
                <w:ilvl w:val="0"/>
                <w:numId w:val="0"/>
              </w:numPr>
              <w:spacing w:line="240" w:lineRule="auto"/>
              <w:ind w:right="0"/>
              <w:jc w:val="center"/>
              <w:rPr>
                <w:i/>
                <w:iCs/>
              </w:rPr>
            </w:pPr>
            <w:r>
              <w:object w:dxaOrig="2145" w:dyaOrig="975" w14:anchorId="2E79FC21">
                <v:shape id="_x0000_i1026" type="#_x0000_t75" style="width:107.6pt;height:48.8pt" o:ole="">
                  <v:imagedata r:id="rId12" o:title=""/>
                </v:shape>
                <o:OLEObject Type="Embed" ProgID="PBrush" ShapeID="_x0000_i1026" DrawAspect="Content" ObjectID="_1725689328" r:id="rId13"/>
              </w:object>
            </w:r>
          </w:p>
        </w:tc>
        <w:tc>
          <w:tcPr>
            <w:tcW w:w="851" w:type="dxa"/>
            <w:shd w:val="clear" w:color="auto" w:fill="auto"/>
            <w:vAlign w:val="center"/>
          </w:tcPr>
          <w:p w14:paraId="24725A02" w14:textId="77777777" w:rsidR="001151B1" w:rsidRPr="00A006D3" w:rsidRDefault="001151B1" w:rsidP="00E4518C">
            <w:pPr>
              <w:pStyle w:val="Bullet1G"/>
              <w:numPr>
                <w:ilvl w:val="0"/>
                <w:numId w:val="0"/>
              </w:numPr>
              <w:spacing w:line="240" w:lineRule="auto"/>
              <w:ind w:right="0"/>
              <w:rPr>
                <w:i/>
                <w:iCs/>
              </w:rPr>
            </w:pPr>
            <w:r>
              <w:t>Back</w:t>
            </w:r>
          </w:p>
        </w:tc>
      </w:tr>
    </w:tbl>
    <w:p w14:paraId="0D1C65A9" w14:textId="77777777" w:rsidR="001151B1" w:rsidRDefault="001151B1" w:rsidP="001151B1">
      <w:pPr>
        <w:pStyle w:val="Bullet1G"/>
        <w:numPr>
          <w:ilvl w:val="0"/>
          <w:numId w:val="0"/>
        </w:numPr>
        <w:tabs>
          <w:tab w:val="left" w:pos="5814"/>
        </w:tabs>
        <w:ind w:left="2694" w:hanging="1701"/>
        <w:rPr>
          <w:i/>
          <w:iCs/>
        </w:rPr>
      </w:pPr>
    </w:p>
    <w:p w14:paraId="1574C0F1" w14:textId="77777777" w:rsidR="001151B1" w:rsidRPr="00D73610" w:rsidRDefault="001151B1" w:rsidP="001151B1">
      <w:pPr>
        <w:pStyle w:val="SingleTxtG"/>
        <w:rPr>
          <w:i/>
          <w:iCs/>
        </w:rPr>
      </w:pPr>
      <w:r>
        <w:rPr>
          <w:i/>
          <w:iCs/>
        </w:rPr>
        <w:t>The compartments are numbered starting from the front left compartment of the equipment.</w:t>
      </w:r>
      <w:r>
        <w:t xml:space="preserve"> </w:t>
      </w:r>
      <w:r>
        <w:rPr>
          <w:i/>
          <w:iCs/>
        </w:rPr>
        <w:t>In the above example, according to this rule, the compartment numbers differ depending on whether the longitudinal bulkhead is connected to the front or the rear of the equipment.</w:t>
      </w:r>
      <w:r>
        <w:t xml:space="preserve"> </w:t>
      </w:r>
      <w:r>
        <w:rPr>
          <w:i/>
          <w:iCs/>
        </w:rPr>
        <w:t>However, the dimensioning method does not change.</w:t>
      </w:r>
    </w:p>
    <w:p w14:paraId="3B1A8809" w14:textId="77777777" w:rsidR="001151B1" w:rsidRPr="00D73610" w:rsidRDefault="001151B1" w:rsidP="001151B1">
      <w:pPr>
        <w:pStyle w:val="SingleTxtG"/>
        <w:rPr>
          <w:b/>
          <w:bCs/>
          <w:i/>
          <w:iCs/>
        </w:rPr>
      </w:pPr>
      <w:bookmarkStart w:id="5" w:name="_Toc74639438"/>
      <w:bookmarkStart w:id="6" w:name="_Toc74571786"/>
      <w:bookmarkStart w:id="7" w:name="_Toc74571593"/>
      <w:r>
        <w:rPr>
          <w:b/>
          <w:bCs/>
          <w:i/>
          <w:iCs/>
        </w:rPr>
        <w:t>Case of equipment with a mono-temperature unit and a multi-temperature unit</w:t>
      </w:r>
      <w:bookmarkEnd w:id="5"/>
      <w:bookmarkEnd w:id="6"/>
      <w:bookmarkEnd w:id="7"/>
    </w:p>
    <w:p w14:paraId="03E19ABD" w14:textId="77777777" w:rsidR="001151B1" w:rsidRPr="00D73610" w:rsidRDefault="001151B1" w:rsidP="001151B1">
      <w:pPr>
        <w:pStyle w:val="SingleTxtG"/>
        <w:rPr>
          <w:i/>
          <w:iCs/>
          <w:kern w:val="3"/>
        </w:rPr>
      </w:pPr>
      <w:r>
        <w:rPr>
          <w:i/>
          <w:iCs/>
        </w:rPr>
        <w:t>The height and width of the compartment must be set and the length in the tool adjusted so that the resulting area is equal to the area of the body’s insulation.</w:t>
      </w:r>
    </w:p>
    <w:p w14:paraId="00F9F37F" w14:textId="77777777" w:rsidR="001151B1" w:rsidRPr="0020630D" w:rsidRDefault="001151B1" w:rsidP="001151B1">
      <w:pPr>
        <w:pStyle w:val="SingleTxtG"/>
        <w:rPr>
          <w:i/>
          <w:iCs/>
        </w:rPr>
      </w:pPr>
      <w:r>
        <w:rPr>
          <w:i/>
          <w:iCs/>
        </w:rPr>
        <w:t>The equipment must be dimensioned in two stages.</w:t>
      </w:r>
      <w:r>
        <w:t xml:space="preserve"> </w:t>
      </w:r>
      <w:r>
        <w:rPr>
          <w:i/>
          <w:iCs/>
        </w:rPr>
        <w:t>In the case below, compartment 2 (C2) and compartment 3 (C3) are equipped with a multi-temperature thermal appliance sharing the same refrigeration unit.</w:t>
      </w:r>
      <w:r>
        <w:t xml:space="preserve"> </w:t>
      </w:r>
      <w:r>
        <w:rPr>
          <w:i/>
          <w:iCs/>
        </w:rPr>
        <w:t>The appliance must therefore have a dimensioning calculation and supporting documentation.</w:t>
      </w:r>
    </w:p>
    <w:p w14:paraId="0FFEF068" w14:textId="4CB616BE" w:rsidR="001151B1" w:rsidRDefault="001151B1" w:rsidP="001151B1">
      <w:pPr>
        <w:pStyle w:val="SingleTxtG"/>
        <w:rPr>
          <w:i/>
          <w:iCs/>
        </w:rPr>
      </w:pPr>
      <w:r>
        <w:rPr>
          <w:i/>
          <w:iCs/>
        </w:rPr>
        <w:t>Compartment 1 (C1), with a mono-temperature thermal appliance, must be considered separately, so as to ensure that the volume of the compartment can be covered by the refrigeration unit.</w:t>
      </w:r>
    </w:p>
    <w:p w14:paraId="42599222" w14:textId="77777777" w:rsidR="001151B1" w:rsidRDefault="001151B1" w:rsidP="001151B1">
      <w:pPr>
        <w:pStyle w:val="SingleTxtG"/>
        <w:ind w:left="567" w:hanging="231"/>
        <w:rPr>
          <w:i/>
          <w:iCs/>
          <w:lang w:eastAsia="en-US"/>
        </w:rPr>
      </w:pPr>
      <w:r>
        <w:rPr>
          <w:rFonts w:ascii="Calibri" w:hAnsi="Calibri" w:cs="Arial"/>
          <w:noProof/>
          <w:sz w:val="22"/>
          <w:szCs w:val="22"/>
          <w:lang w:val="fr-FR" w:eastAsia="fr-FR"/>
        </w:rPr>
        <w:drawing>
          <wp:inline distT="0" distB="0" distL="0" distR="0" wp14:anchorId="135CA289" wp14:editId="63D41492">
            <wp:extent cx="5876757" cy="1848649"/>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a:extLst>
                        <a:ext uri="{28A0092B-C50C-407E-A947-70E740481C1C}">
                          <a14:useLocalDpi xmlns:a14="http://schemas.microsoft.com/office/drawing/2010/main" val="0"/>
                        </a:ext>
                      </a:extLst>
                    </a:blip>
                    <a:stretch>
                      <a:fillRect/>
                    </a:stretch>
                  </pic:blipFill>
                  <pic:spPr>
                    <a:xfrm>
                      <a:off x="0" y="0"/>
                      <a:ext cx="5876757" cy="1848649"/>
                    </a:xfrm>
                    <a:prstGeom prst="rect">
                      <a:avLst/>
                    </a:prstGeom>
                  </pic:spPr>
                </pic:pic>
              </a:graphicData>
            </a:graphic>
          </wp:inline>
        </w:drawing>
      </w:r>
    </w:p>
    <w:p w14:paraId="01480B38" w14:textId="77777777" w:rsidR="001151B1" w:rsidRPr="00D73610" w:rsidRDefault="001151B1" w:rsidP="001151B1">
      <w:pPr>
        <w:pStyle w:val="SingleTxtG"/>
        <w:rPr>
          <w:i/>
          <w:iCs/>
          <w:lang w:eastAsia="en-US"/>
        </w:rPr>
      </w:pPr>
    </w:p>
    <w:p w14:paraId="43E30B81" w14:textId="77777777" w:rsidR="001151B1" w:rsidRDefault="001151B1" w:rsidP="001151B1">
      <w:pPr>
        <w:spacing w:after="120"/>
        <w:ind w:right="-2"/>
        <w:jc w:val="center"/>
        <w:rPr>
          <w:rFonts w:ascii="Calibri" w:hAnsi="Calibri" w:cs="Arial"/>
          <w:sz w:val="22"/>
          <w:szCs w:val="22"/>
        </w:rPr>
      </w:pPr>
    </w:p>
    <w:p w14:paraId="783D3B7D" w14:textId="77777777" w:rsidR="001151B1" w:rsidRDefault="001151B1" w:rsidP="001151B1">
      <w:pPr>
        <w:pStyle w:val="SingleTxtG"/>
        <w:rPr>
          <w:i/>
          <w:iCs/>
        </w:rPr>
      </w:pPr>
      <w:r>
        <w:rPr>
          <w:i/>
          <w:iCs/>
        </w:rPr>
        <w:lastRenderedPageBreak/>
        <w:t>*C: Compartment</w:t>
      </w:r>
    </w:p>
    <w:p w14:paraId="602017BB" w14:textId="77777777" w:rsidR="001151B1" w:rsidRDefault="001151B1" w:rsidP="001151B1">
      <w:pPr>
        <w:pStyle w:val="SingleTxtG"/>
        <w:rPr>
          <w:i/>
          <w:iCs/>
        </w:rPr>
      </w:pPr>
      <w:r>
        <w:rPr>
          <w:i/>
          <w:iCs/>
        </w:rPr>
        <w:t>*RU: Refrigeration unit</w:t>
      </w:r>
    </w:p>
    <w:p w14:paraId="4A3B3B5F" w14:textId="77777777" w:rsidR="001151B1" w:rsidRDefault="001151B1" w:rsidP="001151B1">
      <w:pPr>
        <w:pStyle w:val="SingleTxtG"/>
        <w:rPr>
          <w:i/>
          <w:iCs/>
        </w:rPr>
      </w:pPr>
      <w:r>
        <w:rPr>
          <w:i/>
          <w:iCs/>
        </w:rPr>
        <w:t>*E: Evaporator</w:t>
      </w:r>
    </w:p>
    <w:p w14:paraId="5D618E91" w14:textId="77777777" w:rsidR="001151B1" w:rsidRPr="00D73610" w:rsidRDefault="001151B1" w:rsidP="001151B1">
      <w:pPr>
        <w:pStyle w:val="SingleTxtG"/>
        <w:rPr>
          <w:i/>
          <w:iCs/>
        </w:rPr>
      </w:pPr>
      <w:r>
        <w:rPr>
          <w:i/>
          <w:iCs/>
        </w:rPr>
        <w:t>The resulting area is brought to that of the area of an equivalent parallelepiped.</w:t>
      </w:r>
    </w:p>
    <w:p w14:paraId="02A72F77" w14:textId="77777777" w:rsidR="001151B1" w:rsidRPr="00D73610" w:rsidRDefault="001151B1" w:rsidP="001151B1">
      <w:pPr>
        <w:pStyle w:val="SingleTxtG"/>
        <w:rPr>
          <w:b/>
          <w:i/>
          <w:iCs/>
        </w:rPr>
      </w:pPr>
      <w:r>
        <w:rPr>
          <w:b/>
          <w:bCs/>
          <w:i/>
          <w:iCs/>
        </w:rPr>
        <w:t>Case of equipment with integrated insulation (non-parallelepipedic insulation shapes), or case of equipment with an integrated box</w:t>
      </w:r>
    </w:p>
    <w:p w14:paraId="62D49316" w14:textId="201E59B5" w:rsidR="001151B1" w:rsidRPr="00D73610" w:rsidRDefault="001151B1" w:rsidP="001151B1">
      <w:pPr>
        <w:pStyle w:val="SingleTxtG"/>
        <w:rPr>
          <w:i/>
          <w:iCs/>
        </w:rPr>
      </w:pPr>
      <w:r>
        <w:rPr>
          <w:i/>
          <w:iCs/>
        </w:rPr>
        <w:t>The height and width of the compartment must be set and the length in the tool adjusted so that the resulting area is equal to the area of the body’s insulation.</w:t>
      </w:r>
    </w:p>
    <w:p w14:paraId="101BAF4E" w14:textId="47643AE3" w:rsidR="001151B1" w:rsidRDefault="00CD5CD0" w:rsidP="001151B1">
      <w:pPr>
        <w:spacing w:before="120" w:after="120" w:line="240" w:lineRule="auto"/>
        <w:ind w:right="-2"/>
        <w:rPr>
          <w:rFonts w:ascii="Calibri" w:hAnsi="Calibri" w:cs="Arial"/>
          <w:sz w:val="22"/>
          <w:szCs w:val="22"/>
        </w:rPr>
      </w:pPr>
      <w:bookmarkStart w:id="8" w:name="_GoBack"/>
      <w:bookmarkEnd w:id="8"/>
      <w:r w:rsidRPr="00AB5239">
        <w:rPr>
          <w:noProof/>
          <w:lang w:val="fr-CH" w:eastAsia="zh-CN"/>
        </w:rPr>
        <mc:AlternateContent>
          <mc:Choice Requires="wps">
            <w:drawing>
              <wp:anchor distT="45720" distB="45720" distL="114300" distR="114300" simplePos="0" relativeHeight="251659264" behindDoc="0" locked="0" layoutInCell="1" allowOverlap="1" wp14:anchorId="3FBC2CB2" wp14:editId="76D1724F">
                <wp:simplePos x="0" y="0"/>
                <wp:positionH relativeFrom="column">
                  <wp:posOffset>2602230</wp:posOffset>
                </wp:positionH>
                <wp:positionV relativeFrom="paragraph">
                  <wp:posOffset>136525</wp:posOffset>
                </wp:positionV>
                <wp:extent cx="802640" cy="746760"/>
                <wp:effectExtent l="0" t="0" r="1651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746760"/>
                        </a:xfrm>
                        <a:prstGeom prst="rect">
                          <a:avLst/>
                        </a:prstGeom>
                        <a:solidFill>
                          <a:srgbClr val="FFFFFF"/>
                        </a:solidFill>
                        <a:ln w="9525">
                          <a:solidFill>
                            <a:srgbClr val="000000"/>
                          </a:solidFill>
                          <a:miter lim="800000"/>
                          <a:headEnd/>
                          <a:tailEnd/>
                        </a:ln>
                      </wps:spPr>
                      <wps:txbx>
                        <w:txbxContent>
                          <w:p w14:paraId="3FC0A27B" w14:textId="76FEE016" w:rsidR="00AB5239" w:rsidRDefault="00AB5239" w:rsidP="00AB5239">
                            <w:r w:rsidRPr="00AB5239">
                              <w:t>Reduce the length, increase the 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C2CB2" id="_x0000_t202" coordsize="21600,21600" o:spt="202" path="m,l,21600r21600,l21600,xe">
                <v:stroke joinstyle="miter"/>
                <v:path gradientshapeok="t" o:connecttype="rect"/>
              </v:shapetype>
              <v:shape id="Text Box 2" o:spid="_x0000_s1026" type="#_x0000_t202" style="position:absolute;margin-left:204.9pt;margin-top:10.75pt;width:63.2pt;height:5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">
                <v:textbox>
                  <w:txbxContent>
                    <w:p w14:paraId="3FC0A27B" w14:textId="76FEE016" w:rsidR="00AB5239" w:rsidRDefault="00AB5239" w:rsidP="00AB5239">
                      <w:r w:rsidRPr="00AB5239">
                        <w:t>Reduce the length, increase the height</w:t>
                      </w:r>
                    </w:p>
                  </w:txbxContent>
                </v:textbox>
              </v:shape>
            </w:pict>
          </mc:Fallback>
        </mc:AlternateContent>
      </w:r>
      <w:r w:rsidR="001151B1">
        <w:rPr>
          <w:i/>
          <w:noProof/>
          <w:lang w:val="fr-FR" w:eastAsia="fr-FR"/>
        </w:rPr>
        <w:drawing>
          <wp:inline distT="0" distB="0" distL="0" distR="0" wp14:anchorId="5A2604B9" wp14:editId="7F900552">
            <wp:extent cx="596900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0" cy="2647950"/>
                    </a:xfrm>
                    <a:prstGeom prst="rect">
                      <a:avLst/>
                    </a:prstGeom>
                    <a:noFill/>
                    <a:ln>
                      <a:noFill/>
                    </a:ln>
                  </pic:spPr>
                </pic:pic>
              </a:graphicData>
            </a:graphic>
          </wp:inline>
        </w:drawing>
      </w:r>
    </w:p>
    <w:p w14:paraId="38531F1D" w14:textId="77777777" w:rsidR="001151B1" w:rsidRPr="007A073C" w:rsidRDefault="001151B1" w:rsidP="001151B1">
      <w:pPr>
        <w:pStyle w:val="SingleTxtG"/>
        <w:rPr>
          <w:i/>
          <w:iCs/>
        </w:rPr>
      </w:pPr>
      <w:r>
        <w:rPr>
          <w:i/>
          <w:iCs/>
        </w:rPr>
        <w:t>The resulting area is brought to that of the area of an equivalent parallelepiped.</w:t>
      </w:r>
    </w:p>
    <w:p w14:paraId="67DD7D77" w14:textId="77777777" w:rsidR="001151B1" w:rsidRPr="007A073C" w:rsidRDefault="001151B1" w:rsidP="001151B1">
      <w:pPr>
        <w:pStyle w:val="SingleTxtG"/>
        <w:rPr>
          <w:b/>
          <w:i/>
          <w:iCs/>
        </w:rPr>
      </w:pPr>
      <w:bookmarkStart w:id="9" w:name="_Toc74639440"/>
      <w:bookmarkStart w:id="10" w:name="_Toc74571788"/>
      <w:bookmarkStart w:id="11" w:name="_Toc74571595"/>
      <w:r>
        <w:rPr>
          <w:b/>
          <w:bCs/>
          <w:i/>
          <w:iCs/>
        </w:rPr>
        <w:t>Non-independent equipment</w:t>
      </w:r>
      <w:r>
        <w:t xml:space="preserve"> </w:t>
      </w:r>
      <w:bookmarkEnd w:id="9"/>
      <w:bookmarkEnd w:id="10"/>
      <w:bookmarkEnd w:id="11"/>
    </w:p>
    <w:p w14:paraId="37232795" w14:textId="77777777" w:rsidR="001151B1" w:rsidRPr="007A073C" w:rsidRDefault="001151B1" w:rsidP="001151B1">
      <w:pPr>
        <w:pStyle w:val="SingleTxtG"/>
        <w:rPr>
          <w:i/>
          <w:iCs/>
          <w:kern w:val="3"/>
        </w:rPr>
      </w:pPr>
      <w:r>
        <w:rPr>
          <w:i/>
          <w:iCs/>
        </w:rPr>
        <w:t>In the case of non-independent equipment, the same dimensioning method as for independent equipment should be used.</w:t>
      </w:r>
    </w:p>
    <w:p w14:paraId="5AB24170" w14:textId="77777777" w:rsidR="001151B1" w:rsidRPr="007A073C" w:rsidRDefault="001151B1" w:rsidP="001151B1">
      <w:pPr>
        <w:pStyle w:val="SingleTxtG"/>
        <w:rPr>
          <w:i/>
          <w:iCs/>
        </w:rPr>
      </w:pPr>
      <w:r>
        <w:rPr>
          <w:i/>
          <w:iCs/>
        </w:rPr>
        <w:t>A class without the X extension (e.g. FRC) displayed on the declaration of conformity will be different from the class displayed on the certificate (e.g. FRCX), but this difference does not call into question the dimensioning of the equipment.</w:t>
      </w:r>
    </w:p>
    <w:p w14:paraId="03855C61" w14:textId="77777777" w:rsidR="001151B1" w:rsidRPr="007A073C" w:rsidRDefault="001151B1" w:rsidP="001151B1">
      <w:pPr>
        <w:pStyle w:val="SingleTxtG"/>
        <w:rPr>
          <w:b/>
          <w:i/>
          <w:iCs/>
        </w:rPr>
      </w:pPr>
      <w:bookmarkStart w:id="12" w:name="_Toc74639442"/>
      <w:bookmarkStart w:id="13" w:name="_Toc74571790"/>
      <w:bookmarkStart w:id="14" w:name="_Toc74571597"/>
      <w:r>
        <w:rPr>
          <w:b/>
          <w:bCs/>
          <w:i/>
          <w:iCs/>
        </w:rPr>
        <w:t>Case of mono-temperature multi-compartment equipment equipped with non-removable fixed partitions (e.g. FRC-IR, FRC-IR-IR)</w:t>
      </w:r>
      <w:bookmarkEnd w:id="12"/>
      <w:bookmarkEnd w:id="13"/>
      <w:bookmarkEnd w:id="14"/>
    </w:p>
    <w:p w14:paraId="2E359DED" w14:textId="77777777" w:rsidR="001151B1" w:rsidRPr="007A073C" w:rsidRDefault="001151B1" w:rsidP="001151B1">
      <w:pPr>
        <w:pStyle w:val="SingleTxtG"/>
        <w:rPr>
          <w:i/>
          <w:iCs/>
          <w:kern w:val="3"/>
        </w:rPr>
      </w:pPr>
      <w:r>
        <w:rPr>
          <w:i/>
          <w:iCs/>
        </w:rPr>
        <w:t>The unit should be dimensioned only according to the internal area and isotherm of the temperature-controlled compartment in which the evaporator is installed.</w:t>
      </w:r>
      <w:r>
        <w:t xml:space="preserve"> </w:t>
      </w:r>
      <w:r>
        <w:rPr>
          <w:i/>
          <w:iCs/>
        </w:rPr>
        <w:t>The insulation coefficient of the compartment is in this case composed of the insulation coefficient of the panels and the partition that delimit the compartment.</w:t>
      </w:r>
    </w:p>
    <w:p w14:paraId="59F858C6" w14:textId="77777777" w:rsidR="001151B1" w:rsidRPr="007A073C" w:rsidRDefault="001151B1" w:rsidP="001151B1">
      <w:pPr>
        <w:pStyle w:val="SingleTxtG"/>
        <w:rPr>
          <w:i/>
          <w:iCs/>
        </w:rPr>
      </w:pPr>
      <w:r>
        <w:rPr>
          <w:i/>
          <w:iCs/>
        </w:rPr>
        <w:t>Note: Not applicable if a multi-temperature unit is used with just one evaporator.</w:t>
      </w:r>
    </w:p>
    <w:p w14:paraId="27728F4E" w14:textId="77777777" w:rsidR="001151B1" w:rsidRDefault="001151B1" w:rsidP="001151B1">
      <w:pPr>
        <w:pStyle w:val="HChG"/>
      </w:pPr>
      <w:r>
        <w:rPr>
          <w:bCs/>
        </w:rPr>
        <w:tab/>
        <w:t>II.</w:t>
      </w:r>
      <w:r>
        <w:tab/>
      </w:r>
      <w:r>
        <w:rPr>
          <w:bCs/>
        </w:rPr>
        <w:t>Impact</w:t>
      </w:r>
    </w:p>
    <w:p w14:paraId="70F061F9" w14:textId="77777777" w:rsidR="001151B1" w:rsidRPr="008319D2" w:rsidRDefault="001151B1" w:rsidP="001151B1">
      <w:pPr>
        <w:pStyle w:val="SingleTxtG"/>
      </w:pPr>
      <w:r>
        <w:t>5.</w:t>
      </w:r>
      <w:r>
        <w:tab/>
        <w:t>This amendment specifies the methods for dimensioning multi-temperature equipment.</w:t>
      </w:r>
    </w:p>
    <w:p w14:paraId="50EB87F7" w14:textId="77777777" w:rsidR="001151B1" w:rsidRPr="00021EA7" w:rsidRDefault="001151B1" w:rsidP="001151B1">
      <w:pPr>
        <w:spacing w:before="240"/>
        <w:jc w:val="center"/>
        <w:rPr>
          <w:u w:val="single"/>
        </w:rPr>
      </w:pPr>
      <w:r>
        <w:rPr>
          <w:u w:val="single"/>
        </w:rPr>
        <w:tab/>
      </w:r>
      <w:r>
        <w:rPr>
          <w:u w:val="single"/>
        </w:rPr>
        <w:tab/>
      </w:r>
      <w:r>
        <w:rPr>
          <w:u w:val="single"/>
        </w:rPr>
        <w:tab/>
      </w:r>
    </w:p>
    <w:sectPr w:rsidR="001151B1" w:rsidRPr="00021EA7" w:rsidSect="00587690">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31A7" w14:textId="77777777" w:rsidR="00197A87" w:rsidRPr="00FB1744" w:rsidRDefault="00197A87" w:rsidP="00FB1744">
      <w:pPr>
        <w:pStyle w:val="Footer"/>
      </w:pPr>
    </w:p>
  </w:endnote>
  <w:endnote w:type="continuationSeparator" w:id="0">
    <w:p w14:paraId="786F59BD" w14:textId="77777777" w:rsidR="00197A87" w:rsidRPr="00FB1744" w:rsidRDefault="00197A8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DD35" w14:textId="77777777" w:rsidR="00AF1753" w:rsidRDefault="00AF1753" w:rsidP="00AF1753">
    <w:pPr>
      <w:pStyle w:val="Footer"/>
      <w:tabs>
        <w:tab w:val="right" w:pos="9638"/>
      </w:tabs>
    </w:pPr>
    <w:r w:rsidRPr="00AF1753">
      <w:rPr>
        <w:b/>
        <w:bCs/>
        <w:sz w:val="18"/>
      </w:rPr>
      <w:fldChar w:fldCharType="begin"/>
    </w:r>
    <w:r w:rsidRPr="00AF1753">
      <w:rPr>
        <w:b/>
        <w:bCs/>
        <w:sz w:val="18"/>
      </w:rPr>
      <w:instrText xml:space="preserve"> PAGE  \* MERGEFORMAT </w:instrText>
    </w:r>
    <w:r w:rsidRPr="00AF1753">
      <w:rPr>
        <w:b/>
        <w:bCs/>
        <w:sz w:val="18"/>
      </w:rPr>
      <w:fldChar w:fldCharType="separate"/>
    </w:r>
    <w:r w:rsidRPr="00AF1753">
      <w:rPr>
        <w:b/>
        <w:bCs/>
        <w:noProof/>
        <w:sz w:val="18"/>
      </w:rPr>
      <w:t>2</w:t>
    </w:r>
    <w:r w:rsidRPr="00AF1753">
      <w:rPr>
        <w:b/>
        <w:bCs/>
        <w:sz w:val="18"/>
      </w:rPr>
      <w:fldChar w:fldCharType="end"/>
    </w:r>
    <w:r>
      <w:tab/>
      <w:t>GE.22-12200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1225" w14:textId="77777777" w:rsidR="00AF1753" w:rsidRDefault="00AF1753" w:rsidP="00AF1753">
    <w:pPr>
      <w:pStyle w:val="Footer"/>
      <w:tabs>
        <w:tab w:val="right" w:pos="9638"/>
      </w:tabs>
    </w:pPr>
    <w:r>
      <w:t>GE.22-12200</w:t>
    </w:r>
    <w:r>
      <w:tab/>
    </w:r>
    <w:r w:rsidRPr="00AF1753">
      <w:rPr>
        <w:b/>
        <w:bCs/>
        <w:sz w:val="18"/>
      </w:rPr>
      <w:fldChar w:fldCharType="begin"/>
    </w:r>
    <w:r w:rsidRPr="00AF1753">
      <w:rPr>
        <w:b/>
        <w:bCs/>
        <w:sz w:val="18"/>
      </w:rPr>
      <w:instrText xml:space="preserve"> PAGE  \* MERGEFORMAT </w:instrText>
    </w:r>
    <w:r w:rsidRPr="00AF1753">
      <w:rPr>
        <w:b/>
        <w:bCs/>
        <w:sz w:val="18"/>
      </w:rPr>
      <w:fldChar w:fldCharType="separate"/>
    </w:r>
    <w:r w:rsidRPr="00AF1753">
      <w:rPr>
        <w:b/>
        <w:bCs/>
        <w:noProof/>
        <w:sz w:val="18"/>
      </w:rPr>
      <w:t>3</w:t>
    </w:r>
    <w:r w:rsidRPr="00AF17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828A" w14:textId="77777777" w:rsidR="00C448F7" w:rsidRDefault="00AF1753">
    <w:pPr>
      <w:pStyle w:val="Footer"/>
      <w:rPr>
        <w:sz w:val="20"/>
      </w:rPr>
    </w:pPr>
    <w:r w:rsidRPr="0027112F">
      <w:rPr>
        <w:noProof/>
        <w:lang w:val="en-US"/>
      </w:rPr>
      <w:drawing>
        <wp:anchor distT="0" distB="0" distL="114300" distR="114300" simplePos="0" relativeHeight="251659264" behindDoc="0" locked="1" layoutInCell="1" allowOverlap="1" wp14:anchorId="63952EC5" wp14:editId="6D3034F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D1E005" w14:textId="4D29E272" w:rsidR="00AF1753" w:rsidRPr="00AF1753" w:rsidRDefault="00AF1753" w:rsidP="00AF1753">
    <w:pPr>
      <w:pStyle w:val="Footer"/>
      <w:tabs>
        <w:tab w:val="right" w:pos="7370"/>
      </w:tabs>
      <w:rPr>
        <w:sz w:val="20"/>
      </w:rPr>
    </w:pPr>
    <w:r>
      <w:rPr>
        <w:sz w:val="20"/>
      </w:rPr>
      <w:t>GE.22-12200  (E)</w:t>
    </w:r>
    <w:r>
      <w:rPr>
        <w:noProof/>
        <w:sz w:val="20"/>
      </w:rPr>
      <w:drawing>
        <wp:anchor distT="0" distB="0" distL="114300" distR="114300" simplePos="0" relativeHeight="251660288" behindDoc="0" locked="0" layoutInCell="1" allowOverlap="1" wp14:anchorId="6D6C3201" wp14:editId="6AC74792">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CDD">
      <w:rPr>
        <w:sz w:val="20"/>
      </w:rPr>
      <w:t xml:space="preserve">    260922    260922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71C9" w14:textId="77777777" w:rsidR="00197A87" w:rsidRPr="00FB1744" w:rsidRDefault="00197A87" w:rsidP="00FB1744">
      <w:pPr>
        <w:tabs>
          <w:tab w:val="right" w:pos="2155"/>
        </w:tabs>
        <w:spacing w:after="80" w:line="240" w:lineRule="auto"/>
        <w:ind w:left="680"/>
      </w:pPr>
      <w:r>
        <w:rPr>
          <w:u w:val="single"/>
        </w:rPr>
        <w:tab/>
      </w:r>
    </w:p>
  </w:footnote>
  <w:footnote w:type="continuationSeparator" w:id="0">
    <w:p w14:paraId="2C2A609A" w14:textId="77777777" w:rsidR="00197A87" w:rsidRPr="00FB1744" w:rsidRDefault="00197A87"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A246" w14:textId="77777777" w:rsidR="00AF1753" w:rsidRDefault="00AF1753" w:rsidP="00AF1753">
    <w:pPr>
      <w:pStyle w:val="Header"/>
    </w:pPr>
    <w:r>
      <w:t>ECE/TRANS/WP.11/2021/11/Rev.1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0974" w14:textId="77777777" w:rsidR="00AF1753" w:rsidRDefault="00AF1753" w:rsidP="00AF1753">
    <w:pPr>
      <w:pStyle w:val="Header"/>
      <w:jc w:val="right"/>
    </w:pPr>
    <w:r>
      <w:t>ECE/TRANS/WP.11/2021/11/Rev.1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H23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197A87"/>
    <w:rsid w:val="00046E92"/>
    <w:rsid w:val="000D1B89"/>
    <w:rsid w:val="000F6E29"/>
    <w:rsid w:val="001151B1"/>
    <w:rsid w:val="001170DC"/>
    <w:rsid w:val="00197A87"/>
    <w:rsid w:val="00247E2C"/>
    <w:rsid w:val="002D3A5F"/>
    <w:rsid w:val="002D6C53"/>
    <w:rsid w:val="002F5595"/>
    <w:rsid w:val="00334F6A"/>
    <w:rsid w:val="00342AC8"/>
    <w:rsid w:val="003B4550"/>
    <w:rsid w:val="003E3CDD"/>
    <w:rsid w:val="0043448D"/>
    <w:rsid w:val="00461253"/>
    <w:rsid w:val="005042C2"/>
    <w:rsid w:val="00506C12"/>
    <w:rsid w:val="0056599A"/>
    <w:rsid w:val="00585AE1"/>
    <w:rsid w:val="00587690"/>
    <w:rsid w:val="00671529"/>
    <w:rsid w:val="006A5598"/>
    <w:rsid w:val="006D5B25"/>
    <w:rsid w:val="00702210"/>
    <w:rsid w:val="00717266"/>
    <w:rsid w:val="007268F9"/>
    <w:rsid w:val="007B70BD"/>
    <w:rsid w:val="007C52B0"/>
    <w:rsid w:val="00934E8D"/>
    <w:rsid w:val="009411B4"/>
    <w:rsid w:val="009D0139"/>
    <w:rsid w:val="009F5CDC"/>
    <w:rsid w:val="00A429CD"/>
    <w:rsid w:val="00A775CF"/>
    <w:rsid w:val="00AB3C7E"/>
    <w:rsid w:val="00AB5239"/>
    <w:rsid w:val="00AF1753"/>
    <w:rsid w:val="00B06045"/>
    <w:rsid w:val="00C35A27"/>
    <w:rsid w:val="00C448F7"/>
    <w:rsid w:val="00CD5CD0"/>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E18CA"/>
  <w15:docId w15:val="{F6A443BC-7D5E-4D8B-85E0-7DE95EC1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Standard">
    <w:name w:val="Standard"/>
    <w:rsid w:val="001151B1"/>
    <w:pPr>
      <w:suppressAutoHyphens/>
      <w:autoSpaceDN w:val="0"/>
      <w:snapToGrid w:val="0"/>
      <w:spacing w:after="0" w:line="240" w:lineRule="atLeast"/>
    </w:pPr>
    <w:rPr>
      <w:rFonts w:ascii="Times New Roman" w:eastAsia="Times New Roman" w:hAnsi="Times New Roman" w:cs="Times New Roman"/>
      <w:kern w:val="3"/>
      <w:sz w:val="20"/>
      <w:szCs w:val="20"/>
      <w:lang w:val="fr-CH"/>
    </w:rPr>
  </w:style>
  <w:style w:type="character" w:customStyle="1" w:styleId="HChGChar">
    <w:name w:val="_ H _Ch_G Char"/>
    <w:link w:val="HChG"/>
    <w:rsid w:val="001151B1"/>
    <w:rPr>
      <w:rFonts w:ascii="Times New Roman" w:eastAsia="Times New Roman" w:hAnsi="Times New Roman" w:cs="Times New Roman"/>
      <w:b/>
      <w:sz w:val="28"/>
      <w:szCs w:val="20"/>
      <w:lang w:eastAsia="en-US"/>
    </w:rPr>
  </w:style>
  <w:style w:type="paragraph" w:styleId="ListParagraph">
    <w:name w:val="List Paragraph"/>
    <w:basedOn w:val="Normal"/>
    <w:qFormat/>
    <w:rsid w:val="001151B1"/>
    <w:pPr>
      <w:autoSpaceDN w:val="0"/>
      <w:snapToGrid w:val="0"/>
      <w:ind w:left="720"/>
    </w:pPr>
    <w:rPr>
      <w:kern w:val="3"/>
      <w:lang w:val="fr-CH" w:eastAsia="zh-CN"/>
    </w:rPr>
  </w:style>
  <w:style w:type="character" w:styleId="CommentReference">
    <w:name w:val="annotation reference"/>
    <w:basedOn w:val="DefaultParagraphFont"/>
    <w:uiPriority w:val="99"/>
    <w:semiHidden/>
    <w:unhideWhenUsed/>
    <w:rsid w:val="001151B1"/>
    <w:rPr>
      <w:sz w:val="16"/>
      <w:szCs w:val="16"/>
    </w:rPr>
  </w:style>
  <w:style w:type="paragraph" w:styleId="CommentText">
    <w:name w:val="annotation text"/>
    <w:basedOn w:val="Normal"/>
    <w:link w:val="CommentTextChar"/>
    <w:uiPriority w:val="99"/>
    <w:semiHidden/>
    <w:unhideWhenUsed/>
    <w:rsid w:val="001151B1"/>
    <w:pPr>
      <w:kinsoku w:val="0"/>
      <w:overflowPunct w:val="0"/>
      <w:autoSpaceDE w:val="0"/>
      <w:autoSpaceDN w:val="0"/>
      <w:adjustRightInd w:val="0"/>
      <w:snapToGrid w:val="0"/>
      <w:spacing w:line="240" w:lineRule="auto"/>
    </w:pPr>
    <w:rPr>
      <w:lang w:val="fr-CH" w:eastAsia="zh-CN"/>
    </w:rPr>
  </w:style>
  <w:style w:type="character" w:customStyle="1" w:styleId="CommentTextChar">
    <w:name w:val="Comment Text Char"/>
    <w:basedOn w:val="DefaultParagraphFont"/>
    <w:link w:val="CommentText"/>
    <w:uiPriority w:val="99"/>
    <w:semiHidden/>
    <w:rsid w:val="001151B1"/>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7EF0EC02-FB73-4988-B120-C74F295DBDF8}"/>
</file>

<file path=customXml/itemProps3.xml><?xml version="1.0" encoding="utf-8"?>
<ds:datastoreItem xmlns:ds="http://schemas.openxmlformats.org/officeDocument/2006/customXml" ds:itemID="{6052B20C-EFFC-4AD2-A490-24C13BF5C931}"/>
</file>

<file path=docProps/app.xml><?xml version="1.0" encoding="utf-8"?>
<Properties xmlns="http://schemas.openxmlformats.org/officeDocument/2006/extended-properties" xmlns:vt="http://schemas.openxmlformats.org/officeDocument/2006/docPropsVTypes">
  <Template>CESCR.dotm</Template>
  <TotalTime>0</TotalTime>
  <Pages>3</Pages>
  <Words>784</Words>
  <Characters>4408</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ECE/TRANS/WP.11/2021/11/Rev.1</vt:lpstr>
    </vt:vector>
  </TitlesOfParts>
  <Company>DCM</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ECE/TRANS/WP.11/2021/11/Rev.1</dc:title>
  <dc:subject>2212200</dc:subject>
  <dc:creator>pae</dc:creator>
  <cp:keywords/>
  <dc:description>final</dc:description>
  <cp:lastModifiedBy>Pauline Anne Escalante</cp:lastModifiedBy>
  <cp:revision>2</cp:revision>
  <dcterms:created xsi:type="dcterms:W3CDTF">2022-09-26T07:22:00Z</dcterms:created>
  <dcterms:modified xsi:type="dcterms:W3CDTF">2022-09-26T07:22:00Z</dcterms:modified>
</cp:coreProperties>
</file>