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58CD91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FFAE3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CBC795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450CF" w14:textId="5A711378" w:rsidR="001433FD" w:rsidRPr="00895766" w:rsidRDefault="00895766" w:rsidP="00895766">
            <w:pPr>
              <w:jc w:val="right"/>
            </w:pPr>
            <w:r w:rsidRPr="00895766">
              <w:rPr>
                <w:sz w:val="40"/>
              </w:rPr>
              <w:t>ECE</w:t>
            </w:r>
            <w:r>
              <w:t>/TRANS/WP.11/2021/13/Rev.2</w:t>
            </w:r>
          </w:p>
        </w:tc>
      </w:tr>
      <w:tr w:rsidR="001433FD" w:rsidRPr="00DB58B5" w14:paraId="1255D4A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70EA33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864577" wp14:editId="7723C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D56BC2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93EB62" w14:textId="77777777" w:rsidR="0001207F" w:rsidRDefault="003F02CC" w:rsidP="003F02CC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CB9FCBE" w14:textId="399BD8E3" w:rsidR="003F02CC" w:rsidRDefault="00541E23" w:rsidP="003F02CC">
            <w:pPr>
              <w:spacing w:line="240" w:lineRule="exact"/>
            </w:pPr>
            <w:r>
              <w:t>4</w:t>
            </w:r>
            <w:r w:rsidR="003F02CC">
              <w:t xml:space="preserve"> août 2022</w:t>
            </w:r>
          </w:p>
          <w:p w14:paraId="362205AD" w14:textId="77777777" w:rsidR="003F02CC" w:rsidRDefault="003F02CC" w:rsidP="003F02CC">
            <w:pPr>
              <w:spacing w:line="240" w:lineRule="exact"/>
            </w:pPr>
          </w:p>
          <w:p w14:paraId="5240930A" w14:textId="77777777" w:rsidR="003F02CC" w:rsidRPr="00DB58B5" w:rsidRDefault="003F02CC" w:rsidP="003F02CC">
            <w:pPr>
              <w:spacing w:line="240" w:lineRule="exact"/>
            </w:pPr>
            <w:r>
              <w:t>Original : français</w:t>
            </w:r>
          </w:p>
        </w:tc>
      </w:tr>
    </w:tbl>
    <w:p w14:paraId="01CAF0D8" w14:textId="77777777" w:rsidR="00564657" w:rsidRDefault="00564657" w:rsidP="003F02CC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5FB6DAC" w14:textId="77777777" w:rsidR="00B64A50" w:rsidRDefault="00B64A50" w:rsidP="00B64A5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69AB2B03" w14:textId="77777777" w:rsidR="00B64A50" w:rsidRDefault="00B64A50" w:rsidP="00B64A5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669DEF86" w14:textId="77777777" w:rsidR="00B64A50" w:rsidRDefault="00B64A50" w:rsidP="00B64A50">
      <w:pPr>
        <w:spacing w:before="120"/>
        <w:rPr>
          <w:b/>
          <w:bCs/>
        </w:rPr>
      </w:pPr>
      <w:r>
        <w:rPr>
          <w:b/>
          <w:bCs/>
          <w:lang w:val="fr-FR"/>
        </w:rPr>
        <w:t>Soixante-dix-neuvième</w:t>
      </w:r>
      <w:r>
        <w:rPr>
          <w:b/>
          <w:bCs/>
        </w:rPr>
        <w:t xml:space="preserve"> session</w:t>
      </w:r>
    </w:p>
    <w:p w14:paraId="53FAD4ED" w14:textId="120A726A" w:rsidR="00B64A50" w:rsidRDefault="00B64A50" w:rsidP="00B64A50">
      <w:r>
        <w:t xml:space="preserve">Genève, </w:t>
      </w:r>
      <w:r>
        <w:rPr>
          <w:lang w:val="fr-FR"/>
        </w:rPr>
        <w:t>25</w:t>
      </w:r>
      <w:r w:rsidR="00706A0A">
        <w:rPr>
          <w:lang w:val="fr-FR"/>
        </w:rPr>
        <w:t>-</w:t>
      </w:r>
      <w:r>
        <w:rPr>
          <w:lang w:val="fr-FR"/>
        </w:rPr>
        <w:t>28 octobre 2022</w:t>
      </w:r>
    </w:p>
    <w:p w14:paraId="58C75B7E" w14:textId="77777777" w:rsidR="00B64A50" w:rsidRDefault="00B64A50" w:rsidP="00B64A50">
      <w:pPr>
        <w:pStyle w:val="Standard"/>
        <w:tabs>
          <w:tab w:val="center" w:pos="4819"/>
        </w:tabs>
        <w:overflowPunct w:val="0"/>
        <w:snapToGrid/>
      </w:pPr>
      <w:r>
        <w:rPr>
          <w:lang w:eastAsia="fr-FR"/>
        </w:rPr>
        <w:t>Point 6 de l’ordre du jour provisoire</w:t>
      </w:r>
    </w:p>
    <w:p w14:paraId="730DD0FB" w14:textId="77777777" w:rsidR="00B64A50" w:rsidRDefault="00B64A50" w:rsidP="00B64A50">
      <w:pPr>
        <w:rPr>
          <w:b/>
          <w:bCs/>
          <w:lang w:val="fr-FR"/>
        </w:rPr>
      </w:pPr>
      <w:r>
        <w:rPr>
          <w:b/>
          <w:lang w:val="fr-FR"/>
        </w:rPr>
        <w:t>Manuel ATP</w:t>
      </w:r>
    </w:p>
    <w:p w14:paraId="080FD5DE" w14:textId="423BEAA9" w:rsidR="00210852" w:rsidRPr="000C3183" w:rsidRDefault="00210852" w:rsidP="00210852">
      <w:pPr>
        <w:pStyle w:val="HChG"/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Pr="000430D2">
        <w:rPr>
          <w:lang w:val="fr-FR"/>
        </w:rPr>
        <w:t xml:space="preserve">Amendements aux observations concernant l’appendice 1 </w:t>
      </w:r>
      <w:r w:rsidR="00E2185E">
        <w:rPr>
          <w:lang w:val="fr-FR"/>
        </w:rPr>
        <w:br/>
      </w:r>
      <w:r w:rsidRPr="000430D2">
        <w:rPr>
          <w:lang w:val="fr-FR"/>
        </w:rPr>
        <w:t>de l’annexe 2 paragraphe 4 du Manuel ATP</w:t>
      </w:r>
      <w:r>
        <w:rPr>
          <w:lang w:val="fr-FR"/>
        </w:rPr>
        <w:br/>
      </w:r>
      <w:r w:rsidRPr="000430D2">
        <w:rPr>
          <w:lang w:val="fr-FR"/>
        </w:rPr>
        <w:t xml:space="preserve">Positions des sondes de mesure de température au cours </w:t>
      </w:r>
      <w:r w:rsidR="00E2185E">
        <w:rPr>
          <w:lang w:val="fr-FR"/>
        </w:rPr>
        <w:br/>
      </w:r>
      <w:r w:rsidRPr="000430D2">
        <w:rPr>
          <w:lang w:val="fr-FR"/>
        </w:rPr>
        <w:t>des transports</w:t>
      </w:r>
    </w:p>
    <w:p w14:paraId="628C5C7F" w14:textId="77777777" w:rsidR="00210852" w:rsidRDefault="00210852" w:rsidP="00210852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France</w:t>
      </w:r>
    </w:p>
    <w:p w14:paraId="3DC56379" w14:textId="77777777" w:rsidR="00210852" w:rsidRPr="00970A0D" w:rsidRDefault="00210852" w:rsidP="0021085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</w:t>
      </w:r>
      <w:r>
        <w:t>é</w:t>
      </w:r>
      <w:r>
        <w:rPr>
          <w:lang w:val="fr-FR"/>
        </w:rPr>
        <w:t xml:space="preserve">vision </w:t>
      </w:r>
    </w:p>
    <w:p w14:paraId="5885E05D" w14:textId="77777777" w:rsidR="00210852" w:rsidRDefault="00210852" w:rsidP="00210852">
      <w:pPr>
        <w:pStyle w:val="HChG"/>
      </w:pPr>
      <w:r>
        <w:tab/>
      </w:r>
      <w:r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22FD2D99" w14:textId="3A51D8DB" w:rsidR="00210852" w:rsidRPr="00B7508C" w:rsidRDefault="00210852" w:rsidP="00210852">
      <w:pPr>
        <w:pStyle w:val="SingleTxtG"/>
        <w:rPr>
          <w:lang w:val="fr-FR"/>
        </w:rPr>
      </w:pPr>
      <w:r w:rsidRPr="00B7508C">
        <w:rPr>
          <w:lang w:val="fr-FR"/>
        </w:rPr>
        <w:t>1.</w:t>
      </w:r>
      <w:r w:rsidRPr="00B7508C">
        <w:rPr>
          <w:lang w:val="fr-FR"/>
        </w:rPr>
        <w:tab/>
        <w:t>Les dispositions constructives dans l’implantation des évaporateurs peuvent induire une mesure faussée par rapport à la configuration « standard » imaginée lors de la définition de la position des sondes de température pour le contrôle des températures au cours des transports.</w:t>
      </w:r>
    </w:p>
    <w:p w14:paraId="65CB09F1" w14:textId="77777777" w:rsidR="00210852" w:rsidRPr="00B7508C" w:rsidRDefault="00210852" w:rsidP="00210852">
      <w:pPr>
        <w:pStyle w:val="SingleTxtG"/>
        <w:rPr>
          <w:lang w:val="fr-FR"/>
        </w:rPr>
      </w:pPr>
      <w:r w:rsidRPr="00B7508C">
        <w:rPr>
          <w:lang w:val="fr-FR"/>
        </w:rPr>
        <w:t>2.</w:t>
      </w:r>
      <w:r w:rsidRPr="00B7508C">
        <w:rPr>
          <w:lang w:val="fr-FR"/>
        </w:rPr>
        <w:tab/>
        <w:t>L’ouverture la plus éloignée ne se trouve pas forcément à l’opposé du groupe frigorifique (porte latérale, évaporateur installé au milieu de la caisse et soufflant transversalement, ou à l’arrière de la caisse et soufflant vers l’avant, etc…)</w:t>
      </w:r>
      <w:r>
        <w:rPr>
          <w:lang w:val="fr-FR"/>
        </w:rPr>
        <w:t>.</w:t>
      </w:r>
    </w:p>
    <w:p w14:paraId="394947B4" w14:textId="77777777" w:rsidR="00210852" w:rsidRDefault="00210852" w:rsidP="00210852">
      <w:pPr>
        <w:pStyle w:val="SingleTxtG"/>
        <w:rPr>
          <w:lang w:val="fr-FR"/>
        </w:rPr>
      </w:pPr>
      <w:r w:rsidRPr="00B7508C">
        <w:rPr>
          <w:lang w:val="fr-FR"/>
        </w:rPr>
        <w:t>3.</w:t>
      </w:r>
      <w:r w:rsidRPr="00B7508C">
        <w:rPr>
          <w:lang w:val="fr-FR"/>
        </w:rPr>
        <w:tab/>
        <w:t>Si en raison d’une vitesse d’air trop faible, la cargaison commence à se réchauffer, elle va continuer à refroidir la couche d’air environnante qui va stagner en partie basse. Il y a par conséquent un risque de détection de la déviation de température d’air retardée par rapport à la partie supérieure de la caisse.</w:t>
      </w:r>
    </w:p>
    <w:p w14:paraId="4B50A679" w14:textId="770EB1D2" w:rsidR="00E2185E" w:rsidRDefault="00E2185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276"/>
      </w:tblGrid>
      <w:tr w:rsidR="00210852" w14:paraId="1438D82D" w14:textId="77777777" w:rsidTr="006379AD">
        <w:tc>
          <w:tcPr>
            <w:tcW w:w="6810" w:type="dxa"/>
            <w:gridSpan w:val="3"/>
          </w:tcPr>
          <w:p w14:paraId="700F40E1" w14:textId="77777777" w:rsidR="00210852" w:rsidRDefault="00210852" w:rsidP="006379AD">
            <w:pPr>
              <w:pStyle w:val="SingleTxtG"/>
              <w:ind w:left="0"/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1FFD494D" wp14:editId="52F1DBEC">
                  <wp:extent cx="4317559" cy="2435546"/>
                  <wp:effectExtent l="0" t="0" r="698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673" cy="243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852" w14:paraId="26204D34" w14:textId="77777777" w:rsidTr="006379AD">
        <w:tc>
          <w:tcPr>
            <w:tcW w:w="4258" w:type="dxa"/>
          </w:tcPr>
          <w:p w14:paraId="63C9E121" w14:textId="77777777" w:rsidR="00210852" w:rsidRPr="00246208" w:rsidRDefault="00210852" w:rsidP="006379AD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246208">
              <w:t>Vitesse d’air homogène</w:t>
            </w:r>
          </w:p>
        </w:tc>
        <w:tc>
          <w:tcPr>
            <w:tcW w:w="1276" w:type="dxa"/>
          </w:tcPr>
          <w:p w14:paraId="52CEA453" w14:textId="77777777" w:rsidR="00210852" w:rsidRDefault="00210852" w:rsidP="006379AD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réduite</w:t>
            </w:r>
          </w:p>
        </w:tc>
        <w:tc>
          <w:tcPr>
            <w:tcW w:w="1276" w:type="dxa"/>
          </w:tcPr>
          <w:p w14:paraId="5C82EF39" w14:textId="77777777" w:rsidR="00210852" w:rsidRDefault="00210852" w:rsidP="006379AD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nulle</w:t>
            </w:r>
          </w:p>
        </w:tc>
      </w:tr>
      <w:tr w:rsidR="00210852" w14:paraId="39141033" w14:textId="77777777" w:rsidTr="006379AD">
        <w:tc>
          <w:tcPr>
            <w:tcW w:w="6810" w:type="dxa"/>
            <w:gridSpan w:val="3"/>
          </w:tcPr>
          <w:p w14:paraId="403E8228" w14:textId="77777777" w:rsidR="00210852" w:rsidRPr="00246208" w:rsidRDefault="00210852" w:rsidP="006379AD">
            <w:pPr>
              <w:pStyle w:val="SingleTxtG"/>
              <w:spacing w:after="0" w:line="240" w:lineRule="auto"/>
              <w:ind w:left="0" w:right="0"/>
              <w:jc w:val="center"/>
            </w:pPr>
            <w:r w:rsidRPr="00246208">
              <w:t>(hors système spécifique d’amélioration des flux</w:t>
            </w:r>
            <w:r>
              <w:t xml:space="preserve"> d’air</w:t>
            </w:r>
            <w:r w:rsidRPr="00246208">
              <w:t>)</w:t>
            </w:r>
          </w:p>
        </w:tc>
      </w:tr>
    </w:tbl>
    <w:p w14:paraId="51BE3BEF" w14:textId="77777777" w:rsidR="00210852" w:rsidRDefault="00210852" w:rsidP="00210852">
      <w:pPr>
        <w:pStyle w:val="SingleTxtG"/>
      </w:pPr>
    </w:p>
    <w:p w14:paraId="0A0E1DA3" w14:textId="77777777" w:rsidR="00210852" w:rsidRDefault="00210852" w:rsidP="00210852">
      <w:pPr>
        <w:pStyle w:val="HChG"/>
        <w:rPr>
          <w:lang w:val="fr-FR" w:eastAsia="fr-FR"/>
        </w:rPr>
      </w:pPr>
      <w:r>
        <w:rPr>
          <w:lang w:val="fr-FR" w:eastAsia="fr-FR"/>
        </w:rPr>
        <w:tab/>
        <w:t>I.</w:t>
      </w:r>
      <w:r>
        <w:rPr>
          <w:lang w:val="fr-FR" w:eastAsia="fr-FR"/>
        </w:rPr>
        <w:tab/>
        <w:t>Proposition d’amendement au manuel ATP</w:t>
      </w:r>
    </w:p>
    <w:p w14:paraId="5A93B993" w14:textId="77777777" w:rsidR="00210852" w:rsidRPr="00BD102D" w:rsidRDefault="00210852" w:rsidP="00210852">
      <w:pPr>
        <w:pStyle w:val="SingleTxtG"/>
      </w:pPr>
      <w:r w:rsidRPr="00BD102D">
        <w:rPr>
          <w:lang w:val="fr-FR"/>
        </w:rPr>
        <w:t>4.</w:t>
      </w:r>
      <w:r>
        <w:rPr>
          <w:lang w:val="fr-FR"/>
        </w:rPr>
        <w:tab/>
        <w:t>Dans l’Annexe 2, Appendice 1, Observations concernant l’Appendice 1 Annexe 2 § 4, il</w:t>
      </w:r>
      <w:r w:rsidRPr="00BD102D">
        <w:rPr>
          <w:lang w:val="fr-FR"/>
        </w:rPr>
        <w:t xml:space="preserve"> est proposé de remplacer la phrase actuelle « </w:t>
      </w:r>
      <w:r w:rsidRPr="00910B56">
        <w:rPr>
          <w:i/>
          <w:iCs/>
          <w:lang w:val="fr-FR"/>
        </w:rPr>
        <w:t>Dans le cas d’une diffusion de l’air froid par le haut – à proximité (à gauche ou à droite) de l’ouverture la plus éloignée du groupe frigorifique, en bas de celle-ci ;</w:t>
      </w:r>
      <w:r w:rsidRPr="00BD102D">
        <w:rPr>
          <w:lang w:val="fr-FR"/>
        </w:rPr>
        <w:t> » par :</w:t>
      </w:r>
    </w:p>
    <w:p w14:paraId="7043218E" w14:textId="77777777" w:rsidR="00210852" w:rsidRPr="00910B56" w:rsidRDefault="00210852" w:rsidP="00210852">
      <w:pPr>
        <w:pStyle w:val="SingleTxtG"/>
        <w:rPr>
          <w:i/>
          <w:iCs/>
          <w:lang w:val="fr-FR"/>
        </w:rPr>
      </w:pPr>
      <w:r w:rsidRPr="00910B56">
        <w:rPr>
          <w:i/>
          <w:iCs/>
          <w:lang w:val="fr-FR"/>
        </w:rPr>
        <w:t>« Dans le cas d’une diffusion de l’air froid par le haut – à proximité (à gauche ou à droite) de l’angle le plus éloigné des bouches de soufflage de l’évaporateur, en partie haute (dans le quart supérieur de la hauteur) ; »</w:t>
      </w:r>
    </w:p>
    <w:p w14:paraId="5A6B26AA" w14:textId="77777777" w:rsidR="00210852" w:rsidRPr="006109AD" w:rsidRDefault="00210852" w:rsidP="00210852">
      <w:pPr>
        <w:pStyle w:val="HChG"/>
      </w:pPr>
      <w:r>
        <w:tab/>
        <w:t>II.</w:t>
      </w:r>
      <w:r>
        <w:tab/>
        <w:t>Impact</w:t>
      </w:r>
    </w:p>
    <w:p w14:paraId="5BB73F1E" w14:textId="77777777" w:rsidR="00210852" w:rsidRPr="004475AD" w:rsidRDefault="00210852" w:rsidP="00210852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lang w:val="fr-FR" w:eastAsia="fr-FR"/>
        </w:rPr>
        <w:t>Cette modification rend plus réalistes et par conséquent plus fiables les enregistrements de température au cours des transports.</w:t>
      </w:r>
    </w:p>
    <w:p w14:paraId="55B82F4D" w14:textId="7424FD40" w:rsidR="00B64A50" w:rsidRPr="00DC7735" w:rsidRDefault="00DC7735" w:rsidP="00DC77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4A50" w:rsidRPr="00DC7735" w:rsidSect="003F02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B17" w14:textId="77777777" w:rsidR="00986E21" w:rsidRDefault="00986E21" w:rsidP="00F95C08">
      <w:pPr>
        <w:spacing w:line="240" w:lineRule="auto"/>
      </w:pPr>
    </w:p>
  </w:endnote>
  <w:endnote w:type="continuationSeparator" w:id="0">
    <w:p w14:paraId="2157DDFD" w14:textId="77777777" w:rsidR="00986E21" w:rsidRPr="00AC3823" w:rsidRDefault="00986E21" w:rsidP="00AC3823">
      <w:pPr>
        <w:pStyle w:val="Pieddepage"/>
      </w:pPr>
    </w:p>
  </w:endnote>
  <w:endnote w:type="continuationNotice" w:id="1">
    <w:p w14:paraId="72FD0714" w14:textId="77777777" w:rsidR="00986E21" w:rsidRDefault="00986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A18" w14:textId="77777777" w:rsidR="003F02CC" w:rsidRPr="003F02CC" w:rsidRDefault="003F02CC" w:rsidP="003F02CC">
    <w:pPr>
      <w:pStyle w:val="Pieddepage"/>
      <w:tabs>
        <w:tab w:val="right" w:pos="9638"/>
      </w:tabs>
      <w:rPr>
        <w:sz w:val="18"/>
      </w:rPr>
    </w:pPr>
    <w:r w:rsidRPr="003F02CC">
      <w:rPr>
        <w:b/>
        <w:sz w:val="18"/>
      </w:rPr>
      <w:fldChar w:fldCharType="begin"/>
    </w:r>
    <w:r w:rsidRPr="003F02CC">
      <w:rPr>
        <w:b/>
        <w:sz w:val="18"/>
      </w:rPr>
      <w:instrText xml:space="preserve"> PAGE  \* MERGEFORMAT </w:instrText>
    </w:r>
    <w:r w:rsidRPr="003F02CC">
      <w:rPr>
        <w:b/>
        <w:sz w:val="18"/>
      </w:rPr>
      <w:fldChar w:fldCharType="separate"/>
    </w:r>
    <w:r w:rsidRPr="003F02CC">
      <w:rPr>
        <w:b/>
        <w:noProof/>
        <w:sz w:val="18"/>
      </w:rPr>
      <w:t>2</w:t>
    </w:r>
    <w:r w:rsidRPr="003F02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4F77" w14:textId="77777777" w:rsidR="003F02CC" w:rsidRPr="003F02CC" w:rsidRDefault="003F02CC" w:rsidP="003F02CC">
    <w:pPr>
      <w:pStyle w:val="Pieddepage"/>
      <w:tabs>
        <w:tab w:val="right" w:pos="9638"/>
      </w:tabs>
      <w:rPr>
        <w:b/>
        <w:sz w:val="18"/>
      </w:rPr>
    </w:pPr>
    <w:r>
      <w:tab/>
    </w:r>
    <w:r w:rsidRPr="003F02CC">
      <w:rPr>
        <w:b/>
        <w:sz w:val="18"/>
      </w:rPr>
      <w:fldChar w:fldCharType="begin"/>
    </w:r>
    <w:r w:rsidRPr="003F02CC">
      <w:rPr>
        <w:b/>
        <w:sz w:val="18"/>
      </w:rPr>
      <w:instrText xml:space="preserve"> PAGE  \* MERGEFORMAT </w:instrText>
    </w:r>
    <w:r w:rsidRPr="003F02CC">
      <w:rPr>
        <w:b/>
        <w:sz w:val="18"/>
      </w:rPr>
      <w:fldChar w:fldCharType="separate"/>
    </w:r>
    <w:r w:rsidRPr="003F02CC">
      <w:rPr>
        <w:b/>
        <w:noProof/>
        <w:sz w:val="18"/>
      </w:rPr>
      <w:t>3</w:t>
    </w:r>
    <w:r w:rsidRPr="003F02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5A8" w14:textId="406C6269" w:rsidR="000D3EE9" w:rsidRPr="00895766" w:rsidRDefault="00895766" w:rsidP="00895766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GE.22-12212  (F)</w:t>
    </w:r>
    <w:bookmarkStart w:id="2" w:name="_GoBack"/>
    <w:bookmarkEnd w:id="2"/>
    <w:r>
      <w:rPr>
        <w:sz w:val="20"/>
      </w:rPr>
      <w:tab/>
    </w:r>
    <w:r w:rsidRPr="00895766">
      <w:rPr>
        <w:noProof/>
        <w:sz w:val="20"/>
        <w:lang w:eastAsia="fr-CH"/>
      </w:rPr>
      <w:drawing>
        <wp:inline distT="0" distB="0" distL="0" distR="0" wp14:anchorId="2918C6FA" wp14:editId="369637EB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0874AA7" wp14:editId="3396AD31">
          <wp:extent cx="635635" cy="6356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1790" w14:textId="77777777" w:rsidR="00986E21" w:rsidRPr="00AC3823" w:rsidRDefault="00986E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8ABB41" w14:textId="77777777" w:rsidR="00986E21" w:rsidRPr="00AC3823" w:rsidRDefault="00986E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738DE5" w14:textId="77777777" w:rsidR="00986E21" w:rsidRPr="00AC3823" w:rsidRDefault="00986E2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320A" w14:textId="77777777" w:rsidR="003F02CC" w:rsidRPr="003F02CC" w:rsidRDefault="00986E21">
    <w:pPr>
      <w:pStyle w:val="En-tte"/>
    </w:pPr>
    <w:fldSimple w:instr=" TITLE  \* MERGEFORMAT ">
      <w:r w:rsidR="003F02CC">
        <w:t>ECE/TRANS/WP.11/2021/13/Rev.2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627D" w14:textId="77777777" w:rsidR="003F02CC" w:rsidRPr="003F02CC" w:rsidRDefault="00986E21" w:rsidP="003F02CC">
    <w:pPr>
      <w:pStyle w:val="En-tte"/>
      <w:jc w:val="right"/>
    </w:pPr>
    <w:fldSimple w:instr=" TITLE  \* MERGEFORMAT ">
      <w:r w:rsidR="003F02CC">
        <w:t>ECE/TRANS/WP.11/2021/13/Rev.2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CC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A064B"/>
    <w:rsid w:val="001D16AC"/>
    <w:rsid w:val="001D400F"/>
    <w:rsid w:val="001F525A"/>
    <w:rsid w:val="00210852"/>
    <w:rsid w:val="00223272"/>
    <w:rsid w:val="00240333"/>
    <w:rsid w:val="0024779E"/>
    <w:rsid w:val="002832AC"/>
    <w:rsid w:val="002834A0"/>
    <w:rsid w:val="002D7C93"/>
    <w:rsid w:val="00343829"/>
    <w:rsid w:val="0037241C"/>
    <w:rsid w:val="003F02CC"/>
    <w:rsid w:val="00441C3B"/>
    <w:rsid w:val="00446B0A"/>
    <w:rsid w:val="00446FE5"/>
    <w:rsid w:val="00452396"/>
    <w:rsid w:val="004E468C"/>
    <w:rsid w:val="004F2920"/>
    <w:rsid w:val="005316B0"/>
    <w:rsid w:val="00541E23"/>
    <w:rsid w:val="005505B7"/>
    <w:rsid w:val="00564657"/>
    <w:rsid w:val="00573BE5"/>
    <w:rsid w:val="00586ED3"/>
    <w:rsid w:val="00596AA9"/>
    <w:rsid w:val="0064013C"/>
    <w:rsid w:val="006E2F73"/>
    <w:rsid w:val="00703D0F"/>
    <w:rsid w:val="00706363"/>
    <w:rsid w:val="00706A0A"/>
    <w:rsid w:val="0071601D"/>
    <w:rsid w:val="007A62E6"/>
    <w:rsid w:val="0080684C"/>
    <w:rsid w:val="008204DA"/>
    <w:rsid w:val="0083123A"/>
    <w:rsid w:val="00871C75"/>
    <w:rsid w:val="008767E8"/>
    <w:rsid w:val="008776DC"/>
    <w:rsid w:val="00895766"/>
    <w:rsid w:val="00915979"/>
    <w:rsid w:val="009705C8"/>
    <w:rsid w:val="00986E21"/>
    <w:rsid w:val="009C1CF4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50E25"/>
    <w:rsid w:val="00B64918"/>
    <w:rsid w:val="00B64A50"/>
    <w:rsid w:val="00B765F7"/>
    <w:rsid w:val="00BA0CA9"/>
    <w:rsid w:val="00C02897"/>
    <w:rsid w:val="00C16A45"/>
    <w:rsid w:val="00C7616F"/>
    <w:rsid w:val="00CB16B5"/>
    <w:rsid w:val="00CE0608"/>
    <w:rsid w:val="00D3439C"/>
    <w:rsid w:val="00D44CF3"/>
    <w:rsid w:val="00D70306"/>
    <w:rsid w:val="00DA6C5E"/>
    <w:rsid w:val="00DB1831"/>
    <w:rsid w:val="00DC7735"/>
    <w:rsid w:val="00DD3BFD"/>
    <w:rsid w:val="00DF431C"/>
    <w:rsid w:val="00DF6678"/>
    <w:rsid w:val="00E2185E"/>
    <w:rsid w:val="00E90D3F"/>
    <w:rsid w:val="00E939CE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5E3C49"/>
  <w15:docId w15:val="{02FDD193-C4C1-4E79-83F3-32FD96B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Standard">
    <w:name w:val="Standard"/>
    <w:rsid w:val="00B64A50"/>
    <w:pPr>
      <w:suppressAutoHyphens/>
      <w:autoSpaceDN w:val="0"/>
      <w:snapToGrid w:val="0"/>
      <w:spacing w:after="0" w:line="240" w:lineRule="atLeast"/>
    </w:pPr>
    <w:rPr>
      <w:kern w:val="3"/>
    </w:rPr>
  </w:style>
  <w:style w:type="character" w:customStyle="1" w:styleId="Policepardfaut1">
    <w:name w:val="Police par défaut1"/>
    <w:rsid w:val="0021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4C82C-C484-4C52-93DC-72FC7446F55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6E5E236-0AE1-44E7-8331-173AF3D60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7C963-C8D9-41CB-BA19-ABF4A2556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1940</Characters>
  <Application>Microsoft Office Word</Application>
  <DocSecurity>0</DocSecurity>
  <Lines>57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ECE/TRANS/WP.11/2021/13/Rev.2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2022-08-09T09:12:00Z</dcterms:created>
  <dcterms:modified xsi:type="dcterms:W3CDTF">2022-08-09T09:12:00Z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