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3C18EA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1D1C81" w14:textId="77777777" w:rsidR="00F35BAF" w:rsidRPr="00DB58B5" w:rsidRDefault="00F35BAF" w:rsidP="002B0F9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DB489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7BDC5C" w14:textId="2BED0B42" w:rsidR="00F35BAF" w:rsidRPr="00DB58B5" w:rsidRDefault="002B0F9E" w:rsidP="002B0F9E">
            <w:pPr>
              <w:jc w:val="right"/>
            </w:pPr>
            <w:r w:rsidRPr="002B0F9E">
              <w:rPr>
                <w:sz w:val="40"/>
              </w:rPr>
              <w:t>ECE</w:t>
            </w:r>
            <w:r>
              <w:t>/TRANS/WP.11/2022/16</w:t>
            </w:r>
          </w:p>
        </w:tc>
      </w:tr>
      <w:tr w:rsidR="00F35BAF" w:rsidRPr="00DB58B5" w14:paraId="2ED77E7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8AD00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0A372E" wp14:editId="56F3AC9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5C305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36651B" w14:textId="77777777" w:rsidR="00F35BAF" w:rsidRDefault="002B0F9E" w:rsidP="00C97039">
            <w:pPr>
              <w:spacing w:before="240"/>
            </w:pPr>
            <w:r>
              <w:t>Distr. générale</w:t>
            </w:r>
          </w:p>
          <w:p w14:paraId="134289BD" w14:textId="6333287C" w:rsidR="002B0F9E" w:rsidRDefault="002B0F9E" w:rsidP="002B0F9E">
            <w:pPr>
              <w:spacing w:line="240" w:lineRule="exact"/>
            </w:pPr>
            <w:r>
              <w:t>9 août 2022</w:t>
            </w:r>
          </w:p>
          <w:p w14:paraId="7F553633" w14:textId="77777777" w:rsidR="002B0F9E" w:rsidRDefault="002B0F9E" w:rsidP="002B0F9E">
            <w:pPr>
              <w:spacing w:line="240" w:lineRule="exact"/>
            </w:pPr>
            <w:r>
              <w:t>Français</w:t>
            </w:r>
          </w:p>
          <w:p w14:paraId="3EB7DE49" w14:textId="24C798C7" w:rsidR="002B0F9E" w:rsidRPr="00DB58B5" w:rsidRDefault="002B0F9E" w:rsidP="002B0F9E">
            <w:pPr>
              <w:spacing w:line="240" w:lineRule="exact"/>
            </w:pPr>
            <w:r>
              <w:t>Original : anglais</w:t>
            </w:r>
          </w:p>
        </w:tc>
      </w:tr>
    </w:tbl>
    <w:p w14:paraId="1C1AB2C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749748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AD648B8" w14:textId="77777777" w:rsidR="002B0F9E" w:rsidRPr="00685843" w:rsidRDefault="002B0F9E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19B0AA6A" w14:textId="69C5E02F" w:rsidR="002B0F9E" w:rsidRPr="00F30D47" w:rsidRDefault="002B0F9E" w:rsidP="00305801">
      <w:pPr>
        <w:spacing w:before="120"/>
        <w:rPr>
          <w:b/>
        </w:rPr>
      </w:pPr>
      <w:r>
        <w:rPr>
          <w:b/>
        </w:rPr>
        <w:t xml:space="preserve">Soixante-dix-neuvième </w:t>
      </w:r>
      <w:r w:rsidRPr="00F30D47">
        <w:rPr>
          <w:b/>
        </w:rPr>
        <w:t>session</w:t>
      </w:r>
    </w:p>
    <w:p w14:paraId="298669BE" w14:textId="54A9F8ED" w:rsidR="002B0F9E" w:rsidRDefault="002B0F9E" w:rsidP="00305801">
      <w:r>
        <w:t>Genève, 25-28 octobre 2022</w:t>
      </w:r>
    </w:p>
    <w:p w14:paraId="24937192" w14:textId="732E42B4" w:rsidR="002B0F9E" w:rsidRDefault="002B0F9E" w:rsidP="00305801">
      <w:r>
        <w:t>Point 5 a) de l’ordre du jour provisoire</w:t>
      </w:r>
    </w:p>
    <w:p w14:paraId="04970893" w14:textId="32D0F399" w:rsidR="002B0F9E" w:rsidRPr="00DD2728" w:rsidRDefault="002B0F9E" w:rsidP="002B0F9E">
      <w:pPr>
        <w:rPr>
          <w:b/>
          <w:bCs/>
          <w:lang w:val="fr-FR"/>
        </w:rPr>
      </w:pPr>
      <w:r w:rsidRPr="00DD2728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DD2728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DD2728">
        <w:rPr>
          <w:b/>
          <w:bCs/>
          <w:lang w:val="fr-FR"/>
        </w:rPr>
        <w:t>ATP</w:t>
      </w:r>
      <w:r>
        <w:rPr>
          <w:b/>
          <w:bCs/>
          <w:lang w:val="fr-FR"/>
        </w:rPr>
        <w:t> </w:t>
      </w:r>
      <w:r w:rsidRPr="00DD2728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DD2728">
        <w:rPr>
          <w:b/>
          <w:bCs/>
          <w:lang w:val="fr-FR"/>
        </w:rPr>
        <w:t>Propositions en suspens</w:t>
      </w:r>
    </w:p>
    <w:p w14:paraId="31309578" w14:textId="0360957B" w:rsidR="002B0F9E" w:rsidRPr="00DD2728" w:rsidRDefault="002B0F9E" w:rsidP="002B0F9E">
      <w:pPr>
        <w:pStyle w:val="HChG"/>
        <w:rPr>
          <w:lang w:val="fr-FR"/>
        </w:rPr>
      </w:pPr>
      <w:r w:rsidRPr="00DD2728">
        <w:rPr>
          <w:lang w:val="fr-FR"/>
        </w:rPr>
        <w:tab/>
      </w:r>
      <w:r w:rsidRPr="00DD2728">
        <w:rPr>
          <w:lang w:val="fr-FR"/>
        </w:rPr>
        <w:tab/>
        <w:t>Amendements au paragraphe</w:t>
      </w:r>
      <w:r>
        <w:rPr>
          <w:lang w:val="fr-FR"/>
        </w:rPr>
        <w:t> </w:t>
      </w:r>
      <w:r w:rsidRPr="00DD2728">
        <w:rPr>
          <w:lang w:val="fr-FR"/>
        </w:rPr>
        <w:t>3.2.6 de l</w:t>
      </w:r>
      <w:r>
        <w:rPr>
          <w:lang w:val="fr-FR"/>
        </w:rPr>
        <w:t>’</w:t>
      </w:r>
      <w:r w:rsidRPr="00DD2728">
        <w:rPr>
          <w:lang w:val="fr-FR"/>
        </w:rPr>
        <w:t>appendice</w:t>
      </w:r>
      <w:r>
        <w:rPr>
          <w:lang w:val="fr-FR"/>
        </w:rPr>
        <w:t> </w:t>
      </w:r>
      <w:r w:rsidRPr="00DD2728">
        <w:rPr>
          <w:lang w:val="fr-FR"/>
        </w:rPr>
        <w:t xml:space="preserve">2 </w:t>
      </w:r>
      <w:r>
        <w:rPr>
          <w:lang w:val="fr-FR"/>
        </w:rPr>
        <w:br/>
      </w:r>
      <w:r w:rsidRPr="00DD2728">
        <w:rPr>
          <w:lang w:val="fr-FR"/>
        </w:rPr>
        <w:t>de l</w:t>
      </w:r>
      <w:r>
        <w:rPr>
          <w:lang w:val="fr-FR"/>
        </w:rPr>
        <w:t>’</w:t>
      </w:r>
      <w:r w:rsidRPr="00DD2728">
        <w:rPr>
          <w:lang w:val="fr-FR"/>
        </w:rPr>
        <w:t>annexe</w:t>
      </w:r>
      <w:r>
        <w:rPr>
          <w:lang w:val="fr-FR"/>
        </w:rPr>
        <w:t> </w:t>
      </w:r>
      <w:r w:rsidRPr="00DD2728">
        <w:rPr>
          <w:lang w:val="fr-FR"/>
        </w:rPr>
        <w:t>1 et au Manuel ATP</w:t>
      </w:r>
    </w:p>
    <w:p w14:paraId="2FE2DA90" w14:textId="77777777" w:rsidR="002B0F9E" w:rsidRPr="00DD2728" w:rsidRDefault="002B0F9E" w:rsidP="002B0F9E">
      <w:pPr>
        <w:pStyle w:val="H1G"/>
        <w:rPr>
          <w:lang w:val="fr-FR"/>
        </w:rPr>
      </w:pPr>
      <w:r w:rsidRPr="00DD2728">
        <w:rPr>
          <w:lang w:val="fr-FR"/>
        </w:rPr>
        <w:tab/>
      </w:r>
      <w:r w:rsidRPr="00DD2728">
        <w:rPr>
          <w:lang w:val="fr-FR"/>
        </w:rPr>
        <w:tab/>
        <w:t>Communication du Gouvernement du Royaume-Uni</w:t>
      </w:r>
    </w:p>
    <w:p w14:paraId="2CE7821B" w14:textId="77777777" w:rsidR="002B0F9E" w:rsidRPr="00DD2728" w:rsidRDefault="002B0F9E" w:rsidP="002B0F9E">
      <w:pPr>
        <w:pStyle w:val="HChG"/>
        <w:rPr>
          <w:lang w:val="fr-FR"/>
        </w:rPr>
      </w:pPr>
      <w:r w:rsidRPr="00DD2728">
        <w:rPr>
          <w:lang w:val="fr-FR"/>
        </w:rPr>
        <w:tab/>
      </w:r>
      <w:r w:rsidRPr="00DD2728">
        <w:rPr>
          <w:lang w:val="fr-FR"/>
        </w:rPr>
        <w:tab/>
        <w:t>Introduction</w:t>
      </w:r>
    </w:p>
    <w:p w14:paraId="48771DB3" w14:textId="729F2088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1.</w:t>
      </w:r>
      <w:r w:rsidRPr="00DD2728">
        <w:rPr>
          <w:lang w:val="fr-FR"/>
        </w:rPr>
        <w:tab/>
        <w:t>La proposition du Royaume-Uni relative au débit d</w:t>
      </w:r>
      <w:r>
        <w:rPr>
          <w:lang w:val="fr-FR"/>
        </w:rPr>
        <w:t>’</w:t>
      </w:r>
      <w:r w:rsidRPr="00DD2728">
        <w:rPr>
          <w:lang w:val="fr-FR"/>
        </w:rPr>
        <w:t>air a été présentée pour la première fois à la soixante-dixième session (ECE/TRANS/WP.11/2014/15, partie</w:t>
      </w:r>
      <w:r>
        <w:rPr>
          <w:lang w:val="fr-FR"/>
        </w:rPr>
        <w:t> </w:t>
      </w:r>
      <w:r w:rsidRPr="00DD2728">
        <w:rPr>
          <w:lang w:val="fr-FR"/>
        </w:rPr>
        <w:t>A)</w:t>
      </w:r>
      <w:r>
        <w:rPr>
          <w:lang w:val="fr-FR"/>
        </w:rPr>
        <w:t>. Dix P</w:t>
      </w:r>
      <w:r w:rsidRPr="00DD2728">
        <w:rPr>
          <w:lang w:val="fr-FR"/>
        </w:rPr>
        <w:t xml:space="preserve">arties contractantes se sont </w:t>
      </w:r>
      <w:r>
        <w:rPr>
          <w:lang w:val="fr-FR"/>
        </w:rPr>
        <w:t xml:space="preserve">alors </w:t>
      </w:r>
      <w:r w:rsidRPr="00DD2728">
        <w:rPr>
          <w:lang w:val="fr-FR"/>
        </w:rPr>
        <w:t xml:space="preserve">prononcées en faveur </w:t>
      </w:r>
      <w:r>
        <w:rPr>
          <w:lang w:val="fr-FR"/>
        </w:rPr>
        <w:t xml:space="preserve">de  cette </w:t>
      </w:r>
      <w:r w:rsidRPr="00DD2728">
        <w:rPr>
          <w:lang w:val="fr-FR"/>
        </w:rPr>
        <w:t>proposition (Allemagne, Danemark, Espagne, États-Unis</w:t>
      </w:r>
      <w:r>
        <w:rPr>
          <w:lang w:val="fr-FR"/>
        </w:rPr>
        <w:t xml:space="preserve"> d’Amérique</w:t>
      </w:r>
      <w:r w:rsidRPr="00DD2728">
        <w:rPr>
          <w:lang w:val="fr-FR"/>
        </w:rPr>
        <w:t>, Finlande, France, Italie, Pologne, Portugal et Royaume-Uni) et aucune ne s</w:t>
      </w:r>
      <w:r>
        <w:rPr>
          <w:lang w:val="fr-FR"/>
        </w:rPr>
        <w:t>’</w:t>
      </w:r>
      <w:r w:rsidRPr="00DD2728">
        <w:rPr>
          <w:lang w:val="fr-FR"/>
        </w:rPr>
        <w:t>y est opposée</w:t>
      </w:r>
      <w:r>
        <w:rPr>
          <w:lang w:val="fr-FR"/>
        </w:rPr>
        <w:t> </w:t>
      </w:r>
      <w:r w:rsidRPr="00DD2728">
        <w:rPr>
          <w:lang w:val="fr-FR"/>
        </w:rPr>
        <w:t xml:space="preserve">; elle a donc été adoptée à cette même session. La proposition </w:t>
      </w:r>
      <w:r>
        <w:rPr>
          <w:lang w:val="fr-FR"/>
        </w:rPr>
        <w:t>telle qu’</w:t>
      </w:r>
      <w:r w:rsidRPr="00DD2728">
        <w:rPr>
          <w:lang w:val="fr-FR"/>
        </w:rPr>
        <w:t>adoptée à la soixante-dixième session est présentée ci-dessous :</w:t>
      </w:r>
    </w:p>
    <w:p w14:paraId="1CBB3857" w14:textId="5A76A030" w:rsidR="002B0F9E" w:rsidRPr="00E22E0D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« Le débit d</w:t>
      </w:r>
      <w:r>
        <w:rPr>
          <w:lang w:val="fr-FR"/>
        </w:rPr>
        <w:t>’</w:t>
      </w:r>
      <w:r w:rsidRPr="00DD2728">
        <w:rPr>
          <w:lang w:val="fr-FR"/>
        </w:rPr>
        <w:t>air spécifié dans le procès-verbal d</w:t>
      </w:r>
      <w:r>
        <w:rPr>
          <w:lang w:val="fr-FR"/>
        </w:rPr>
        <w:t>’</w:t>
      </w:r>
      <w:r w:rsidRPr="00DD2728">
        <w:rPr>
          <w:lang w:val="fr-FR"/>
        </w:rPr>
        <w:t>essai de l</w:t>
      </w:r>
      <w:r>
        <w:rPr>
          <w:lang w:val="fr-FR"/>
        </w:rPr>
        <w:t>’</w:t>
      </w:r>
      <w:r w:rsidRPr="00DD2728">
        <w:rPr>
          <w:lang w:val="fr-FR"/>
        </w:rPr>
        <w:t>engin frigorifique doit être conforme à</w:t>
      </w:r>
      <w:r>
        <w:rPr>
          <w:lang w:val="fr-FR"/>
        </w:rPr>
        <w:t> </w:t>
      </w:r>
      <w:r w:rsidRPr="00DD2728">
        <w:rPr>
          <w:lang w:val="fr-FR"/>
        </w:rPr>
        <w:t>:</w:t>
      </w:r>
    </w:p>
    <w:p w14:paraId="556D330D" w14:textId="77777777" w:rsidR="002B0F9E" w:rsidRPr="00E22E0D" w:rsidRDefault="002B0F9E" w:rsidP="002B0F9E">
      <w:pPr>
        <w:pStyle w:val="SingleTxtG"/>
        <w:ind w:left="2268"/>
        <w:rPr>
          <w:rFonts w:ascii="Helv" w:hAnsi="Helv" w:cs="Helv"/>
          <w:iCs/>
          <w:lang w:val="fr-FR" w:eastAsia="en-GB"/>
        </w:rPr>
      </w:pPr>
      <w:r>
        <w:rPr>
          <w:rFonts w:ascii="Helv" w:hAnsi="Helv" w:cs="Helv"/>
          <w:i/>
          <w:iCs/>
          <w:noProof/>
          <w:lang w:val="fr-FR" w:eastAsia="en-GB"/>
        </w:rPr>
        <w:drawing>
          <wp:anchor distT="0" distB="0" distL="114300" distR="114300" simplePos="0" relativeHeight="251659264" behindDoc="1" locked="0" layoutInCell="1" allowOverlap="1" wp14:anchorId="79ACD773" wp14:editId="70BBE14D">
            <wp:simplePos x="0" y="0"/>
            <wp:positionH relativeFrom="column">
              <wp:posOffset>1075386</wp:posOffset>
            </wp:positionH>
            <wp:positionV relativeFrom="paragraph">
              <wp:posOffset>3175</wp:posOffset>
            </wp:positionV>
            <wp:extent cx="199390" cy="266065"/>
            <wp:effectExtent l="0" t="0" r="0" b="635"/>
            <wp:wrapThrough wrapText="bothSides">
              <wp:wrapPolygon edited="0">
                <wp:start x="0" y="0"/>
                <wp:lineTo x="0" y="20105"/>
                <wp:lineTo x="18573" y="20105"/>
                <wp:lineTo x="18573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E0D">
        <w:rPr>
          <w:rFonts w:ascii="Helv" w:hAnsi="Helv" w:cs="Helv"/>
          <w:i/>
          <w:iCs/>
          <w:lang w:val="fr-FR" w:eastAsia="en-GB"/>
        </w:rPr>
        <w:t xml:space="preserve"> </w:t>
      </w:r>
      <w:r w:rsidRPr="00E22E0D">
        <w:rPr>
          <w:iCs/>
          <w:sz w:val="28"/>
          <w:szCs w:val="28"/>
          <w:lang w:val="fr-FR" w:eastAsia="en-GB"/>
        </w:rPr>
        <w:t>≥</w:t>
      </w:r>
      <w:r w:rsidRPr="00E22E0D">
        <w:rPr>
          <w:i/>
          <w:iCs/>
          <w:lang w:val="fr-FR" w:eastAsia="en-GB"/>
        </w:rPr>
        <w:t xml:space="preserve"> </w:t>
      </w:r>
      <w:r w:rsidRPr="00E22E0D">
        <w:rPr>
          <w:iCs/>
          <w:lang w:val="fr-FR" w:eastAsia="en-GB"/>
        </w:rPr>
        <w:t>60</w:t>
      </w:r>
      <w:r w:rsidRPr="00E22E0D">
        <w:rPr>
          <w:rFonts w:ascii="Helv" w:hAnsi="Helv" w:cs="Helv"/>
          <w:i/>
          <w:iCs/>
          <w:lang w:val="fr-FR" w:eastAsia="en-GB"/>
        </w:rPr>
        <w:t xml:space="preserve"> · </w:t>
      </w:r>
      <w:r w:rsidRPr="00E22E0D">
        <w:rPr>
          <w:rFonts w:ascii="Arial" w:hAnsi="Arial" w:cs="Arial"/>
          <w:i/>
          <w:iCs/>
          <w:lang w:val="fr-FR" w:eastAsia="en-GB"/>
        </w:rPr>
        <w:t>V</w:t>
      </w:r>
      <w:r w:rsidRPr="00E22E0D">
        <w:rPr>
          <w:rFonts w:ascii="Helv" w:hAnsi="Helv" w:cs="Helv"/>
          <w:i/>
          <w:iCs/>
          <w:lang w:val="fr-FR" w:eastAsia="en-GB"/>
        </w:rPr>
        <w:t xml:space="preserve"> </w:t>
      </w:r>
      <w:r w:rsidRPr="00E22E0D">
        <w:rPr>
          <w:iCs/>
          <w:lang w:val="fr-FR" w:eastAsia="en-GB"/>
        </w:rPr>
        <w:t>en m</w:t>
      </w:r>
      <w:r w:rsidRPr="00E22E0D">
        <w:rPr>
          <w:iCs/>
          <w:vertAlign w:val="superscript"/>
          <w:lang w:val="fr-FR" w:eastAsia="en-GB"/>
        </w:rPr>
        <w:t>3</w:t>
      </w:r>
      <w:r w:rsidRPr="00E22E0D">
        <w:rPr>
          <w:iCs/>
          <w:lang w:val="fr-FR" w:eastAsia="en-GB"/>
        </w:rPr>
        <w:t>/h</w:t>
      </w:r>
    </w:p>
    <w:p w14:paraId="594C6492" w14:textId="77777777" w:rsidR="002B0F9E" w:rsidRPr="00E22E0D" w:rsidRDefault="002B0F9E" w:rsidP="002B0F9E">
      <w:pPr>
        <w:pStyle w:val="SingleTxtG"/>
        <w:ind w:left="1701"/>
        <w:rPr>
          <w:lang w:val="fr-FR"/>
        </w:rPr>
      </w:pPr>
      <w:r w:rsidRPr="00E22E0D">
        <w:rPr>
          <w:lang w:val="fr-FR"/>
        </w:rPr>
        <w:t>où</w:t>
      </w:r>
    </w:p>
    <w:p w14:paraId="62BB0FA0" w14:textId="3FECAA48" w:rsidR="002B0F9E" w:rsidRPr="00E22E0D" w:rsidRDefault="002B0F9E" w:rsidP="002B0F9E">
      <w:pPr>
        <w:pStyle w:val="SingleTxtG"/>
        <w:ind w:left="1701"/>
        <w:rPr>
          <w:lang w:val="fr-FR"/>
        </w:rPr>
      </w:pPr>
      <w:r>
        <w:rPr>
          <w:rFonts w:ascii="Helv" w:hAnsi="Helv" w:cs="Helv"/>
          <w:i/>
          <w:iCs/>
          <w:noProof/>
          <w:lang w:val="fr-FR" w:eastAsia="en-GB"/>
        </w:rPr>
        <w:drawing>
          <wp:anchor distT="0" distB="0" distL="114300" distR="114300" simplePos="0" relativeHeight="251660288" behindDoc="1" locked="0" layoutInCell="1" allowOverlap="1" wp14:anchorId="7DE4126A" wp14:editId="41984560">
            <wp:simplePos x="0" y="0"/>
            <wp:positionH relativeFrom="column">
              <wp:posOffset>1074751</wp:posOffset>
            </wp:positionH>
            <wp:positionV relativeFrom="paragraph">
              <wp:posOffset>211455</wp:posOffset>
            </wp:positionV>
            <wp:extent cx="19939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8573" y="19440"/>
                <wp:lineTo x="18573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E0D">
        <w:rPr>
          <w:rFonts w:ascii="Arial" w:hAnsi="Arial" w:cs="Arial"/>
          <w:i/>
          <w:lang w:val="fr-FR"/>
        </w:rPr>
        <w:t>V</w:t>
      </w:r>
      <w:r w:rsidRPr="00E22E0D">
        <w:rPr>
          <w:lang w:val="fr-FR"/>
        </w:rPr>
        <w:t xml:space="preserve"> </w:t>
      </w:r>
      <w:r w:rsidRPr="00E22E0D">
        <w:rPr>
          <w:lang w:val="fr-FR"/>
        </w:rPr>
        <w:tab/>
        <w:t>est le volume de l</w:t>
      </w:r>
      <w:r>
        <w:rPr>
          <w:lang w:val="fr-FR"/>
        </w:rPr>
        <w:t>’</w:t>
      </w:r>
      <w:r w:rsidRPr="00E22E0D">
        <w:rPr>
          <w:lang w:val="fr-FR"/>
        </w:rPr>
        <w:t>espace vide, en m</w:t>
      </w:r>
      <w:r w:rsidRPr="00DD2728">
        <w:rPr>
          <w:vertAlign w:val="superscript"/>
          <w:lang w:val="fr-FR"/>
        </w:rPr>
        <w:t>3</w:t>
      </w:r>
      <w:r w:rsidR="003B7C5F">
        <w:rPr>
          <w:lang w:val="fr-FR"/>
        </w:rPr>
        <w:t> </w:t>
      </w:r>
      <w:r w:rsidRPr="00DD2728">
        <w:rPr>
          <w:lang w:val="fr-FR"/>
        </w:rPr>
        <w:t>;</w:t>
      </w:r>
    </w:p>
    <w:p w14:paraId="3D535E1E" w14:textId="77777777" w:rsidR="002B0F9E" w:rsidRPr="00DD2728" w:rsidRDefault="002B0F9E" w:rsidP="002B0F9E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r w:rsidRPr="00E22E0D">
        <w:rPr>
          <w:lang w:val="fr-FR"/>
        </w:rPr>
        <w:t xml:space="preserve">est </w:t>
      </w:r>
      <w:r w:rsidRPr="003B7C5F">
        <w:rPr>
          <w:lang w:val="fr-FR" w:eastAsia="en-GB"/>
        </w:rPr>
        <w:t>le</w:t>
      </w:r>
      <w:r w:rsidRPr="003B7C5F">
        <w:rPr>
          <w:lang w:val="fr-FR"/>
        </w:rPr>
        <w:t xml:space="preserve"> </w:t>
      </w:r>
      <w:r w:rsidRPr="00E22E0D">
        <w:rPr>
          <w:lang w:val="fr-FR"/>
        </w:rPr>
        <w:t>débit d</w:t>
      </w:r>
      <w:r>
        <w:rPr>
          <w:lang w:val="fr-FR"/>
        </w:rPr>
        <w:t>’</w:t>
      </w:r>
      <w:r w:rsidRPr="00E22E0D">
        <w:rPr>
          <w:lang w:val="fr-FR"/>
        </w:rPr>
        <w:t>air.</w:t>
      </w:r>
    </w:p>
    <w:p w14:paraId="424E7B71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Il faut compenser toute perte de débit d</w:t>
      </w:r>
      <w:r>
        <w:rPr>
          <w:lang w:val="fr-FR"/>
        </w:rPr>
        <w:t>’</w:t>
      </w:r>
      <w:r w:rsidRPr="00DD2728">
        <w:rPr>
          <w:lang w:val="fr-FR"/>
        </w:rPr>
        <w:t>air dans le système d</w:t>
      </w:r>
      <w:r>
        <w:rPr>
          <w:lang w:val="fr-FR"/>
        </w:rPr>
        <w:t>’</w:t>
      </w:r>
      <w:r w:rsidRPr="00DD2728">
        <w:rPr>
          <w:lang w:val="fr-FR"/>
        </w:rPr>
        <w:t>aération provoquée par des équipements intérieurs tels que des conduites d</w:t>
      </w:r>
      <w:r>
        <w:rPr>
          <w:lang w:val="fr-FR"/>
        </w:rPr>
        <w:t>’</w:t>
      </w:r>
      <w:r w:rsidRPr="00DD2728">
        <w:rPr>
          <w:lang w:val="fr-FR"/>
        </w:rPr>
        <w:t>air et par le givrage des évaporateurs</w:t>
      </w:r>
      <w:r>
        <w:rPr>
          <w:lang w:val="fr-FR"/>
        </w:rPr>
        <w:t>.</w:t>
      </w:r>
      <w:r w:rsidRPr="00DD2728">
        <w:rPr>
          <w:lang w:val="fr-FR"/>
        </w:rPr>
        <w:t> ».</w:t>
      </w:r>
    </w:p>
    <w:p w14:paraId="57E27005" w14:textId="42D306CC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2.</w:t>
      </w:r>
      <w:r w:rsidRPr="00DD2728">
        <w:rPr>
          <w:lang w:val="fr-FR"/>
        </w:rPr>
        <w:tab/>
        <w:t>Le 17 septembre 2015, le Gouvernement finlandais a formulé une objection au sujet de la proposition d</w:t>
      </w:r>
      <w:r>
        <w:rPr>
          <w:lang w:val="fr-FR"/>
        </w:rPr>
        <w:t>’</w:t>
      </w:r>
      <w:r w:rsidRPr="00DD2728">
        <w:rPr>
          <w:lang w:val="fr-FR"/>
        </w:rPr>
        <w:t>amendement au paragraphe</w:t>
      </w:r>
      <w:r>
        <w:rPr>
          <w:lang w:val="fr-FR"/>
        </w:rPr>
        <w:t> </w:t>
      </w:r>
      <w:r w:rsidRPr="00DD2728">
        <w:rPr>
          <w:lang w:val="fr-FR"/>
        </w:rPr>
        <w:t>2.3.6 de l</w:t>
      </w:r>
      <w:r>
        <w:rPr>
          <w:lang w:val="fr-FR"/>
        </w:rPr>
        <w:t>’</w:t>
      </w:r>
      <w:r w:rsidRPr="00DD2728">
        <w:rPr>
          <w:lang w:val="fr-FR"/>
        </w:rPr>
        <w:t>appendice</w:t>
      </w:r>
      <w:r>
        <w:rPr>
          <w:lang w:val="fr-FR"/>
        </w:rPr>
        <w:t> </w:t>
      </w:r>
      <w:r w:rsidRPr="00DD2728">
        <w:rPr>
          <w:lang w:val="fr-FR"/>
        </w:rPr>
        <w:t>2 de l</w:t>
      </w:r>
      <w:r>
        <w:rPr>
          <w:lang w:val="fr-FR"/>
        </w:rPr>
        <w:t>’</w:t>
      </w:r>
      <w:r w:rsidRPr="00DD2728">
        <w:rPr>
          <w:lang w:val="fr-FR"/>
        </w:rPr>
        <w:t>annexe</w:t>
      </w:r>
      <w:r>
        <w:rPr>
          <w:lang w:val="fr-FR"/>
        </w:rPr>
        <w:t> </w:t>
      </w:r>
      <w:r w:rsidRPr="00DD2728">
        <w:rPr>
          <w:lang w:val="fr-FR"/>
        </w:rPr>
        <w:t>1 (C.N.481.2015.TREATIES-X1.B.22) (proposition de prescription du débit d</w:t>
      </w:r>
      <w:r>
        <w:rPr>
          <w:lang w:val="fr-FR"/>
        </w:rPr>
        <w:t>’</w:t>
      </w:r>
      <w:r w:rsidRPr="00DD2728">
        <w:rPr>
          <w:lang w:val="fr-FR"/>
        </w:rPr>
        <w:t>air à 60 changements d</w:t>
      </w:r>
      <w:r>
        <w:rPr>
          <w:lang w:val="fr-FR"/>
        </w:rPr>
        <w:t>’</w:t>
      </w:r>
      <w:r w:rsidRPr="00DD2728">
        <w:rPr>
          <w:lang w:val="fr-FR"/>
        </w:rPr>
        <w:t>air à l</w:t>
      </w:r>
      <w:r>
        <w:rPr>
          <w:lang w:val="fr-FR"/>
        </w:rPr>
        <w:t>’</w:t>
      </w:r>
      <w:r w:rsidRPr="00DD2728">
        <w:rPr>
          <w:lang w:val="fr-FR"/>
        </w:rPr>
        <w:t>heure). Cette objection s</w:t>
      </w:r>
      <w:r>
        <w:rPr>
          <w:lang w:val="fr-FR"/>
        </w:rPr>
        <w:t>’</w:t>
      </w:r>
      <w:r w:rsidRPr="00DD2728">
        <w:rPr>
          <w:lang w:val="fr-FR"/>
        </w:rPr>
        <w:t>appliquait à une seule proposition et n</w:t>
      </w:r>
      <w:r>
        <w:rPr>
          <w:lang w:val="fr-FR"/>
        </w:rPr>
        <w:t>’</w:t>
      </w:r>
      <w:r w:rsidRPr="00DD2728">
        <w:rPr>
          <w:lang w:val="fr-FR"/>
        </w:rPr>
        <w:t>a donc pas eu d</w:t>
      </w:r>
      <w:r>
        <w:rPr>
          <w:lang w:val="fr-FR"/>
        </w:rPr>
        <w:t>’</w:t>
      </w:r>
      <w:r w:rsidRPr="00DD2728">
        <w:rPr>
          <w:lang w:val="fr-FR"/>
        </w:rPr>
        <w:t>influence sur les autres propositions.</w:t>
      </w:r>
    </w:p>
    <w:p w14:paraId="24F06515" w14:textId="22A4EB41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3.</w:t>
      </w:r>
      <w:r w:rsidRPr="00DD2728">
        <w:rPr>
          <w:lang w:val="fr-FR"/>
        </w:rPr>
        <w:tab/>
        <w:t>À la soixante-quatorzième session, cette proposition a été révisée afin d</w:t>
      </w:r>
      <w:r>
        <w:rPr>
          <w:lang w:val="fr-FR"/>
        </w:rPr>
        <w:t>’</w:t>
      </w:r>
      <w:r w:rsidRPr="00DD2728">
        <w:rPr>
          <w:lang w:val="fr-FR"/>
        </w:rPr>
        <w:t>y ajouter une note de bas de page concernant l</w:t>
      </w:r>
      <w:r>
        <w:rPr>
          <w:lang w:val="fr-FR"/>
        </w:rPr>
        <w:t>’</w:t>
      </w:r>
      <w:r w:rsidRPr="00DD2728">
        <w:rPr>
          <w:lang w:val="fr-FR"/>
        </w:rPr>
        <w:t xml:space="preserve">utilisation </w:t>
      </w:r>
      <w:r>
        <w:rPr>
          <w:lang w:val="fr-FR"/>
        </w:rPr>
        <w:t>d’</w:t>
      </w:r>
      <w:r w:rsidRPr="00DD2728">
        <w:rPr>
          <w:lang w:val="fr-FR"/>
        </w:rPr>
        <w:t>accords multilatéraux et bilatéraux, mais n</w:t>
      </w:r>
      <w:r>
        <w:rPr>
          <w:lang w:val="fr-FR"/>
        </w:rPr>
        <w:t>’</w:t>
      </w:r>
      <w:r w:rsidRPr="00DD2728">
        <w:rPr>
          <w:lang w:val="fr-FR"/>
        </w:rPr>
        <w:t>a pas été adoptée.</w:t>
      </w:r>
    </w:p>
    <w:p w14:paraId="3562945F" w14:textId="77777777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lastRenderedPageBreak/>
        <w:t>4.</w:t>
      </w:r>
      <w:r w:rsidRPr="00DD2728">
        <w:rPr>
          <w:lang w:val="fr-FR"/>
        </w:rPr>
        <w:tab/>
        <w:t>À la soixante-quinzième session, la proposition relative au débit d</w:t>
      </w:r>
      <w:r>
        <w:rPr>
          <w:lang w:val="fr-FR"/>
        </w:rPr>
        <w:t>’</w:t>
      </w:r>
      <w:r w:rsidRPr="00DD2728">
        <w:rPr>
          <w:lang w:val="fr-FR"/>
        </w:rPr>
        <w:t>air a été à nouveau révisée</w:t>
      </w:r>
      <w:r>
        <w:rPr>
          <w:lang w:val="fr-FR"/>
        </w:rPr>
        <w:t> :</w:t>
      </w:r>
      <w:r w:rsidRPr="00DD2728">
        <w:rPr>
          <w:lang w:val="fr-FR"/>
        </w:rPr>
        <w:t xml:space="preserve"> des débits d</w:t>
      </w:r>
      <w:r>
        <w:rPr>
          <w:lang w:val="fr-FR"/>
        </w:rPr>
        <w:t>’</w:t>
      </w:r>
      <w:r w:rsidRPr="00DD2728">
        <w:rPr>
          <w:lang w:val="fr-FR"/>
        </w:rPr>
        <w:t xml:space="preserve">air différents </w:t>
      </w:r>
      <w:r>
        <w:rPr>
          <w:lang w:val="fr-FR"/>
        </w:rPr>
        <w:t xml:space="preserve">ont été introduits </w:t>
      </w:r>
      <w:r w:rsidRPr="00DD2728">
        <w:rPr>
          <w:lang w:val="fr-FR"/>
        </w:rPr>
        <w:t>pour le mode congélation et le mode frigorifique, comme indiqué ci-dessous :</w:t>
      </w:r>
    </w:p>
    <w:p w14:paraId="21E2CDC4" w14:textId="2BE1E811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« Le débit d</w:t>
      </w:r>
      <w:r>
        <w:rPr>
          <w:lang w:val="fr-FR"/>
        </w:rPr>
        <w:t>’</w:t>
      </w:r>
      <w:r w:rsidRPr="00DD2728">
        <w:rPr>
          <w:lang w:val="fr-FR"/>
        </w:rPr>
        <w:t>air prescrit pour un engin dont le volume intérieur est compris entre 2 et 100 m</w:t>
      </w:r>
      <w:r w:rsidRPr="00DD2728">
        <w:rPr>
          <w:vertAlign w:val="superscript"/>
          <w:lang w:val="fr-FR"/>
        </w:rPr>
        <w:t>3</w:t>
      </w:r>
      <w:r w:rsidRPr="00DD2728">
        <w:rPr>
          <w:lang w:val="fr-FR"/>
        </w:rPr>
        <w:t xml:space="preserve"> est calculé à l</w:t>
      </w:r>
      <w:r>
        <w:rPr>
          <w:lang w:val="fr-FR"/>
        </w:rPr>
        <w:t>’</w:t>
      </w:r>
      <w:r w:rsidRPr="00DD2728">
        <w:rPr>
          <w:lang w:val="fr-FR"/>
        </w:rPr>
        <w:t>aide de la formule suivante :</w:t>
      </w:r>
    </w:p>
    <w:p w14:paraId="14FC9619" w14:textId="77777777" w:rsidR="002B0F9E" w:rsidRPr="00DD2728" w:rsidRDefault="0019325D" w:rsidP="002B0F9E">
      <w:pPr>
        <w:pStyle w:val="SingleTxtG"/>
        <w:ind w:left="1701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lang w:val="fr-FR"/>
                </w:rPr>
                <m:t>L</m:t>
              </m:r>
            </m:sub>
          </m:sSub>
          <m:r>
            <w:rPr>
              <w:rFonts w:ascii="Cambria Math" w:hAnsi="Cambria Math"/>
              <w:lang w:val="fr-FR"/>
            </w:rPr>
            <m:t xml:space="preserve">=N·V  </m:t>
          </m:r>
        </m:oMath>
      </m:oMathPara>
    </w:p>
    <w:p w14:paraId="3916F1E8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Le débit d</w:t>
      </w:r>
      <w:r>
        <w:rPr>
          <w:lang w:val="fr-FR"/>
        </w:rPr>
        <w:t>’</w:t>
      </w:r>
      <w:r w:rsidRPr="00DD2728">
        <w:rPr>
          <w:lang w:val="fr-FR"/>
        </w:rPr>
        <w:t xml:space="preserve">air </w:t>
      </w:r>
      <w:r w:rsidRPr="00DD2728">
        <w:rPr>
          <w:i/>
          <w:iCs/>
          <w:lang w:val="fr-FR"/>
        </w:rPr>
        <w:t>N</w:t>
      </w:r>
      <w:r w:rsidRPr="00DD2728">
        <w:rPr>
          <w:lang w:val="fr-FR"/>
        </w:rPr>
        <w:t xml:space="preserve"> est défini comme le nombre de fois où le volume </w:t>
      </w:r>
      <w:r w:rsidRPr="00DD2728">
        <w:rPr>
          <w:i/>
          <w:iCs/>
          <w:lang w:val="fr-FR"/>
        </w:rPr>
        <w:t>V</w:t>
      </w:r>
      <w:r w:rsidRPr="00DD2728">
        <w:rPr>
          <w:lang w:val="fr-FR"/>
        </w:rPr>
        <w:t xml:space="preserve"> de l</w:t>
      </w:r>
      <w:r>
        <w:rPr>
          <w:lang w:val="fr-FR"/>
        </w:rPr>
        <w:t>’</w:t>
      </w:r>
      <w:r w:rsidRPr="00DD2728">
        <w:rPr>
          <w:lang w:val="fr-FR"/>
        </w:rPr>
        <w:t>espace de chargement vide est brassé chaque heure.</w:t>
      </w:r>
    </w:p>
    <w:p w14:paraId="404B2D4B" w14:textId="0CEF46F3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Où</w:t>
      </w:r>
      <w:r w:rsidR="003B7C5F">
        <w:rPr>
          <w:lang w:val="fr-FR"/>
        </w:rPr>
        <w:t> </w:t>
      </w:r>
      <w:r w:rsidRPr="00DD2728">
        <w:rPr>
          <w:lang w:val="fr-FR"/>
        </w:rPr>
        <w:t>:</w:t>
      </w:r>
    </w:p>
    <w:p w14:paraId="1F15722F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i/>
          <w:iCs/>
          <w:lang w:val="fr-FR"/>
        </w:rPr>
        <w:t>V</w:t>
      </w:r>
      <w:r w:rsidRPr="00DD2728">
        <w:rPr>
          <w:lang w:val="fr-FR"/>
        </w:rPr>
        <w:t xml:space="preserve"> est le volume de l</w:t>
      </w:r>
      <w:r>
        <w:rPr>
          <w:lang w:val="fr-FR"/>
        </w:rPr>
        <w:t>’</w:t>
      </w:r>
      <w:r w:rsidRPr="00DD2728">
        <w:rPr>
          <w:lang w:val="fr-FR"/>
        </w:rPr>
        <w:t>espace de chargement, en 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> ;</w:t>
      </w:r>
    </w:p>
    <w:p w14:paraId="14CA4A0C" w14:textId="528184EF" w:rsidR="002B0F9E" w:rsidRPr="00DD2728" w:rsidRDefault="0019325D" w:rsidP="002B0F9E">
      <w:pPr>
        <w:pStyle w:val="SingleTxtG"/>
        <w:ind w:left="1701"/>
        <w:rPr>
          <w:lang w:val="fr-FR"/>
        </w:rPr>
      </w:pP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L</m:t>
            </m:r>
          </m:sub>
        </m:sSub>
      </m:oMath>
      <w:r w:rsidR="002B0F9E" w:rsidRPr="00DD2728">
        <w:rPr>
          <w:lang w:val="fr-FR"/>
        </w:rPr>
        <w:t xml:space="preserve"> est le débit d</w:t>
      </w:r>
      <w:r w:rsidR="002B0F9E">
        <w:rPr>
          <w:lang w:val="fr-FR"/>
        </w:rPr>
        <w:t>’</w:t>
      </w:r>
      <w:r w:rsidR="002B0F9E" w:rsidRPr="00DD2728">
        <w:rPr>
          <w:lang w:val="fr-FR"/>
        </w:rPr>
        <w:t xml:space="preserve">air de conception recommandé, en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m</m:t>
            </m:r>
          </m:e>
          <m:sup>
            <m:r>
              <w:rPr>
                <w:rFonts w:ascii="Cambria Math" w:hAnsi="Cambria Math"/>
                <w:lang w:val="fr-FR"/>
              </w:rPr>
              <m:t>3</m:t>
            </m:r>
          </m:sup>
        </m:sSup>
        <m:r>
          <w:rPr>
            <w:rFonts w:ascii="Cambria Math" w:hAnsi="Cambria Math"/>
            <w:lang w:val="fr-FR"/>
          </w:rPr>
          <m:t>/h</m:t>
        </m:r>
      </m:oMath>
    </w:p>
    <w:p w14:paraId="2F876116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N est le débit d</w:t>
      </w:r>
      <w:r>
        <w:rPr>
          <w:lang w:val="fr-FR"/>
        </w:rPr>
        <w:t>’</w:t>
      </w:r>
      <w:r w:rsidRPr="00DD2728">
        <w:rPr>
          <w:lang w:val="fr-FR"/>
        </w:rPr>
        <w:t xml:space="preserve">air, en </w:t>
      </w:r>
      <w:r w:rsidRPr="00DD2728">
        <w:rPr>
          <w:i/>
          <w:iCs/>
          <w:lang w:val="fr-FR"/>
        </w:rPr>
        <w:t>h-</w:t>
      </w:r>
      <w:r w:rsidRPr="00DD2728">
        <w:rPr>
          <w:i/>
          <w:iCs/>
          <w:vertAlign w:val="superscript"/>
          <w:lang w:val="fr-FR"/>
        </w:rPr>
        <w:t>1</w:t>
      </w:r>
      <w:r w:rsidRPr="00DD2728">
        <w:rPr>
          <w:lang w:val="fr-FR"/>
        </w:rPr>
        <w:t>.</w:t>
      </w:r>
    </w:p>
    <w:p w14:paraId="77A461B4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>
        <w:rPr>
          <w:lang w:val="fr-FR"/>
        </w:rPr>
        <w:t>a</w:t>
      </w:r>
      <w:r w:rsidRPr="00DD2728">
        <w:rPr>
          <w:lang w:val="fr-FR"/>
        </w:rPr>
        <w:t>vec</w:t>
      </w:r>
      <w:r>
        <w:rPr>
          <w:lang w:val="fr-FR"/>
        </w:rPr>
        <w:t> :</w:t>
      </w:r>
    </w:p>
    <w:p w14:paraId="784538FD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m:oMath>
        <m:r>
          <w:rPr>
            <w:rFonts w:ascii="Cambria Math" w:hAnsi="Cambria Math"/>
            <w:lang w:val="fr-FR"/>
          </w:rPr>
          <m:t>40 ≤N≤ 60</m:t>
        </m:r>
      </m:oMath>
      <w:r w:rsidRPr="00DD2728">
        <w:rPr>
          <w:lang w:val="fr-FR"/>
        </w:rPr>
        <w:t xml:space="preserve"> pour le mode congélation</w:t>
      </w:r>
      <w:r w:rsidRPr="00DD2728">
        <w:rPr>
          <w:lang w:val="fr-FR"/>
        </w:rPr>
        <w:tab/>
        <w:t>ou</w:t>
      </w:r>
    </w:p>
    <w:p w14:paraId="12A832D5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m:oMath>
        <m:r>
          <w:rPr>
            <w:rFonts w:ascii="Cambria Math" w:hAnsi="Cambria Math"/>
            <w:lang w:val="fr-FR"/>
          </w:rPr>
          <m:t>50 ≤N≤ 90</m:t>
        </m:r>
      </m:oMath>
      <w:r w:rsidRPr="00DD2728">
        <w:rPr>
          <w:lang w:val="fr-FR"/>
        </w:rPr>
        <w:t xml:space="preserve">  pour le mode frigorifique/calorifique.</w:t>
      </w:r>
    </w:p>
    <w:p w14:paraId="59B2BEAA" w14:textId="77777777" w:rsidR="002B0F9E" w:rsidRPr="00DD2728" w:rsidRDefault="002B0F9E" w:rsidP="002B0F9E">
      <w:pPr>
        <w:pStyle w:val="SingleTxtG"/>
        <w:ind w:left="1701"/>
        <w:rPr>
          <w:color w:val="000000"/>
          <w:lang w:val="fr-FR"/>
        </w:rPr>
      </w:pPr>
      <w:r w:rsidRPr="00DD2728">
        <w:rPr>
          <w:lang w:val="fr-FR"/>
        </w:rPr>
        <w:t>Le système d</w:t>
      </w:r>
      <w:r>
        <w:rPr>
          <w:lang w:val="fr-FR"/>
        </w:rPr>
        <w:t>’</w:t>
      </w:r>
      <w:r w:rsidRPr="00DD2728">
        <w:rPr>
          <w:lang w:val="fr-FR"/>
        </w:rPr>
        <w:t>aération ne doit pas nécessairement fonctionner de manière continue, et toute perte de débit d</w:t>
      </w:r>
      <w:r>
        <w:rPr>
          <w:lang w:val="fr-FR"/>
        </w:rPr>
        <w:t>’</w:t>
      </w:r>
      <w:r w:rsidRPr="00DD2728">
        <w:rPr>
          <w:lang w:val="fr-FR"/>
        </w:rPr>
        <w:t>air dans le système provoquée par des équipements intérieurs tels que des conduites d</w:t>
      </w:r>
      <w:r>
        <w:rPr>
          <w:lang w:val="fr-FR"/>
        </w:rPr>
        <w:t>’</w:t>
      </w:r>
      <w:r w:rsidRPr="00DD2728">
        <w:rPr>
          <w:lang w:val="fr-FR"/>
        </w:rPr>
        <w:t>air et par le givrage des évaporateurs doit être compensée.</w:t>
      </w:r>
    </w:p>
    <w:p w14:paraId="39495CD2" w14:textId="04EB3E66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Si le volume intérieur est supérieur ou égal à 100</w:t>
      </w:r>
      <w:r w:rsidR="00216A5B">
        <w:rPr>
          <w:lang w:val="fr-FR"/>
        </w:rPr>
        <w:t> </w:t>
      </w:r>
      <w:r w:rsidRPr="00DD2728">
        <w:rPr>
          <w:lang w:val="fr-FR"/>
        </w:rPr>
        <w:t>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 xml:space="preserve"> ou inférieur ou égal à 2</w:t>
      </w:r>
      <w:r w:rsidR="00216A5B">
        <w:rPr>
          <w:lang w:val="fr-FR"/>
        </w:rPr>
        <w:t> </w:t>
      </w:r>
      <w:r w:rsidRPr="00DD2728">
        <w:rPr>
          <w:lang w:val="fr-FR"/>
        </w:rPr>
        <w:t>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>, l</w:t>
      </w:r>
      <w:r>
        <w:rPr>
          <w:lang w:val="fr-FR"/>
        </w:rPr>
        <w:t>’</w:t>
      </w:r>
      <w:r w:rsidRPr="00DD2728">
        <w:rPr>
          <w:lang w:val="fr-FR"/>
        </w:rPr>
        <w:t>autorité compétente du lieu où l</w:t>
      </w:r>
      <w:r>
        <w:rPr>
          <w:lang w:val="fr-FR"/>
        </w:rPr>
        <w:t>’</w:t>
      </w:r>
      <w:r w:rsidRPr="00DD2728">
        <w:rPr>
          <w:lang w:val="fr-FR"/>
        </w:rPr>
        <w:t>engin est immatriculé ou enregistré détermine le débit d</w:t>
      </w:r>
      <w:r>
        <w:rPr>
          <w:lang w:val="fr-FR"/>
        </w:rPr>
        <w:t>’</w:t>
      </w:r>
      <w:r w:rsidRPr="00DD2728">
        <w:rPr>
          <w:lang w:val="fr-FR"/>
        </w:rPr>
        <w:t>air adéquat sur la base de l</w:t>
      </w:r>
      <w:r>
        <w:rPr>
          <w:lang w:val="fr-FR"/>
        </w:rPr>
        <w:t>’</w:t>
      </w:r>
      <w:r w:rsidRPr="00DD2728">
        <w:rPr>
          <w:lang w:val="fr-FR"/>
        </w:rPr>
        <w:t>échange thermique global</w:t>
      </w:r>
      <w:r>
        <w:rPr>
          <w:lang w:val="fr-FR"/>
        </w:rPr>
        <w:t>.</w:t>
      </w:r>
      <w:r w:rsidRPr="00DD2728">
        <w:rPr>
          <w:lang w:val="fr-FR"/>
        </w:rPr>
        <w:t> ».</w:t>
      </w:r>
    </w:p>
    <w:p w14:paraId="4E7AAEB1" w14:textId="77777777" w:rsidR="002B0F9E" w:rsidRPr="00DD2728" w:rsidRDefault="002B0F9E" w:rsidP="002B0F9E">
      <w:pPr>
        <w:pStyle w:val="SingleTxtG"/>
        <w:rPr>
          <w:lang w:val="fr-FR"/>
        </w:rPr>
      </w:pPr>
      <w:r w:rsidRPr="002D2D8F">
        <w:rPr>
          <w:lang w:val="fr-FR"/>
        </w:rPr>
        <w:t>5</w:t>
      </w:r>
      <w:r w:rsidRPr="00DD2728">
        <w:rPr>
          <w:lang w:val="fr-FR"/>
        </w:rPr>
        <w:t>.</w:t>
      </w:r>
      <w:r w:rsidRPr="00DD2728">
        <w:rPr>
          <w:lang w:val="fr-FR"/>
        </w:rPr>
        <w:tab/>
        <w:t>À la soixante-seizième session, à la demande de la Sous-Commission du transport frigorifique (CERTE) de l</w:t>
      </w:r>
      <w:r>
        <w:rPr>
          <w:lang w:val="fr-FR"/>
        </w:rPr>
        <w:t>’</w:t>
      </w:r>
      <w:r w:rsidRPr="00DD2728">
        <w:rPr>
          <w:lang w:val="fr-FR"/>
        </w:rPr>
        <w:t>Institut international du froid (IIF), nous avons présenté une proposition simplifiée libellé</w:t>
      </w:r>
      <w:r>
        <w:rPr>
          <w:lang w:val="fr-FR"/>
        </w:rPr>
        <w:t>e</w:t>
      </w:r>
      <w:r w:rsidRPr="00DD2728">
        <w:rPr>
          <w:lang w:val="fr-FR"/>
        </w:rPr>
        <w:t xml:space="preserve"> comme-suit</w:t>
      </w:r>
      <w:r>
        <w:rPr>
          <w:lang w:val="fr-FR"/>
        </w:rPr>
        <w:t> </w:t>
      </w:r>
      <w:r w:rsidRPr="00DD2728">
        <w:rPr>
          <w:lang w:val="fr-FR"/>
        </w:rPr>
        <w:t>:</w:t>
      </w:r>
    </w:p>
    <w:p w14:paraId="538CA44D" w14:textId="2FA29B96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« Le débit d</w:t>
      </w:r>
      <w:r>
        <w:rPr>
          <w:lang w:val="fr-FR"/>
        </w:rPr>
        <w:t>’</w:t>
      </w:r>
      <w:r w:rsidRPr="00DD2728">
        <w:rPr>
          <w:lang w:val="fr-FR"/>
        </w:rPr>
        <w:t>air prescrit pour un engin dont le volume est compris entre 2 et 100</w:t>
      </w:r>
      <w:r w:rsidR="00216A5B">
        <w:rPr>
          <w:lang w:val="fr-FR"/>
        </w:rPr>
        <w:t> </w:t>
      </w:r>
      <w:r w:rsidRPr="00DD2728">
        <w:rPr>
          <w:lang w:val="fr-FR"/>
        </w:rPr>
        <w:t>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 xml:space="preserve"> est calculé à l</w:t>
      </w:r>
      <w:r>
        <w:rPr>
          <w:lang w:val="fr-FR"/>
        </w:rPr>
        <w:t>’</w:t>
      </w:r>
      <w:r w:rsidRPr="00DD2728">
        <w:rPr>
          <w:lang w:val="fr-FR"/>
        </w:rPr>
        <w:t>aide de la formule suivante</w:t>
      </w:r>
      <w:r>
        <w:rPr>
          <w:lang w:val="fr-FR"/>
        </w:rPr>
        <w:t> </w:t>
      </w:r>
      <w:r w:rsidRPr="00DD2728">
        <w:rPr>
          <w:lang w:val="fr-FR"/>
        </w:rPr>
        <w:t>:</w:t>
      </w:r>
    </w:p>
    <w:p w14:paraId="5587FC4E" w14:textId="4E0E9F3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V̇L = N·V</w:t>
      </w:r>
    </w:p>
    <w:p w14:paraId="5CE73079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où le débit d</w:t>
      </w:r>
      <w:r>
        <w:rPr>
          <w:lang w:val="fr-FR"/>
        </w:rPr>
        <w:t>’</w:t>
      </w:r>
      <w:r w:rsidRPr="00DD2728">
        <w:rPr>
          <w:lang w:val="fr-FR"/>
        </w:rPr>
        <w:t>air V̇L est égal au nombre de changements d</w:t>
      </w:r>
      <w:r>
        <w:rPr>
          <w:lang w:val="fr-FR"/>
        </w:rPr>
        <w:t>’</w:t>
      </w:r>
      <w:r w:rsidRPr="00DD2728">
        <w:rPr>
          <w:lang w:val="fr-FR"/>
        </w:rPr>
        <w:t>air par heure, N, multiplié par le volume à vide, V.</w:t>
      </w:r>
    </w:p>
    <w:p w14:paraId="2C3B80A1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Avec</w:t>
      </w:r>
      <w:r>
        <w:rPr>
          <w:lang w:val="fr-FR"/>
        </w:rPr>
        <w:t> </w:t>
      </w:r>
      <w:r w:rsidRPr="00DD2728">
        <w:rPr>
          <w:lang w:val="fr-FR"/>
        </w:rPr>
        <w:t>: N ≥ 55</w:t>
      </w:r>
      <w:r w:rsidRPr="00DD2728">
        <w:rPr>
          <w:lang w:val="fr-FR"/>
        </w:rPr>
        <w:tab/>
      </w:r>
    </w:p>
    <w:p w14:paraId="01C25ED5" w14:textId="2D33ECEC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Pour les engins frigorifiques de la classe F, le débit d</w:t>
      </w:r>
      <w:r>
        <w:rPr>
          <w:lang w:val="fr-FR"/>
        </w:rPr>
        <w:t>’</w:t>
      </w:r>
      <w:r w:rsidRPr="00DD2728">
        <w:rPr>
          <w:lang w:val="fr-FR"/>
        </w:rPr>
        <w:t>air peut être réduit à la valeur</w:t>
      </w:r>
      <w:r w:rsidR="00216A5B">
        <w:rPr>
          <w:lang w:val="fr-FR"/>
        </w:rPr>
        <w:t> </w:t>
      </w:r>
      <w:r w:rsidRPr="00DD2728">
        <w:rPr>
          <w:lang w:val="fr-FR"/>
        </w:rPr>
        <w:t>N</w:t>
      </w:r>
      <w:r w:rsidR="00216A5B">
        <w:rPr>
          <w:lang w:val="fr-FR"/>
        </w:rPr>
        <w:t> </w:t>
      </w:r>
      <w:r w:rsidRPr="00DD2728">
        <w:rPr>
          <w:lang w:val="fr-FR"/>
        </w:rPr>
        <w:t>≥ 40 et, lorsque V dépasse 100 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>, VL peut être limité à 5</w:t>
      </w:r>
      <w:r w:rsidR="00216A5B">
        <w:rPr>
          <w:lang w:val="fr-FR"/>
        </w:rPr>
        <w:t> </w:t>
      </w:r>
      <w:r w:rsidRPr="00DD2728">
        <w:rPr>
          <w:lang w:val="fr-FR"/>
        </w:rPr>
        <w:t>500</w:t>
      </w:r>
      <w:r w:rsidR="00216A5B">
        <w:rPr>
          <w:lang w:val="fr-FR"/>
        </w:rPr>
        <w:t> </w:t>
      </w:r>
      <w:r w:rsidRPr="00DD2728">
        <w:rPr>
          <w:lang w:val="fr-FR"/>
        </w:rPr>
        <w:t>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>/h.</w:t>
      </w:r>
    </w:p>
    <w:p w14:paraId="18BCC9A7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Le système d</w:t>
      </w:r>
      <w:r>
        <w:rPr>
          <w:lang w:val="fr-FR"/>
        </w:rPr>
        <w:t>’</w:t>
      </w:r>
      <w:r w:rsidRPr="00DD2728">
        <w:rPr>
          <w:lang w:val="fr-FR"/>
        </w:rPr>
        <w:t>aération ne doit pas nécessairement fonctionner de manière continue, et toute perte de débit d</w:t>
      </w:r>
      <w:r>
        <w:rPr>
          <w:lang w:val="fr-FR"/>
        </w:rPr>
        <w:t>’</w:t>
      </w:r>
      <w:r w:rsidRPr="00DD2728">
        <w:rPr>
          <w:lang w:val="fr-FR"/>
        </w:rPr>
        <w:t>air dans le système provoquée par des équipements intérieurs tels que des conduites d</w:t>
      </w:r>
      <w:r>
        <w:rPr>
          <w:lang w:val="fr-FR"/>
        </w:rPr>
        <w:t>’</w:t>
      </w:r>
      <w:r w:rsidRPr="00DD2728">
        <w:rPr>
          <w:lang w:val="fr-FR"/>
        </w:rPr>
        <w:t>air et par le givrage des évaporateurs doit être compensée.</w:t>
      </w:r>
      <w:r>
        <w:rPr>
          <w:lang w:val="fr-FR"/>
        </w:rPr>
        <w:t> ».</w:t>
      </w:r>
    </w:p>
    <w:p w14:paraId="1D90CEF5" w14:textId="3C14E0FE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6.</w:t>
      </w:r>
      <w:r w:rsidRPr="00DD2728">
        <w:rPr>
          <w:lang w:val="fr-FR"/>
        </w:rPr>
        <w:tab/>
        <w:t>À la soixante-dix-septième session, nous avons à nouveau révisé la proposition comme suit, en y ajoutant une nouvelle note de bas de page concernant une période transitoire :</w:t>
      </w:r>
    </w:p>
    <w:p w14:paraId="57605BD4" w14:textId="5C230089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«</w:t>
      </w:r>
      <w:r w:rsidR="00216A5B">
        <w:rPr>
          <w:lang w:val="fr-FR"/>
        </w:rPr>
        <w:t> </w:t>
      </w:r>
      <w:r w:rsidRPr="00DD2728">
        <w:rPr>
          <w:lang w:val="fr-FR"/>
        </w:rPr>
        <w:t>Le débit d</w:t>
      </w:r>
      <w:r>
        <w:rPr>
          <w:lang w:val="fr-FR"/>
        </w:rPr>
        <w:t>’</w:t>
      </w:r>
      <w:r w:rsidRPr="00DD2728">
        <w:rPr>
          <w:lang w:val="fr-FR"/>
        </w:rPr>
        <w:t>air prescrit pour un engin dont le volume est compris entre 2 et 100</w:t>
      </w:r>
      <w:r w:rsidR="00216A5B">
        <w:rPr>
          <w:lang w:val="fr-FR"/>
        </w:rPr>
        <w:t> </w:t>
      </w:r>
      <w:r w:rsidRPr="00DD2728">
        <w:rPr>
          <w:lang w:val="fr-FR"/>
        </w:rPr>
        <w:t>m</w:t>
      </w:r>
      <w:r w:rsidRPr="00DD2728">
        <w:rPr>
          <w:vertAlign w:val="superscript"/>
          <w:lang w:val="fr-FR"/>
        </w:rPr>
        <w:t>3</w:t>
      </w:r>
      <w:r w:rsidRPr="00DD2728">
        <w:rPr>
          <w:lang w:val="fr-FR"/>
        </w:rPr>
        <w:t xml:space="preserve"> est calculé à l</w:t>
      </w:r>
      <w:r>
        <w:rPr>
          <w:lang w:val="fr-FR"/>
        </w:rPr>
        <w:t>’</w:t>
      </w:r>
      <w:r w:rsidRPr="00DD2728">
        <w:rPr>
          <w:lang w:val="fr-FR"/>
        </w:rPr>
        <w:t>aide de la formule suivante</w:t>
      </w:r>
      <w:r w:rsidR="00216A5B">
        <w:rPr>
          <w:lang w:val="fr-FR"/>
        </w:rPr>
        <w:t> </w:t>
      </w:r>
      <w:r w:rsidRPr="00DD2728">
        <w:rPr>
          <w:lang w:val="fr-FR"/>
        </w:rPr>
        <w:t>:</w:t>
      </w:r>
    </w:p>
    <w:p w14:paraId="26AFB127" w14:textId="7563F5AA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V̇L = N·V</w:t>
      </w:r>
    </w:p>
    <w:p w14:paraId="3D2BF68A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où le débit d</w:t>
      </w:r>
      <w:r>
        <w:rPr>
          <w:lang w:val="fr-FR"/>
        </w:rPr>
        <w:t>’</w:t>
      </w:r>
      <w:r w:rsidRPr="00DD2728">
        <w:rPr>
          <w:lang w:val="fr-FR"/>
        </w:rPr>
        <w:t>air V̇L est égal au nombre de changements d</w:t>
      </w:r>
      <w:r>
        <w:rPr>
          <w:lang w:val="fr-FR"/>
        </w:rPr>
        <w:t>’</w:t>
      </w:r>
      <w:r w:rsidRPr="00DD2728">
        <w:rPr>
          <w:lang w:val="fr-FR"/>
        </w:rPr>
        <w:t>air par heure, N, multiplié par le volume à vide, V.</w:t>
      </w:r>
    </w:p>
    <w:p w14:paraId="5A9DF003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N étant supérieur ou égal à 50</w:t>
      </w:r>
    </w:p>
    <w:p w14:paraId="780D81CC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Le système d</w:t>
      </w:r>
      <w:r>
        <w:rPr>
          <w:lang w:val="fr-FR"/>
        </w:rPr>
        <w:t>’</w:t>
      </w:r>
      <w:r w:rsidRPr="00DD2728">
        <w:rPr>
          <w:lang w:val="fr-FR"/>
        </w:rPr>
        <w:t>aération ne doit pas nécessairement fonctionner de manière continue et le débit peut en être modulé. Toute perte de débit d</w:t>
      </w:r>
      <w:r>
        <w:rPr>
          <w:lang w:val="fr-FR"/>
        </w:rPr>
        <w:t>’</w:t>
      </w:r>
      <w:r w:rsidRPr="00DD2728">
        <w:rPr>
          <w:lang w:val="fr-FR"/>
        </w:rPr>
        <w:t xml:space="preserve">air dans le système provoquée par </w:t>
      </w:r>
      <w:r w:rsidRPr="00DD2728">
        <w:rPr>
          <w:lang w:val="fr-FR"/>
        </w:rPr>
        <w:lastRenderedPageBreak/>
        <w:t>des équipements intérieurs tels que des conduites d</w:t>
      </w:r>
      <w:r>
        <w:rPr>
          <w:lang w:val="fr-FR"/>
        </w:rPr>
        <w:t>’</w:t>
      </w:r>
      <w:r w:rsidRPr="00DD2728">
        <w:rPr>
          <w:lang w:val="fr-FR"/>
        </w:rPr>
        <w:t>air, ou par la charge, doit néanmoins être compensée.</w:t>
      </w:r>
    </w:p>
    <w:p w14:paraId="39395FBA" w14:textId="45D85E04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Pour les engins frigorifiques de la classe FRC ou BRC, le débit d</w:t>
      </w:r>
      <w:r>
        <w:rPr>
          <w:lang w:val="fr-FR"/>
        </w:rPr>
        <w:t>’</w:t>
      </w:r>
      <w:r w:rsidRPr="00DD2728">
        <w:rPr>
          <w:lang w:val="fr-FR"/>
        </w:rPr>
        <w:t>air peut être réduit à la valeur N ≥ 40 et ne doit pas nécessairement être continu.</w:t>
      </w:r>
    </w:p>
    <w:p w14:paraId="691A3CB5" w14:textId="226BF9E8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Lorsque V dépasse 100</w:t>
      </w:r>
      <w:r w:rsidR="00216A5B">
        <w:rPr>
          <w:lang w:val="fr-FR"/>
        </w:rPr>
        <w:t> </w:t>
      </w:r>
      <w:r w:rsidRPr="00DD2728">
        <w:rPr>
          <w:lang w:val="fr-FR"/>
        </w:rPr>
        <w:t>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>, V</w:t>
      </w:r>
      <w:r w:rsidRPr="00E7280F">
        <w:rPr>
          <w:vertAlign w:val="subscript"/>
          <w:lang w:val="fr-FR"/>
        </w:rPr>
        <w:t>L</w:t>
      </w:r>
      <w:r w:rsidRPr="00DD2728">
        <w:rPr>
          <w:lang w:val="fr-FR"/>
        </w:rPr>
        <w:t xml:space="preserve"> peut être limité à 5</w:t>
      </w:r>
      <w:r>
        <w:rPr>
          <w:lang w:val="fr-FR"/>
        </w:rPr>
        <w:t> </w:t>
      </w:r>
      <w:r w:rsidRPr="00DD2728">
        <w:rPr>
          <w:lang w:val="fr-FR"/>
        </w:rPr>
        <w:t>500 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>/h (valeur minimale)</w:t>
      </w:r>
      <w:r>
        <w:rPr>
          <w:lang w:val="fr-FR"/>
        </w:rPr>
        <w:t>.</w:t>
      </w:r>
      <w:r w:rsidRPr="00DD2728">
        <w:rPr>
          <w:lang w:val="fr-FR"/>
        </w:rPr>
        <w:t> ».</w:t>
      </w:r>
    </w:p>
    <w:p w14:paraId="2E97D94D" w14:textId="5944491B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7.</w:t>
      </w:r>
      <w:r w:rsidRPr="00DD2728">
        <w:rPr>
          <w:lang w:val="fr-FR"/>
        </w:rPr>
        <w:tab/>
        <w:t>Au cours de la soixante-dix-huitième session du Groupe de travail du transport des denrées périssables (WP.11), la version révisée de la proposition relative au débit d</w:t>
      </w:r>
      <w:r>
        <w:rPr>
          <w:lang w:val="fr-FR"/>
        </w:rPr>
        <w:t>’</w:t>
      </w:r>
      <w:r w:rsidRPr="00DD2728">
        <w:rPr>
          <w:lang w:val="fr-FR"/>
        </w:rPr>
        <w:t>air a été présentée mais</w:t>
      </w:r>
      <w:r w:rsidRPr="003C3B57">
        <w:rPr>
          <w:lang w:val="fr-FR"/>
        </w:rPr>
        <w:t xml:space="preserve"> </w:t>
      </w:r>
      <w:r w:rsidRPr="00DD2728">
        <w:rPr>
          <w:lang w:val="fr-FR"/>
        </w:rPr>
        <w:t>n</w:t>
      </w:r>
      <w:r>
        <w:rPr>
          <w:lang w:val="fr-FR"/>
        </w:rPr>
        <w:t>’</w:t>
      </w:r>
      <w:r w:rsidRPr="00DD2728">
        <w:rPr>
          <w:lang w:val="fr-FR"/>
        </w:rPr>
        <w:t>a pas été adoptée, bien qu</w:t>
      </w:r>
      <w:r>
        <w:rPr>
          <w:lang w:val="fr-FR"/>
        </w:rPr>
        <w:t>’</w:t>
      </w:r>
      <w:r w:rsidRPr="00DD2728">
        <w:rPr>
          <w:lang w:val="fr-FR"/>
        </w:rPr>
        <w:t>il y ait eu un accord général de principe.</w:t>
      </w:r>
    </w:p>
    <w:p w14:paraId="127827E2" w14:textId="2BB5821A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8.</w:t>
      </w:r>
      <w:r w:rsidRPr="00DD2728">
        <w:rPr>
          <w:lang w:val="fr-FR"/>
        </w:rPr>
        <w:tab/>
        <w:t>La délégation finlandaise a soulevé quelques préoccupations supplémentaires concernant l</w:t>
      </w:r>
      <w:r>
        <w:rPr>
          <w:lang w:val="fr-FR"/>
        </w:rPr>
        <w:t>’</w:t>
      </w:r>
      <w:r w:rsidRPr="00DD2728">
        <w:rPr>
          <w:lang w:val="fr-FR"/>
        </w:rPr>
        <w:t>installation de conduits d</w:t>
      </w:r>
      <w:r>
        <w:rPr>
          <w:lang w:val="fr-FR"/>
        </w:rPr>
        <w:t>’</w:t>
      </w:r>
      <w:r w:rsidRPr="00DD2728">
        <w:rPr>
          <w:lang w:val="fr-FR"/>
        </w:rPr>
        <w:t>air et la façon dont la température des denrées périssables transportées et le type d</w:t>
      </w:r>
      <w:r>
        <w:rPr>
          <w:lang w:val="fr-FR"/>
        </w:rPr>
        <w:t>’</w:t>
      </w:r>
      <w:r w:rsidRPr="00DD2728">
        <w:rPr>
          <w:lang w:val="fr-FR"/>
        </w:rPr>
        <w:t>engin utilisé pou</w:t>
      </w:r>
      <w:r>
        <w:rPr>
          <w:lang w:val="fr-FR"/>
        </w:rPr>
        <w:t>v</w:t>
      </w:r>
      <w:r w:rsidRPr="00DD2728">
        <w:rPr>
          <w:lang w:val="fr-FR"/>
        </w:rPr>
        <w:t>aient avoir une incidence sur le nombre de changements d</w:t>
      </w:r>
      <w:r>
        <w:rPr>
          <w:lang w:val="fr-FR"/>
        </w:rPr>
        <w:t>’</w:t>
      </w:r>
      <w:r w:rsidRPr="00DD2728">
        <w:rPr>
          <w:lang w:val="fr-FR"/>
        </w:rPr>
        <w:t>air requis. Il a été précisé qu</w:t>
      </w:r>
      <w:r>
        <w:rPr>
          <w:lang w:val="fr-FR"/>
        </w:rPr>
        <w:t>’</w:t>
      </w:r>
      <w:r w:rsidRPr="00DD2728">
        <w:rPr>
          <w:lang w:val="fr-FR"/>
        </w:rPr>
        <w:t>en principe, le maintien de la température requise nécessitait un nombre de changements d</w:t>
      </w:r>
      <w:r>
        <w:rPr>
          <w:lang w:val="fr-FR"/>
        </w:rPr>
        <w:t>’</w:t>
      </w:r>
      <w:r w:rsidRPr="00DD2728">
        <w:rPr>
          <w:lang w:val="fr-FR"/>
        </w:rPr>
        <w:t>air plus élevé dans le cas des cargaisons réfrigérées que dans le cas des denrées congelées ou surgelées.</w:t>
      </w:r>
    </w:p>
    <w:p w14:paraId="269EB277" w14:textId="6D4CEB7F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9.</w:t>
      </w:r>
      <w:r w:rsidRPr="00DD2728">
        <w:rPr>
          <w:lang w:val="fr-FR"/>
        </w:rPr>
        <w:tab/>
        <w:t>Après avoir consulté des représentants de l</w:t>
      </w:r>
      <w:r>
        <w:rPr>
          <w:lang w:val="fr-FR"/>
        </w:rPr>
        <w:t>’</w:t>
      </w:r>
      <w:r w:rsidRPr="00DD2728">
        <w:rPr>
          <w:lang w:val="fr-FR"/>
        </w:rPr>
        <w:t>industrie et l</w:t>
      </w:r>
      <w:r>
        <w:rPr>
          <w:lang w:val="fr-FR"/>
        </w:rPr>
        <w:t>’</w:t>
      </w:r>
      <w:r w:rsidRPr="00DD2728">
        <w:rPr>
          <w:lang w:val="fr-FR"/>
        </w:rPr>
        <w:t>Agence alimentaire de la Finlande, la délégation finlandaise a déclaré qu</w:t>
      </w:r>
      <w:r>
        <w:rPr>
          <w:lang w:val="fr-FR"/>
        </w:rPr>
        <w:t>’</w:t>
      </w:r>
      <w:r w:rsidRPr="00DD2728">
        <w:rPr>
          <w:lang w:val="fr-FR"/>
        </w:rPr>
        <w:t>elle ne pouvait pas accepter la proposition en l</w:t>
      </w:r>
      <w:r>
        <w:rPr>
          <w:lang w:val="fr-FR"/>
        </w:rPr>
        <w:t>’</w:t>
      </w:r>
      <w:r w:rsidRPr="00DD2728">
        <w:rPr>
          <w:lang w:val="fr-FR"/>
        </w:rPr>
        <w:t>état, car la taille des camions et le nombre de changements d</w:t>
      </w:r>
      <w:r>
        <w:rPr>
          <w:lang w:val="fr-FR"/>
        </w:rPr>
        <w:t>’</w:t>
      </w:r>
      <w:r w:rsidRPr="00DD2728">
        <w:rPr>
          <w:lang w:val="fr-FR"/>
        </w:rPr>
        <w:t>air requis demeuraient des sujets de préoccupation.</w:t>
      </w:r>
    </w:p>
    <w:p w14:paraId="31313CE6" w14:textId="77777777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10.</w:t>
      </w:r>
      <w:r w:rsidRPr="00DD2728">
        <w:rPr>
          <w:lang w:val="fr-FR"/>
        </w:rPr>
        <w:tab/>
        <w:t xml:space="preserve">La proposition présentée à la session </w:t>
      </w:r>
      <w:r>
        <w:rPr>
          <w:lang w:val="fr-FR"/>
        </w:rPr>
        <w:t xml:space="preserve">visée </w:t>
      </w:r>
      <w:r w:rsidRPr="00DD2728">
        <w:rPr>
          <w:lang w:val="fr-FR"/>
        </w:rPr>
        <w:t>figure ci-dessous :</w:t>
      </w:r>
    </w:p>
    <w:p w14:paraId="48FA09D6" w14:textId="2BC15650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« Le débit d</w:t>
      </w:r>
      <w:r>
        <w:rPr>
          <w:lang w:val="fr-FR"/>
        </w:rPr>
        <w:t>’</w:t>
      </w:r>
      <w:r w:rsidRPr="00DD2728">
        <w:rPr>
          <w:lang w:val="fr-FR"/>
        </w:rPr>
        <w:t>air minimal prescrit pour un engin dont le volume est compris entre 2 et 100 m</w:t>
      </w:r>
      <w:r w:rsidRPr="00E7280F">
        <w:rPr>
          <w:vertAlign w:val="superscript"/>
          <w:lang w:val="fr-FR"/>
        </w:rPr>
        <w:t>3</w:t>
      </w:r>
      <w:r w:rsidRPr="00DD2728">
        <w:rPr>
          <w:lang w:val="fr-FR"/>
        </w:rPr>
        <w:t xml:space="preserve"> est calculé à l</w:t>
      </w:r>
      <w:r>
        <w:rPr>
          <w:lang w:val="fr-FR"/>
        </w:rPr>
        <w:t>’</w:t>
      </w:r>
      <w:r w:rsidRPr="00DD2728">
        <w:rPr>
          <w:lang w:val="fr-FR"/>
        </w:rPr>
        <w:t>aide de la formule suivante :</w:t>
      </w:r>
    </w:p>
    <w:p w14:paraId="3B583F1E" w14:textId="639FDAF6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V̇</w:t>
      </w:r>
      <w:r w:rsidRPr="00DD2728">
        <w:rPr>
          <w:vertAlign w:val="subscript"/>
          <w:lang w:val="fr-FR"/>
        </w:rPr>
        <w:t>Lmin</w:t>
      </w:r>
      <w:r w:rsidRPr="00DD2728">
        <w:rPr>
          <w:lang w:val="fr-FR"/>
        </w:rPr>
        <w:t xml:space="preserve"> = N·V</w:t>
      </w:r>
    </w:p>
    <w:p w14:paraId="437A3CB6" w14:textId="4066408E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où le débit d</w:t>
      </w:r>
      <w:r>
        <w:rPr>
          <w:lang w:val="fr-FR"/>
        </w:rPr>
        <w:t>’</w:t>
      </w:r>
      <w:r w:rsidRPr="00DD2728">
        <w:rPr>
          <w:lang w:val="fr-FR"/>
        </w:rPr>
        <w:t>air minimal V̇</w:t>
      </w:r>
      <w:r w:rsidRPr="00DD2728">
        <w:rPr>
          <w:vertAlign w:val="subscript"/>
          <w:lang w:val="fr-FR"/>
        </w:rPr>
        <w:t>Lmin</w:t>
      </w:r>
      <w:r w:rsidRPr="00DD2728">
        <w:rPr>
          <w:lang w:val="fr-FR"/>
        </w:rPr>
        <w:t xml:space="preserve"> est égal au nombre de changements d</w:t>
      </w:r>
      <w:r>
        <w:rPr>
          <w:lang w:val="fr-FR"/>
        </w:rPr>
        <w:t>’</w:t>
      </w:r>
      <w:r w:rsidRPr="00DD2728">
        <w:rPr>
          <w:lang w:val="fr-FR"/>
        </w:rPr>
        <w:t>air par heure, N,</w:t>
      </w:r>
      <w:r w:rsidR="001A120D">
        <w:rPr>
          <w:lang w:val="fr-FR"/>
        </w:rPr>
        <w:t> </w:t>
      </w:r>
      <w:r w:rsidRPr="00DD2728">
        <w:rPr>
          <w:lang w:val="fr-FR"/>
        </w:rPr>
        <w:t>multiplié par le volume à vide, V.</w:t>
      </w:r>
    </w:p>
    <w:p w14:paraId="4377F1A7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N étant égal à 50</w:t>
      </w:r>
    </w:p>
    <w:p w14:paraId="6B7E5DD8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Toute perte de débit d</w:t>
      </w:r>
      <w:r>
        <w:rPr>
          <w:lang w:val="fr-FR"/>
        </w:rPr>
        <w:t>’</w:t>
      </w:r>
      <w:r w:rsidRPr="00DD2728">
        <w:rPr>
          <w:lang w:val="fr-FR"/>
        </w:rPr>
        <w:t>air dans le système provoquée par des équipements intérieurs tels que des conduites d</w:t>
      </w:r>
      <w:r>
        <w:rPr>
          <w:lang w:val="fr-FR"/>
        </w:rPr>
        <w:t>’</w:t>
      </w:r>
      <w:r w:rsidRPr="00DD2728">
        <w:rPr>
          <w:lang w:val="fr-FR"/>
        </w:rPr>
        <w:t>air et par le givrage des évaporateurs doit être compensée et, en cas de charge partielle, le débit d</w:t>
      </w:r>
      <w:r>
        <w:rPr>
          <w:lang w:val="fr-FR"/>
        </w:rPr>
        <w:t>’</w:t>
      </w:r>
      <w:r w:rsidRPr="00DD2728">
        <w:rPr>
          <w:lang w:val="fr-FR"/>
        </w:rPr>
        <w:t>air minimal peut être réduit à la valeur N = 40.</w:t>
      </w:r>
    </w:p>
    <w:p w14:paraId="69E320ED" w14:textId="2DC75C42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Pour les engins frigorifiques des classes FRC, BRI, BRJ, BRK ou BRL, le débit d</w:t>
      </w:r>
      <w:r>
        <w:rPr>
          <w:lang w:val="fr-FR"/>
        </w:rPr>
        <w:t>’</w:t>
      </w:r>
      <w:r w:rsidRPr="00DD2728">
        <w:rPr>
          <w:lang w:val="fr-FR"/>
        </w:rPr>
        <w:t>air minimal peut être réduit à la valeur N = 40 et ne doit pas nécessairement être continu.</w:t>
      </w:r>
    </w:p>
    <w:p w14:paraId="49730EDF" w14:textId="12A5FA01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Lorsque V dépasse 100</w:t>
      </w:r>
      <w:r w:rsidR="001A120D">
        <w:rPr>
          <w:lang w:val="fr-FR"/>
        </w:rPr>
        <w:t> </w:t>
      </w:r>
      <w:r w:rsidRPr="00DD2728">
        <w:rPr>
          <w:lang w:val="fr-FR"/>
        </w:rPr>
        <w:t>m</w:t>
      </w:r>
      <w:r w:rsidRPr="00DD2728">
        <w:rPr>
          <w:vertAlign w:val="superscript"/>
          <w:lang w:val="fr-FR"/>
        </w:rPr>
        <w:t>3</w:t>
      </w:r>
      <w:r w:rsidRPr="00DD2728">
        <w:rPr>
          <w:lang w:val="fr-FR"/>
        </w:rPr>
        <w:t>, V̇</w:t>
      </w:r>
      <w:r w:rsidRPr="00DD2728">
        <w:rPr>
          <w:vertAlign w:val="subscript"/>
          <w:lang w:val="fr-FR"/>
        </w:rPr>
        <w:t>Lmin</w:t>
      </w:r>
      <w:r w:rsidRPr="00DD2728">
        <w:rPr>
          <w:lang w:val="fr-FR"/>
        </w:rPr>
        <w:t xml:space="preserve"> doit être au moins égal à 5 000 m</w:t>
      </w:r>
      <w:r w:rsidRPr="00DD2728">
        <w:rPr>
          <w:vertAlign w:val="superscript"/>
          <w:lang w:val="fr-FR"/>
        </w:rPr>
        <w:t>3</w:t>
      </w:r>
      <w:r w:rsidRPr="00DD2728">
        <w:rPr>
          <w:lang w:val="fr-FR"/>
        </w:rPr>
        <w:t>/h</w:t>
      </w:r>
      <w:r>
        <w:rPr>
          <w:lang w:val="fr-FR"/>
        </w:rPr>
        <w:t>.</w:t>
      </w:r>
      <w:r w:rsidRPr="00DD2728">
        <w:rPr>
          <w:lang w:val="fr-FR"/>
        </w:rPr>
        <w:t> ».</w:t>
      </w:r>
    </w:p>
    <w:p w14:paraId="5E0E54A1" w14:textId="0B13A73B" w:rsidR="002B0F9E" w:rsidRPr="00DD2728" w:rsidRDefault="002B0F9E" w:rsidP="002B0F9E">
      <w:pPr>
        <w:pStyle w:val="SingleTxtG"/>
        <w:rPr>
          <w:szCs w:val="24"/>
          <w:lang w:val="fr-FR"/>
        </w:rPr>
      </w:pPr>
      <w:r w:rsidRPr="00DD2728">
        <w:rPr>
          <w:lang w:val="fr-FR"/>
        </w:rPr>
        <w:t>11.</w:t>
      </w:r>
      <w:r w:rsidRPr="00DD2728">
        <w:rPr>
          <w:lang w:val="fr-FR"/>
        </w:rPr>
        <w:tab/>
        <w:t>Il a été décidé de réexaminer la proposition à la prochaine réunion de la Sous</w:t>
      </w:r>
      <w:r w:rsidR="001A120D">
        <w:rPr>
          <w:lang w:val="fr-FR"/>
        </w:rPr>
        <w:noBreakHyphen/>
      </w:r>
      <w:r w:rsidRPr="00DD2728">
        <w:rPr>
          <w:lang w:val="fr-FR"/>
        </w:rPr>
        <w:t>Commission CERTE et d</w:t>
      </w:r>
      <w:r>
        <w:rPr>
          <w:lang w:val="fr-FR"/>
        </w:rPr>
        <w:t>’</w:t>
      </w:r>
      <w:r w:rsidRPr="00DD2728">
        <w:rPr>
          <w:lang w:val="fr-FR"/>
        </w:rPr>
        <w:t>essayer de trouver une solution qui pourrait être acceptable pour la Finlande. Une proposition révisée serait ensuite soumise pour examen à la session suivante.</w:t>
      </w:r>
    </w:p>
    <w:p w14:paraId="66D19999" w14:textId="0C032A60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12.</w:t>
      </w:r>
      <w:r w:rsidRPr="00DD2728">
        <w:rPr>
          <w:lang w:val="fr-FR"/>
        </w:rPr>
        <w:tab/>
        <w:t xml:space="preserve">La même proposition a été présentée à la réunion tenue par la Sous-Commission CERTE en mai 2022, avec des commentaires selon lesquels une version plus simplifiée </w:t>
      </w:r>
      <w:r>
        <w:rPr>
          <w:lang w:val="fr-FR"/>
        </w:rPr>
        <w:t xml:space="preserve">était </w:t>
      </w:r>
      <w:r w:rsidRPr="00DD2728">
        <w:rPr>
          <w:lang w:val="fr-FR"/>
        </w:rPr>
        <w:t>recommandée et pouvait être incluse dans le Manuel ATP</w:t>
      </w:r>
      <w:r>
        <w:rPr>
          <w:lang w:val="fr-FR"/>
        </w:rPr>
        <w:t>,</w:t>
      </w:r>
      <w:r w:rsidRPr="00DD2728">
        <w:rPr>
          <w:lang w:val="fr-FR"/>
        </w:rPr>
        <w:t xml:space="preserve"> plutôt que dans l</w:t>
      </w:r>
      <w:r>
        <w:rPr>
          <w:lang w:val="fr-FR"/>
        </w:rPr>
        <w:t>’</w:t>
      </w:r>
      <w:r w:rsidRPr="00DD2728">
        <w:rPr>
          <w:lang w:val="fr-FR"/>
        </w:rPr>
        <w:t>Accord relatif aux transports internationaux de denrées périssables et aux engins spéciaux à utiliser pour ces transports (ATP). À la suite de débats plus approfondis, il s</w:t>
      </w:r>
      <w:r>
        <w:rPr>
          <w:lang w:val="fr-FR"/>
        </w:rPr>
        <w:t>’</w:t>
      </w:r>
      <w:r w:rsidRPr="00DD2728">
        <w:rPr>
          <w:lang w:val="fr-FR"/>
        </w:rPr>
        <w:t>est avéré impossible d</w:t>
      </w:r>
      <w:r>
        <w:rPr>
          <w:lang w:val="fr-FR"/>
        </w:rPr>
        <w:t>’</w:t>
      </w:r>
      <w:r w:rsidRPr="00DD2728">
        <w:rPr>
          <w:lang w:val="fr-FR"/>
        </w:rPr>
        <w:t xml:space="preserve">intégrer ladite version dans le </w:t>
      </w:r>
      <w:r>
        <w:rPr>
          <w:lang w:val="fr-FR"/>
        </w:rPr>
        <w:t>M</w:t>
      </w:r>
      <w:r w:rsidRPr="00DD2728">
        <w:rPr>
          <w:lang w:val="fr-FR"/>
        </w:rPr>
        <w:t>anuel ATP car elle ne figur</w:t>
      </w:r>
      <w:r>
        <w:rPr>
          <w:lang w:val="fr-FR"/>
        </w:rPr>
        <w:t>ait</w:t>
      </w:r>
      <w:r w:rsidRPr="00DD2728">
        <w:rPr>
          <w:lang w:val="fr-FR"/>
        </w:rPr>
        <w:t xml:space="preserve"> pas actuellement dans l</w:t>
      </w:r>
      <w:r>
        <w:rPr>
          <w:lang w:val="fr-FR"/>
        </w:rPr>
        <w:t>’A</w:t>
      </w:r>
      <w:r w:rsidRPr="00DD2728">
        <w:rPr>
          <w:lang w:val="fr-FR"/>
        </w:rPr>
        <w:t>ccord ATP.</w:t>
      </w:r>
    </w:p>
    <w:p w14:paraId="11FE7F1E" w14:textId="77777777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13.</w:t>
      </w:r>
      <w:r w:rsidRPr="00DD2728">
        <w:rPr>
          <w:lang w:val="fr-FR"/>
        </w:rPr>
        <w:tab/>
        <w:t>À la suite des observations et des réactions du WP.11 et du CERTE, et des échanges avec les délégations finlandaise et néerlandaise, une proposition simplifiée est présentée pour l</w:t>
      </w:r>
      <w:r>
        <w:rPr>
          <w:lang w:val="fr-FR"/>
        </w:rPr>
        <w:t>’A</w:t>
      </w:r>
      <w:r w:rsidRPr="00DD2728">
        <w:rPr>
          <w:lang w:val="fr-FR"/>
        </w:rPr>
        <w:t>ccord ATP.</w:t>
      </w:r>
    </w:p>
    <w:p w14:paraId="6B5F5107" w14:textId="77777777" w:rsidR="002B0F9E" w:rsidRPr="00DD2728" w:rsidRDefault="002B0F9E" w:rsidP="00E717DC">
      <w:pPr>
        <w:pStyle w:val="HChG"/>
        <w:rPr>
          <w:lang w:val="fr-FR"/>
        </w:rPr>
      </w:pPr>
      <w:r w:rsidRPr="00DD2728">
        <w:rPr>
          <w:lang w:val="fr-FR"/>
        </w:rPr>
        <w:lastRenderedPageBreak/>
        <w:tab/>
        <w:t>I.</w:t>
      </w:r>
      <w:r w:rsidRPr="00DD2728">
        <w:rPr>
          <w:lang w:val="fr-FR"/>
        </w:rPr>
        <w:tab/>
        <w:t>Proposition d</w:t>
      </w:r>
      <w:r>
        <w:rPr>
          <w:lang w:val="fr-FR"/>
        </w:rPr>
        <w:t>’</w:t>
      </w:r>
      <w:r w:rsidRPr="00DD2728">
        <w:rPr>
          <w:lang w:val="fr-FR"/>
        </w:rPr>
        <w:t>amendement</w:t>
      </w:r>
    </w:p>
    <w:p w14:paraId="42B45D0C" w14:textId="1A9387FC" w:rsidR="002B0F9E" w:rsidRPr="00DD2728" w:rsidRDefault="002B0F9E" w:rsidP="00E717DC">
      <w:pPr>
        <w:pStyle w:val="SingleTxtG"/>
        <w:keepNext/>
        <w:keepLines/>
        <w:rPr>
          <w:lang w:val="fr-FR"/>
        </w:rPr>
      </w:pPr>
      <w:r w:rsidRPr="00DD2728">
        <w:rPr>
          <w:lang w:val="fr-FR"/>
        </w:rPr>
        <w:t>14.</w:t>
      </w:r>
      <w:r w:rsidRPr="00DD2728">
        <w:rPr>
          <w:lang w:val="fr-FR"/>
        </w:rPr>
        <w:tab/>
        <w:t>Il est proposé de modifier le texte comme suit, en ajoutant au point</w:t>
      </w:r>
      <w:r w:rsidR="00E717DC">
        <w:rPr>
          <w:lang w:val="fr-FR"/>
        </w:rPr>
        <w:t> </w:t>
      </w:r>
      <w:r w:rsidRPr="00DD2728">
        <w:rPr>
          <w:lang w:val="fr-FR"/>
        </w:rPr>
        <w:t>3.2.6</w:t>
      </w:r>
      <w:r>
        <w:rPr>
          <w:lang w:val="fr-FR"/>
        </w:rPr>
        <w:t xml:space="preserve"> un </w:t>
      </w:r>
      <w:r w:rsidRPr="00DD2728">
        <w:rPr>
          <w:lang w:val="fr-FR"/>
        </w:rPr>
        <w:t>nouveau paragraphe libellé comme suit :</w:t>
      </w:r>
    </w:p>
    <w:p w14:paraId="1C627798" w14:textId="12A232A8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«</w:t>
      </w:r>
      <w:r w:rsidR="001A120D">
        <w:rPr>
          <w:lang w:val="fr-FR"/>
        </w:rPr>
        <w:t> </w:t>
      </w:r>
      <w:r w:rsidRPr="00DD2728">
        <w:rPr>
          <w:lang w:val="fr-FR"/>
        </w:rPr>
        <w:t>Le débit d</w:t>
      </w:r>
      <w:r>
        <w:rPr>
          <w:lang w:val="fr-FR"/>
        </w:rPr>
        <w:t>’</w:t>
      </w:r>
      <w:r w:rsidRPr="00DD2728">
        <w:rPr>
          <w:lang w:val="fr-FR"/>
        </w:rPr>
        <w:t>air minimal prescrit pour les engins frigorifiques des classes FRC, BRI, BRJ, BRK ou BRL est calculé à l</w:t>
      </w:r>
      <w:r>
        <w:rPr>
          <w:lang w:val="fr-FR"/>
        </w:rPr>
        <w:t>’</w:t>
      </w:r>
      <w:r w:rsidRPr="00DD2728">
        <w:rPr>
          <w:lang w:val="fr-FR"/>
        </w:rPr>
        <w:t>aide de la formule suivante</w:t>
      </w:r>
      <w:r w:rsidRPr="00637A3D">
        <w:rPr>
          <w:rStyle w:val="Appelnotedebasdep"/>
        </w:rPr>
        <w:footnoteReference w:id="2"/>
      </w:r>
      <w:r w:rsidR="00E717DC">
        <w:rPr>
          <w:lang w:val="fr-FR"/>
        </w:rPr>
        <w:t> </w:t>
      </w:r>
      <w:r w:rsidRPr="00DD2728">
        <w:rPr>
          <w:lang w:val="fr-FR"/>
        </w:rPr>
        <w:t>:</w:t>
      </w:r>
    </w:p>
    <w:p w14:paraId="0892BAB8" w14:textId="7CF930AC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V̇</w:t>
      </w:r>
      <w:r w:rsidRPr="00DD2728">
        <w:rPr>
          <w:vertAlign w:val="subscript"/>
          <w:lang w:val="fr-FR"/>
        </w:rPr>
        <w:t>L</w:t>
      </w:r>
      <w:r w:rsidRPr="00DD2728">
        <w:rPr>
          <w:lang w:val="fr-FR"/>
        </w:rPr>
        <w:t xml:space="preserve"> = N·V</w:t>
      </w:r>
    </w:p>
    <w:p w14:paraId="0011D6AD" w14:textId="468561F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où le débit d</w:t>
      </w:r>
      <w:r>
        <w:rPr>
          <w:lang w:val="fr-FR"/>
        </w:rPr>
        <w:t>’</w:t>
      </w:r>
      <w:r w:rsidRPr="00DD2728">
        <w:rPr>
          <w:lang w:val="fr-FR"/>
        </w:rPr>
        <w:t>air minimal V̇</w:t>
      </w:r>
      <w:r w:rsidRPr="00DD2728">
        <w:rPr>
          <w:vertAlign w:val="subscript"/>
          <w:lang w:val="fr-FR"/>
        </w:rPr>
        <w:t>Lmin</w:t>
      </w:r>
      <w:r w:rsidRPr="00DD2728">
        <w:rPr>
          <w:lang w:val="fr-FR"/>
        </w:rPr>
        <w:t xml:space="preserve"> est égal au nombre de changements d</w:t>
      </w:r>
      <w:r>
        <w:rPr>
          <w:lang w:val="fr-FR"/>
        </w:rPr>
        <w:t>’</w:t>
      </w:r>
      <w:r w:rsidRPr="00DD2728">
        <w:rPr>
          <w:lang w:val="fr-FR"/>
        </w:rPr>
        <w:t>air par heure, N,</w:t>
      </w:r>
      <w:r w:rsidR="001A120D">
        <w:rPr>
          <w:lang w:val="fr-FR"/>
        </w:rPr>
        <w:t> </w:t>
      </w:r>
      <w:r w:rsidRPr="00DD2728">
        <w:rPr>
          <w:lang w:val="fr-FR"/>
        </w:rPr>
        <w:t>multiplié par le volume à vide, V.</w:t>
      </w:r>
    </w:p>
    <w:p w14:paraId="4765564E" w14:textId="77777777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N étant égal à 50</w:t>
      </w:r>
    </w:p>
    <w:p w14:paraId="15ACD5AB" w14:textId="1AD41429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En cas de charge partielle, le débit d</w:t>
      </w:r>
      <w:r>
        <w:rPr>
          <w:lang w:val="fr-FR"/>
        </w:rPr>
        <w:t>’</w:t>
      </w:r>
      <w:r w:rsidRPr="00DD2728">
        <w:rPr>
          <w:lang w:val="fr-FR"/>
        </w:rPr>
        <w:t xml:space="preserve">air peut être modulé après </w:t>
      </w:r>
      <w:r>
        <w:rPr>
          <w:lang w:val="fr-FR"/>
        </w:rPr>
        <w:t xml:space="preserve">que </w:t>
      </w:r>
      <w:r w:rsidRPr="00DD2728">
        <w:rPr>
          <w:lang w:val="fr-FR"/>
        </w:rPr>
        <w:t>la température voulue</w:t>
      </w:r>
      <w:r>
        <w:rPr>
          <w:lang w:val="fr-FR"/>
        </w:rPr>
        <w:t xml:space="preserve"> a été atteinte</w:t>
      </w:r>
      <w:r w:rsidRPr="00DD2728">
        <w:rPr>
          <w:lang w:val="fr-FR"/>
        </w:rPr>
        <w:t xml:space="preserve">, et </w:t>
      </w:r>
      <w:r>
        <w:rPr>
          <w:lang w:val="fr-FR"/>
        </w:rPr>
        <w:t xml:space="preserve"> lorsque</w:t>
      </w:r>
      <w:r w:rsidRPr="00DD2728">
        <w:rPr>
          <w:lang w:val="fr-FR"/>
        </w:rPr>
        <w:t xml:space="preserve"> la température de la classe est atteinte, il ne doit pas nécessairement être continu.</w:t>
      </w:r>
    </w:p>
    <w:p w14:paraId="228DAE61" w14:textId="4D816EF0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Lorsque V dépasse 60</w:t>
      </w:r>
      <w:r>
        <w:rPr>
          <w:lang w:val="fr-FR"/>
        </w:rPr>
        <w:t> </w:t>
      </w:r>
      <w:r w:rsidRPr="00DD2728">
        <w:rPr>
          <w:lang w:val="fr-FR"/>
        </w:rPr>
        <w:t>m</w:t>
      </w:r>
      <w:r w:rsidRPr="00DD2728">
        <w:rPr>
          <w:vertAlign w:val="superscript"/>
          <w:lang w:val="fr-FR"/>
        </w:rPr>
        <w:t>3</w:t>
      </w:r>
      <w:r w:rsidRPr="00DD2728">
        <w:rPr>
          <w:lang w:val="fr-FR"/>
        </w:rPr>
        <w:t>, V</w:t>
      </w:r>
      <w:r w:rsidRPr="00DD2728">
        <w:rPr>
          <w:vertAlign w:val="subscript"/>
          <w:lang w:val="fr-FR"/>
        </w:rPr>
        <w:t>L</w:t>
      </w:r>
      <w:r w:rsidRPr="00DD2728">
        <w:rPr>
          <w:lang w:val="fr-FR"/>
        </w:rPr>
        <w:t xml:space="preserve"> peut être limité à 3 000 m</w:t>
      </w:r>
      <w:r w:rsidRPr="00DD2728">
        <w:rPr>
          <w:vertAlign w:val="superscript"/>
          <w:lang w:val="fr-FR"/>
        </w:rPr>
        <w:t>3</w:t>
      </w:r>
      <w:r w:rsidRPr="00DD2728">
        <w:rPr>
          <w:lang w:val="fr-FR"/>
        </w:rPr>
        <w:t>/h pour les wagons et les camions.</w:t>
      </w:r>
    </w:p>
    <w:p w14:paraId="30678DFD" w14:textId="593CAA0C" w:rsidR="002B0F9E" w:rsidRPr="00DD2728" w:rsidRDefault="002B0F9E" w:rsidP="002B0F9E">
      <w:pPr>
        <w:pStyle w:val="SingleTxtG"/>
        <w:ind w:left="1701"/>
        <w:rPr>
          <w:lang w:val="fr-FR"/>
        </w:rPr>
      </w:pPr>
      <w:r w:rsidRPr="00DD2728">
        <w:rPr>
          <w:lang w:val="fr-FR"/>
        </w:rPr>
        <w:t>Lorsque V dépasse 100</w:t>
      </w:r>
      <w:r>
        <w:rPr>
          <w:lang w:val="fr-FR"/>
        </w:rPr>
        <w:t> </w:t>
      </w:r>
      <w:r w:rsidRPr="00DD2728">
        <w:rPr>
          <w:lang w:val="fr-FR"/>
        </w:rPr>
        <w:t>m</w:t>
      </w:r>
      <w:r w:rsidRPr="00DD2728">
        <w:rPr>
          <w:vertAlign w:val="superscript"/>
          <w:lang w:val="fr-FR"/>
        </w:rPr>
        <w:t>3</w:t>
      </w:r>
      <w:r w:rsidRPr="00DD2728">
        <w:rPr>
          <w:lang w:val="fr-FR"/>
        </w:rPr>
        <w:t>, V</w:t>
      </w:r>
      <w:r w:rsidRPr="00DD2728">
        <w:rPr>
          <w:vertAlign w:val="subscript"/>
          <w:lang w:val="fr-FR"/>
        </w:rPr>
        <w:t>L</w:t>
      </w:r>
      <w:r w:rsidRPr="00DD2728">
        <w:rPr>
          <w:lang w:val="fr-FR"/>
        </w:rPr>
        <w:t xml:space="preserve"> peut être limité à 5 000 m</w:t>
      </w:r>
      <w:r w:rsidRPr="00DD2728">
        <w:rPr>
          <w:vertAlign w:val="superscript"/>
          <w:lang w:val="fr-FR"/>
        </w:rPr>
        <w:t>3</w:t>
      </w:r>
      <w:r w:rsidRPr="00DD2728">
        <w:rPr>
          <w:lang w:val="fr-FR"/>
        </w:rPr>
        <w:t>/h (valeur minimale).</w:t>
      </w:r>
      <w:r>
        <w:rPr>
          <w:lang w:val="fr-FR"/>
        </w:rPr>
        <w:t> ».</w:t>
      </w:r>
    </w:p>
    <w:p w14:paraId="0FBEF915" w14:textId="77777777" w:rsidR="002B0F9E" w:rsidRPr="00DD2728" w:rsidRDefault="002B0F9E" w:rsidP="002B0F9E">
      <w:pPr>
        <w:pStyle w:val="HChG"/>
        <w:rPr>
          <w:lang w:val="fr-FR"/>
        </w:rPr>
      </w:pPr>
      <w:r w:rsidRPr="00DD2728">
        <w:rPr>
          <w:lang w:val="fr-FR"/>
        </w:rPr>
        <w:tab/>
        <w:t>II.</w:t>
      </w:r>
      <w:r w:rsidRPr="00DD2728">
        <w:rPr>
          <w:lang w:val="fr-FR"/>
        </w:rPr>
        <w:tab/>
        <w:t xml:space="preserve">Annexe 1, </w:t>
      </w:r>
      <w:r>
        <w:rPr>
          <w:lang w:val="fr-FR"/>
        </w:rPr>
        <w:t>a</w:t>
      </w:r>
      <w:r w:rsidRPr="00DD2728">
        <w:rPr>
          <w:lang w:val="fr-FR"/>
        </w:rPr>
        <w:t>ppendice 3</w:t>
      </w:r>
    </w:p>
    <w:p w14:paraId="2C6649C3" w14:textId="77777777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15.</w:t>
      </w:r>
      <w:r w:rsidRPr="00DD2728">
        <w:rPr>
          <w:lang w:val="fr-FR"/>
        </w:rPr>
        <w:tab/>
        <w:t>Une nouvelle section devra être ajoutée à l</w:t>
      </w:r>
      <w:r>
        <w:rPr>
          <w:lang w:val="fr-FR"/>
        </w:rPr>
        <w:t>’</w:t>
      </w:r>
      <w:r w:rsidRPr="00DD2728">
        <w:rPr>
          <w:lang w:val="fr-FR"/>
        </w:rPr>
        <w:t>attestation ATP figurant à l</w:t>
      </w:r>
      <w:r>
        <w:rPr>
          <w:lang w:val="fr-FR"/>
        </w:rPr>
        <w:t>’</w:t>
      </w:r>
      <w:r w:rsidRPr="00DD2728">
        <w:rPr>
          <w:lang w:val="fr-FR"/>
        </w:rPr>
        <w:t>appendice 3 de l</w:t>
      </w:r>
      <w:r>
        <w:rPr>
          <w:lang w:val="fr-FR"/>
        </w:rPr>
        <w:t>’</w:t>
      </w:r>
      <w:r w:rsidRPr="00DD2728">
        <w:rPr>
          <w:lang w:val="fr-FR"/>
        </w:rPr>
        <w:t>annexe 1, comme suit :</w:t>
      </w:r>
    </w:p>
    <w:p w14:paraId="6B287AFB" w14:textId="082D2B08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« 7.2.6</w:t>
      </w:r>
      <w:r>
        <w:rPr>
          <w:lang w:val="fr-FR"/>
        </w:rPr>
        <w:tab/>
      </w:r>
      <w:r>
        <w:rPr>
          <w:lang w:val="fr-FR"/>
        </w:rPr>
        <w:tab/>
      </w:r>
      <w:r w:rsidRPr="00DD2728">
        <w:rPr>
          <w:lang w:val="fr-FR"/>
        </w:rPr>
        <w:t>XX changements d</w:t>
      </w:r>
      <w:r>
        <w:rPr>
          <w:lang w:val="fr-FR"/>
        </w:rPr>
        <w:t>’</w:t>
      </w:r>
      <w:r w:rsidRPr="00DD2728">
        <w:rPr>
          <w:lang w:val="fr-FR"/>
        </w:rPr>
        <w:t>air à l</w:t>
      </w:r>
      <w:r>
        <w:rPr>
          <w:lang w:val="fr-FR"/>
        </w:rPr>
        <w:t>’</w:t>
      </w:r>
      <w:r w:rsidRPr="00DD2728">
        <w:rPr>
          <w:lang w:val="fr-FR"/>
        </w:rPr>
        <w:t>heure ».</w:t>
      </w:r>
    </w:p>
    <w:p w14:paraId="0B02D16B" w14:textId="1F67AA54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16.</w:t>
      </w:r>
      <w:r w:rsidRPr="00DD2728">
        <w:rPr>
          <w:lang w:val="fr-FR"/>
        </w:rPr>
        <w:tab/>
        <w:t>Après la note de bas de page 10, ajouter la nouvelle note de bas de page</w:t>
      </w:r>
      <w:r>
        <w:rPr>
          <w:lang w:val="fr-FR"/>
        </w:rPr>
        <w:t>,</w:t>
      </w:r>
      <w:r w:rsidRPr="00DD2728">
        <w:rPr>
          <w:lang w:val="fr-FR"/>
        </w:rPr>
        <w:t xml:space="preserve"> libellée comme suit</w:t>
      </w:r>
      <w:r w:rsidR="00E717DC">
        <w:rPr>
          <w:lang w:val="fr-FR"/>
        </w:rPr>
        <w:t> </w:t>
      </w:r>
      <w:r w:rsidRPr="00DD2728">
        <w:rPr>
          <w:lang w:val="fr-FR"/>
        </w:rPr>
        <w:t>:</w:t>
      </w:r>
    </w:p>
    <w:p w14:paraId="0628AE72" w14:textId="33E7757D" w:rsidR="002B0F9E" w:rsidRPr="00DD2728" w:rsidRDefault="002B0F9E" w:rsidP="00E717DC">
      <w:pPr>
        <w:pStyle w:val="SingleTxtG"/>
        <w:ind w:left="2268" w:hanging="567"/>
        <w:rPr>
          <w:lang w:val="fr-FR"/>
        </w:rPr>
      </w:pPr>
      <w:r w:rsidRPr="00DD2728">
        <w:rPr>
          <w:lang w:val="fr-FR"/>
        </w:rPr>
        <w:t>« </w:t>
      </w:r>
      <w:r w:rsidRPr="00DD2728">
        <w:rPr>
          <w:vertAlign w:val="superscript"/>
          <w:lang w:val="fr-FR"/>
        </w:rPr>
        <w:t>11</w:t>
      </w:r>
      <w:r w:rsidRPr="00DD2728">
        <w:rPr>
          <w:lang w:val="fr-FR"/>
        </w:rPr>
        <w:tab/>
        <w:t>XX est le nombre de changements d</w:t>
      </w:r>
      <w:r>
        <w:rPr>
          <w:lang w:val="fr-FR"/>
        </w:rPr>
        <w:t>’</w:t>
      </w:r>
      <w:r w:rsidRPr="00DD2728">
        <w:rPr>
          <w:lang w:val="fr-FR"/>
        </w:rPr>
        <w:t>air à l</w:t>
      </w:r>
      <w:r>
        <w:rPr>
          <w:lang w:val="fr-FR"/>
        </w:rPr>
        <w:t>’</w:t>
      </w:r>
      <w:r w:rsidRPr="00DD2728">
        <w:rPr>
          <w:lang w:val="fr-FR"/>
        </w:rPr>
        <w:t>heure, calculé en divisant le débit d</w:t>
      </w:r>
      <w:r>
        <w:rPr>
          <w:lang w:val="fr-FR"/>
        </w:rPr>
        <w:t>’</w:t>
      </w:r>
      <w:r w:rsidRPr="00DD2728">
        <w:rPr>
          <w:lang w:val="fr-FR"/>
        </w:rPr>
        <w:t>air total des ventilateurs de brassage par le volume intérieur total de la caisse de l</w:t>
      </w:r>
      <w:r>
        <w:rPr>
          <w:lang w:val="fr-FR"/>
        </w:rPr>
        <w:t>’</w:t>
      </w:r>
      <w:r w:rsidRPr="00DD2728">
        <w:rPr>
          <w:lang w:val="fr-FR"/>
        </w:rPr>
        <w:t>engin. Dans le cas d</w:t>
      </w:r>
      <w:r>
        <w:rPr>
          <w:lang w:val="fr-FR"/>
        </w:rPr>
        <w:t>’</w:t>
      </w:r>
      <w:r w:rsidRPr="00DD2728">
        <w:rPr>
          <w:lang w:val="fr-FR"/>
        </w:rPr>
        <w:t>un engin à compartiments multiples équipé de cloisons mobiles, le débit d</w:t>
      </w:r>
      <w:r>
        <w:rPr>
          <w:lang w:val="fr-FR"/>
        </w:rPr>
        <w:t>’</w:t>
      </w:r>
      <w:r w:rsidRPr="00DD2728">
        <w:rPr>
          <w:lang w:val="fr-FR"/>
        </w:rPr>
        <w:t>air total des ventilateurs de brassage doit être divisé par le volume intérieur maximal de chaque compartiment</w:t>
      </w:r>
      <w:r>
        <w:rPr>
          <w:lang w:val="fr-FR"/>
        </w:rPr>
        <w:t>.</w:t>
      </w:r>
      <w:r w:rsidRPr="00DD2728">
        <w:rPr>
          <w:lang w:val="fr-FR"/>
        </w:rPr>
        <w:t> ».</w:t>
      </w:r>
    </w:p>
    <w:p w14:paraId="61B90435" w14:textId="5C9268D7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17.</w:t>
      </w:r>
      <w:r w:rsidRPr="00DD2728">
        <w:rPr>
          <w:lang w:val="fr-FR"/>
        </w:rPr>
        <w:tab/>
        <w:t>Les notes de bas de page originales</w:t>
      </w:r>
      <w:r w:rsidR="000773D0">
        <w:rPr>
          <w:lang w:val="fr-FR"/>
        </w:rPr>
        <w:t> </w:t>
      </w:r>
      <w:r w:rsidRPr="00DD2728">
        <w:rPr>
          <w:lang w:val="fr-FR"/>
        </w:rPr>
        <w:t>11 à 15 deviennent les notes</w:t>
      </w:r>
      <w:r w:rsidR="000773D0">
        <w:rPr>
          <w:lang w:val="fr-FR"/>
        </w:rPr>
        <w:t> </w:t>
      </w:r>
      <w:r w:rsidRPr="00DD2728">
        <w:rPr>
          <w:lang w:val="fr-FR"/>
        </w:rPr>
        <w:t>12 à 16.</w:t>
      </w:r>
    </w:p>
    <w:p w14:paraId="11E35952" w14:textId="4B200568" w:rsidR="002B0F9E" w:rsidRPr="00DD2728" w:rsidRDefault="002B0F9E" w:rsidP="002B0F9E">
      <w:pPr>
        <w:pStyle w:val="HChG"/>
        <w:rPr>
          <w:lang w:val="fr-FR"/>
        </w:rPr>
      </w:pPr>
      <w:r w:rsidRPr="00DD2728">
        <w:rPr>
          <w:lang w:val="fr-FR"/>
        </w:rPr>
        <w:tab/>
        <w:t>III.</w:t>
      </w:r>
      <w:r w:rsidRPr="00DD2728">
        <w:rPr>
          <w:lang w:val="fr-FR"/>
        </w:rPr>
        <w:tab/>
        <w:t xml:space="preserve">Le texte suivant pourrait être ajouté au Manuel ATP </w:t>
      </w:r>
      <w:r>
        <w:rPr>
          <w:lang w:val="fr-FR"/>
        </w:rPr>
        <w:br/>
      </w:r>
      <w:r w:rsidRPr="00DD2728">
        <w:rPr>
          <w:lang w:val="fr-FR"/>
        </w:rPr>
        <w:t>afin de</w:t>
      </w:r>
      <w:r>
        <w:rPr>
          <w:lang w:val="fr-FR"/>
        </w:rPr>
        <w:t xml:space="preserve"> </w:t>
      </w:r>
      <w:r w:rsidRPr="00DD2728">
        <w:rPr>
          <w:lang w:val="fr-FR"/>
        </w:rPr>
        <w:t>fournir des explications supplémentaires</w:t>
      </w:r>
      <w:r w:rsidRPr="000773D0">
        <w:rPr>
          <w:b w:val="0"/>
          <w:bCs/>
          <w:sz w:val="20"/>
          <w:lang w:val="fr-FR"/>
        </w:rPr>
        <w:t> :</w:t>
      </w:r>
    </w:p>
    <w:p w14:paraId="59E66020" w14:textId="0DE20581" w:rsidR="002B0F9E" w:rsidRPr="00DD2728" w:rsidRDefault="002B0F9E" w:rsidP="00E717DC">
      <w:pPr>
        <w:pStyle w:val="SingleTxtG"/>
        <w:ind w:firstLine="567"/>
        <w:rPr>
          <w:lang w:val="fr-FR"/>
        </w:rPr>
      </w:pPr>
      <w:r w:rsidRPr="00DD2728">
        <w:rPr>
          <w:lang w:val="fr-FR"/>
        </w:rPr>
        <w:t>« Le débit d</w:t>
      </w:r>
      <w:r>
        <w:rPr>
          <w:lang w:val="fr-FR"/>
        </w:rPr>
        <w:t>’</w:t>
      </w:r>
      <w:r w:rsidRPr="00DD2728">
        <w:rPr>
          <w:lang w:val="fr-FR"/>
        </w:rPr>
        <w:t>air est un paramètre essentiel du transport sous température dirigée.</w:t>
      </w:r>
    </w:p>
    <w:p w14:paraId="76029472" w14:textId="39AB86E5" w:rsidR="002B0F9E" w:rsidRPr="00DD2728" w:rsidRDefault="002B0F9E" w:rsidP="00E717DC">
      <w:pPr>
        <w:pStyle w:val="SingleTxtG"/>
        <w:ind w:firstLine="567"/>
        <w:rPr>
          <w:lang w:val="fr-FR"/>
        </w:rPr>
      </w:pPr>
      <w:r w:rsidRPr="00DD2728">
        <w:rPr>
          <w:lang w:val="fr-FR"/>
        </w:rPr>
        <w:t>Pour les denrées congelées, le débit d</w:t>
      </w:r>
      <w:r>
        <w:rPr>
          <w:lang w:val="fr-FR"/>
        </w:rPr>
        <w:t>’</w:t>
      </w:r>
      <w:r w:rsidRPr="00DD2728">
        <w:rPr>
          <w:lang w:val="fr-FR"/>
        </w:rPr>
        <w:t>air devrait être faible afin d</w:t>
      </w:r>
      <w:r>
        <w:rPr>
          <w:lang w:val="fr-FR"/>
        </w:rPr>
        <w:t>’</w:t>
      </w:r>
      <w:r w:rsidRPr="00DD2728">
        <w:rPr>
          <w:lang w:val="fr-FR"/>
        </w:rPr>
        <w:t>éviter le dessèchement, mais suffisant pour chasser la chaleur entrant par les panneaux isolants. La</w:t>
      </w:r>
      <w:r w:rsidR="000773D0">
        <w:rPr>
          <w:lang w:val="fr-FR"/>
        </w:rPr>
        <w:t> </w:t>
      </w:r>
      <w:r w:rsidRPr="00DD2728">
        <w:rPr>
          <w:lang w:val="fr-FR"/>
        </w:rPr>
        <w:t>température de l</w:t>
      </w:r>
      <w:r>
        <w:rPr>
          <w:lang w:val="fr-FR"/>
        </w:rPr>
        <w:t>’</w:t>
      </w:r>
      <w:r w:rsidRPr="00DD2728">
        <w:rPr>
          <w:lang w:val="fr-FR"/>
        </w:rPr>
        <w:t>air entrant peut être plus basse que la température voulue afin d</w:t>
      </w:r>
      <w:r>
        <w:rPr>
          <w:lang w:val="fr-FR"/>
        </w:rPr>
        <w:t>’</w:t>
      </w:r>
      <w:r w:rsidRPr="00DD2728">
        <w:rPr>
          <w:lang w:val="fr-FR"/>
        </w:rPr>
        <w:t>évacuer la chaleur sans endommager le produit. Les denrées réfrigérées ont besoin d</w:t>
      </w:r>
      <w:r>
        <w:rPr>
          <w:lang w:val="fr-FR"/>
        </w:rPr>
        <w:t>’</w:t>
      </w:r>
      <w:r w:rsidRPr="00DD2728">
        <w:rPr>
          <w:lang w:val="fr-FR"/>
        </w:rPr>
        <w:t>un débit d</w:t>
      </w:r>
      <w:r>
        <w:rPr>
          <w:lang w:val="fr-FR"/>
        </w:rPr>
        <w:t>’</w:t>
      </w:r>
      <w:r w:rsidRPr="00DD2728">
        <w:rPr>
          <w:lang w:val="fr-FR"/>
        </w:rPr>
        <w:t>air plus élevé pour une bonne distribution de la température ; en outre, la température de ventilation ne doit pas être sensiblement inférieure à la température voulue en raison du risque de dégradation par refroidissement excessif ou par gel. Certaines denrées réfrigérées sont métaboliquement actives et ont donc besoin d</w:t>
      </w:r>
      <w:r>
        <w:rPr>
          <w:lang w:val="fr-FR"/>
        </w:rPr>
        <w:t>’</w:t>
      </w:r>
      <w:r w:rsidRPr="00DD2728">
        <w:rPr>
          <w:lang w:val="fr-FR"/>
        </w:rPr>
        <w:t>un débit d</w:t>
      </w:r>
      <w:r>
        <w:rPr>
          <w:lang w:val="fr-FR"/>
        </w:rPr>
        <w:t>’</w:t>
      </w:r>
      <w:r w:rsidRPr="00DD2728">
        <w:rPr>
          <w:lang w:val="fr-FR"/>
        </w:rPr>
        <w:t>air plus élevé pour évacuer la chaleur produite.</w:t>
      </w:r>
    </w:p>
    <w:p w14:paraId="5C05DE09" w14:textId="77777777" w:rsidR="002B0F9E" w:rsidRPr="00DD2728" w:rsidRDefault="002B0F9E" w:rsidP="00E717DC">
      <w:pPr>
        <w:pStyle w:val="SingleTxtG"/>
        <w:ind w:firstLine="567"/>
        <w:rPr>
          <w:lang w:val="fr-FR"/>
        </w:rPr>
      </w:pPr>
      <w:r w:rsidRPr="00DD2728">
        <w:rPr>
          <w:lang w:val="fr-FR"/>
        </w:rPr>
        <w:t>On ne saurait utiliser des ventilateurs intermittents pour les marchandises sensibles, qui ont besoin d</w:t>
      </w:r>
      <w:r>
        <w:rPr>
          <w:lang w:val="fr-FR"/>
        </w:rPr>
        <w:t>’</w:t>
      </w:r>
      <w:r w:rsidRPr="00DD2728">
        <w:rPr>
          <w:lang w:val="fr-FR"/>
        </w:rPr>
        <w:t>une répartition homogène de la température. En règle générale, lorsque l</w:t>
      </w:r>
      <w:r>
        <w:rPr>
          <w:lang w:val="fr-FR"/>
        </w:rPr>
        <w:t>’</w:t>
      </w:r>
      <w:r w:rsidRPr="00DD2728">
        <w:rPr>
          <w:lang w:val="fr-FR"/>
        </w:rPr>
        <w:t>unité ou les ventilateurs de l</w:t>
      </w:r>
      <w:r>
        <w:rPr>
          <w:lang w:val="fr-FR"/>
        </w:rPr>
        <w:t>’</w:t>
      </w:r>
      <w:r w:rsidRPr="00DD2728">
        <w:rPr>
          <w:lang w:val="fr-FR"/>
        </w:rPr>
        <w:t xml:space="preserve">évaporateur sont autorisés à fonctionner par cycles </w:t>
      </w:r>
      <w:r w:rsidRPr="00DD2728">
        <w:rPr>
          <w:lang w:val="fr-FR"/>
        </w:rPr>
        <w:lastRenderedPageBreak/>
        <w:t>intermittents, le démarrage/arrêt de l</w:t>
      </w:r>
      <w:r>
        <w:rPr>
          <w:lang w:val="fr-FR"/>
        </w:rPr>
        <w:t>’</w:t>
      </w:r>
      <w:r w:rsidRPr="00DD2728">
        <w:rPr>
          <w:lang w:val="fr-FR"/>
        </w:rPr>
        <w:t>unité ne doit être utilisé que pour le transport de marchandises congelées.</w:t>
      </w:r>
    </w:p>
    <w:p w14:paraId="45383738" w14:textId="7E6DCE4C" w:rsidR="002B0F9E" w:rsidRPr="002B0F9E" w:rsidRDefault="002B0F9E" w:rsidP="002B0F9E">
      <w:pPr>
        <w:pStyle w:val="H23G"/>
        <w:rPr>
          <w:lang w:val="fr-FR"/>
        </w:rPr>
      </w:pPr>
      <w:r w:rsidRPr="002B0F9E">
        <w:rPr>
          <w:b w:val="0"/>
          <w:bCs/>
          <w:lang w:val="fr-FR"/>
        </w:rPr>
        <w:tab/>
      </w:r>
      <w:r w:rsidRPr="002B0F9E">
        <w:rPr>
          <w:b w:val="0"/>
          <w:bCs/>
          <w:lang w:val="fr-FR"/>
        </w:rPr>
        <w:tab/>
        <w:t>Tableau 1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DD2728">
        <w:rPr>
          <w:lang w:val="fr-FR"/>
        </w:rPr>
        <w:t>Exemples de prescriptions de débit d</w:t>
      </w:r>
      <w:r>
        <w:rPr>
          <w:lang w:val="fr-FR"/>
        </w:rPr>
        <w:t>’</w:t>
      </w:r>
      <w:r w:rsidRPr="00DD2728">
        <w:rPr>
          <w:lang w:val="fr-FR"/>
        </w:rPr>
        <w:t xml:space="preserve">air pour des marchandises sensibles </w:t>
      </w:r>
      <w:r>
        <w:rPr>
          <w:lang w:val="fr-FR"/>
        </w:rPr>
        <w:br/>
      </w:r>
      <w:r w:rsidRPr="00DD2728">
        <w:rPr>
          <w:lang w:val="fr-FR"/>
        </w:rPr>
        <w:t>à la température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514"/>
        <w:gridCol w:w="1096"/>
        <w:gridCol w:w="514"/>
        <w:gridCol w:w="1073"/>
        <w:gridCol w:w="11"/>
        <w:gridCol w:w="760"/>
        <w:gridCol w:w="1373"/>
      </w:tblGrid>
      <w:tr w:rsidR="00E717DC" w:rsidRPr="00E717DC" w14:paraId="1F9993D4" w14:textId="77777777" w:rsidTr="00E717DC">
        <w:trPr>
          <w:tblHeader/>
        </w:trPr>
        <w:tc>
          <w:tcPr>
            <w:tcW w:w="2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8AB3B6F" w14:textId="77777777" w:rsidR="002B0F9E" w:rsidRPr="00E717DC" w:rsidRDefault="002B0F9E" w:rsidP="00E717DC">
            <w:pPr>
              <w:suppressAutoHyphens w:val="0"/>
              <w:spacing w:before="80" w:after="80" w:line="200" w:lineRule="exact"/>
              <w:rPr>
                <w:bCs/>
                <w:i/>
                <w:sz w:val="16"/>
                <w:szCs w:val="16"/>
                <w:lang w:val="fr-FR"/>
              </w:rPr>
            </w:pPr>
            <w:r w:rsidRPr="00E717DC">
              <w:rPr>
                <w:i/>
                <w:sz w:val="16"/>
                <w:lang w:val="fr-FR"/>
              </w:rPr>
              <w:t>Type de marchandises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C13CDDD" w14:textId="77777777" w:rsidR="002B0F9E" w:rsidRPr="00E717DC" w:rsidRDefault="002B0F9E" w:rsidP="00E717DC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717DC">
              <w:rPr>
                <w:i/>
                <w:noProof/>
                <w:sz w:val="16"/>
                <w:szCs w:val="16"/>
                <w:lang w:val="fr-FR" w:eastAsia="zh-CN"/>
              </w:rPr>
              <w:drawing>
                <wp:inline distT="0" distB="0" distL="0" distR="0" wp14:anchorId="634F6DBA" wp14:editId="79316B82">
                  <wp:extent cx="180975" cy="247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CD8E80" w14:textId="77777777" w:rsidR="002B0F9E" w:rsidRPr="00E717DC" w:rsidRDefault="002B0F9E" w:rsidP="00E717DC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717DC">
              <w:rPr>
                <w:i/>
                <w:sz w:val="16"/>
                <w:lang w:val="fr-FR"/>
              </w:rPr>
              <w:t>Plage de températures</w:t>
            </w:r>
          </w:p>
          <w:p w14:paraId="4EE077AD" w14:textId="17285392" w:rsidR="002B0F9E" w:rsidRPr="00E717DC" w:rsidRDefault="002B0F9E" w:rsidP="00E717DC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717DC">
              <w:rPr>
                <w:i/>
                <w:sz w:val="16"/>
                <w:lang w:val="fr-FR"/>
              </w:rPr>
              <w:t>[</w:t>
            </w:r>
            <w:r w:rsidR="00E717DC">
              <w:rPr>
                <w:i/>
                <w:sz w:val="16"/>
                <w:lang w:val="fr-FR"/>
              </w:rPr>
              <w:t xml:space="preserve">En </w:t>
            </w:r>
            <w:r w:rsidRPr="00E717DC">
              <w:rPr>
                <w:i/>
                <w:sz w:val="16"/>
                <w:lang w:val="fr-FR"/>
              </w:rPr>
              <w:t>°C]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45C0403" w14:textId="77777777" w:rsidR="002B0F9E" w:rsidRPr="00E717DC" w:rsidRDefault="002B0F9E" w:rsidP="00E717DC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717DC">
              <w:rPr>
                <w:i/>
                <w:noProof/>
                <w:sz w:val="16"/>
                <w:szCs w:val="16"/>
                <w:lang w:val="fr-FR" w:eastAsia="zh-CN"/>
              </w:rPr>
              <w:drawing>
                <wp:inline distT="0" distB="0" distL="0" distR="0" wp14:anchorId="77F64C7D" wp14:editId="3EE157C3">
                  <wp:extent cx="190500" cy="247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912AA9A" w14:textId="7B1117AE" w:rsidR="002B0F9E" w:rsidRPr="00E717DC" w:rsidRDefault="002B0F9E" w:rsidP="00E717DC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717DC">
              <w:rPr>
                <w:i/>
                <w:sz w:val="16"/>
                <w:lang w:val="fr-FR"/>
              </w:rPr>
              <w:t>Sensibilité à</w:t>
            </w:r>
            <w:r w:rsidR="00E717DC">
              <w:rPr>
                <w:i/>
                <w:sz w:val="16"/>
                <w:lang w:val="fr-FR"/>
              </w:rPr>
              <w:t> </w:t>
            </w:r>
            <w:r w:rsidRPr="00E717DC">
              <w:rPr>
                <w:i/>
                <w:sz w:val="16"/>
                <w:lang w:val="fr-FR"/>
              </w:rPr>
              <w:t>l’humidité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C27A2AC" w14:textId="77777777" w:rsidR="002B0F9E" w:rsidRPr="00E717DC" w:rsidRDefault="002B0F9E" w:rsidP="00E717DC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717DC">
              <w:rPr>
                <w:i/>
                <w:noProof/>
                <w:sz w:val="16"/>
                <w:szCs w:val="16"/>
                <w:lang w:val="fr-FR" w:eastAsia="zh-CN"/>
              </w:rPr>
              <w:drawing>
                <wp:inline distT="0" distB="0" distL="0" distR="0" wp14:anchorId="65F0B385" wp14:editId="5E23F3CB">
                  <wp:extent cx="247650" cy="209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7987A53" w14:textId="5F386E1D" w:rsidR="002B0F9E" w:rsidRPr="00E717DC" w:rsidRDefault="002B0F9E" w:rsidP="00E717DC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717DC">
              <w:rPr>
                <w:i/>
                <w:sz w:val="16"/>
                <w:lang w:val="fr-FR"/>
              </w:rPr>
              <w:t xml:space="preserve">Débit d’air recommandé </w:t>
            </w:r>
            <w:r w:rsidR="00E717DC">
              <w:rPr>
                <w:i/>
                <w:sz w:val="16"/>
                <w:lang w:val="fr-FR"/>
              </w:rPr>
              <w:br/>
            </w:r>
            <w:r w:rsidRPr="00E717DC">
              <w:rPr>
                <w:i/>
                <w:sz w:val="16"/>
                <w:lang w:val="fr-FR"/>
              </w:rPr>
              <w:t>[</w:t>
            </w:r>
            <w:r w:rsidR="00E717DC">
              <w:rPr>
                <w:i/>
                <w:sz w:val="16"/>
                <w:lang w:val="fr-FR"/>
              </w:rPr>
              <w:t xml:space="preserve">En </w:t>
            </w:r>
            <w:r w:rsidRPr="00E717DC">
              <w:rPr>
                <w:i/>
                <w:sz w:val="16"/>
                <w:lang w:val="fr-FR"/>
              </w:rPr>
              <w:t>nombre de volumes vides brassés par heure]</w:t>
            </w:r>
          </w:p>
        </w:tc>
      </w:tr>
      <w:tr w:rsidR="000773D0" w:rsidRPr="00E717DC" w14:paraId="09F83D1C" w14:textId="77777777" w:rsidTr="002D5A3A">
        <w:tc>
          <w:tcPr>
            <w:tcW w:w="202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2217738" w14:textId="3EF3232B" w:rsidR="000773D0" w:rsidRPr="00E717DC" w:rsidRDefault="000773D0" w:rsidP="00E717DC">
            <w:pPr>
              <w:suppressAutoHyphens w:val="0"/>
              <w:spacing w:before="40" w:after="40" w:line="220" w:lineRule="exact"/>
              <w:rPr>
                <w:b/>
                <w:bCs/>
                <w:sz w:val="18"/>
                <w:szCs w:val="24"/>
                <w:u w:val="single"/>
                <w:lang w:val="fr-FR"/>
              </w:rPr>
            </w:pPr>
            <w:r w:rsidRPr="00E717DC">
              <w:rPr>
                <w:b/>
                <w:bCs/>
                <w:sz w:val="18"/>
                <w:lang w:val="fr-FR"/>
              </w:rPr>
              <w:t>Viande suspendue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8E79177" w14:textId="7CC656FC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-1/+1</w:t>
            </w:r>
            <w:r>
              <w:rPr>
                <w:sz w:val="18"/>
                <w:lang w:val="fr-FR"/>
              </w:rPr>
              <w:t> </w:t>
            </w:r>
            <w:r w:rsidRPr="00E717DC">
              <w:rPr>
                <w:sz w:val="18"/>
                <w:lang w:val="fr-FR"/>
              </w:rPr>
              <w:t>°C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6C427EC" w14:textId="77777777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Oui</w:t>
            </w:r>
          </w:p>
        </w:tc>
        <w:tc>
          <w:tcPr>
            <w:tcW w:w="2144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E3C4A39" w14:textId="19AD11F1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 xml:space="preserve">50-90 </w:t>
            </w:r>
          </w:p>
        </w:tc>
      </w:tr>
      <w:tr w:rsidR="000773D0" w:rsidRPr="00E717DC" w14:paraId="00E91876" w14:textId="77777777" w:rsidTr="00E42B41">
        <w:tc>
          <w:tcPr>
            <w:tcW w:w="2029" w:type="dxa"/>
            <w:shd w:val="clear" w:color="auto" w:fill="auto"/>
            <w:hideMark/>
          </w:tcPr>
          <w:p w14:paraId="0DA52E93" w14:textId="2896E787" w:rsidR="000773D0" w:rsidRPr="00E717DC" w:rsidRDefault="000773D0" w:rsidP="00E717DC">
            <w:pPr>
              <w:suppressAutoHyphens w:val="0"/>
              <w:spacing w:before="40" w:after="40" w:line="220" w:lineRule="exact"/>
              <w:rPr>
                <w:b/>
                <w:bCs/>
                <w:sz w:val="18"/>
                <w:szCs w:val="24"/>
                <w:u w:val="single"/>
                <w:lang w:val="fr-FR"/>
              </w:rPr>
            </w:pPr>
            <w:r w:rsidRPr="00E717DC">
              <w:rPr>
                <w:b/>
                <w:bCs/>
                <w:sz w:val="18"/>
                <w:lang w:val="fr-FR"/>
              </w:rPr>
              <w:t>Produits réfrigérés</w:t>
            </w:r>
          </w:p>
        </w:tc>
        <w:tc>
          <w:tcPr>
            <w:tcW w:w="1610" w:type="dxa"/>
            <w:gridSpan w:val="2"/>
            <w:shd w:val="clear" w:color="auto" w:fill="auto"/>
            <w:vAlign w:val="bottom"/>
            <w:hideMark/>
          </w:tcPr>
          <w:p w14:paraId="14F882CA" w14:textId="11237E33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-1/+6</w:t>
            </w:r>
            <w:r>
              <w:rPr>
                <w:sz w:val="18"/>
                <w:lang w:val="fr-FR"/>
              </w:rPr>
              <w:t> </w:t>
            </w:r>
            <w:r w:rsidRPr="00E717DC">
              <w:rPr>
                <w:sz w:val="18"/>
                <w:lang w:val="fr-FR"/>
              </w:rPr>
              <w:t>°C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  <w:hideMark/>
          </w:tcPr>
          <w:p w14:paraId="1CBE3A81" w14:textId="77777777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Oui</w:t>
            </w:r>
          </w:p>
        </w:tc>
        <w:tc>
          <w:tcPr>
            <w:tcW w:w="2144" w:type="dxa"/>
            <w:gridSpan w:val="3"/>
            <w:shd w:val="clear" w:color="auto" w:fill="auto"/>
            <w:vAlign w:val="bottom"/>
            <w:hideMark/>
          </w:tcPr>
          <w:p w14:paraId="48D72667" w14:textId="6B34C21B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50</w:t>
            </w:r>
            <w:r>
              <w:rPr>
                <w:sz w:val="18"/>
                <w:lang w:val="fr-FR"/>
              </w:rPr>
              <w:noBreakHyphen/>
            </w:r>
            <w:r w:rsidRPr="00E717DC">
              <w:rPr>
                <w:sz w:val="18"/>
                <w:lang w:val="fr-FR"/>
              </w:rPr>
              <w:t xml:space="preserve">90 </w:t>
            </w:r>
          </w:p>
        </w:tc>
      </w:tr>
      <w:tr w:rsidR="000773D0" w:rsidRPr="00E717DC" w14:paraId="3E585718" w14:textId="77777777" w:rsidTr="001E7974">
        <w:tc>
          <w:tcPr>
            <w:tcW w:w="7370" w:type="dxa"/>
            <w:gridSpan w:val="8"/>
            <w:shd w:val="clear" w:color="auto" w:fill="auto"/>
          </w:tcPr>
          <w:p w14:paraId="18B3A1F1" w14:textId="77777777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</w:p>
        </w:tc>
      </w:tr>
      <w:tr w:rsidR="000773D0" w:rsidRPr="00E717DC" w14:paraId="3A909383" w14:textId="77777777" w:rsidTr="004A748B">
        <w:tc>
          <w:tcPr>
            <w:tcW w:w="2029" w:type="dxa"/>
            <w:shd w:val="clear" w:color="auto" w:fill="auto"/>
            <w:hideMark/>
          </w:tcPr>
          <w:p w14:paraId="74460823" w14:textId="414648FC" w:rsidR="000773D0" w:rsidRPr="00E717DC" w:rsidRDefault="000773D0" w:rsidP="00E717DC">
            <w:pPr>
              <w:suppressAutoHyphens w:val="0"/>
              <w:spacing w:before="40" w:after="40" w:line="220" w:lineRule="exact"/>
              <w:rPr>
                <w:b/>
                <w:bCs/>
                <w:sz w:val="18"/>
                <w:szCs w:val="24"/>
                <w:u w:val="single"/>
                <w:lang w:val="fr-FR"/>
              </w:rPr>
            </w:pPr>
            <w:r w:rsidRPr="00E717DC">
              <w:rPr>
                <w:b/>
                <w:bCs/>
                <w:sz w:val="18"/>
                <w:lang w:val="fr-FR"/>
              </w:rPr>
              <w:t>Aliments congelés</w:t>
            </w:r>
          </w:p>
        </w:tc>
        <w:tc>
          <w:tcPr>
            <w:tcW w:w="1610" w:type="dxa"/>
            <w:gridSpan w:val="2"/>
            <w:shd w:val="clear" w:color="auto" w:fill="auto"/>
            <w:vAlign w:val="bottom"/>
            <w:hideMark/>
          </w:tcPr>
          <w:p w14:paraId="3DB32246" w14:textId="77777777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&lt; -18 °C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  <w:hideMark/>
          </w:tcPr>
          <w:p w14:paraId="1C369F23" w14:textId="77777777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Non</w:t>
            </w:r>
          </w:p>
        </w:tc>
        <w:tc>
          <w:tcPr>
            <w:tcW w:w="2144" w:type="dxa"/>
            <w:gridSpan w:val="3"/>
            <w:shd w:val="clear" w:color="auto" w:fill="auto"/>
            <w:vAlign w:val="bottom"/>
            <w:hideMark/>
          </w:tcPr>
          <w:p w14:paraId="7683D508" w14:textId="4E6E5F7E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40</w:t>
            </w:r>
            <w:r>
              <w:rPr>
                <w:sz w:val="18"/>
                <w:lang w:val="fr-FR"/>
              </w:rPr>
              <w:noBreakHyphen/>
            </w:r>
            <w:r w:rsidRPr="00E717DC">
              <w:rPr>
                <w:sz w:val="18"/>
                <w:lang w:val="fr-FR"/>
              </w:rPr>
              <w:t xml:space="preserve">60 </w:t>
            </w:r>
          </w:p>
        </w:tc>
      </w:tr>
      <w:tr w:rsidR="000773D0" w:rsidRPr="00E717DC" w14:paraId="0E9480A7" w14:textId="77777777" w:rsidTr="005E381A">
        <w:tc>
          <w:tcPr>
            <w:tcW w:w="202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965139B" w14:textId="7B386517" w:rsidR="000773D0" w:rsidRPr="00E717DC" w:rsidRDefault="000773D0" w:rsidP="00E717DC">
            <w:pPr>
              <w:suppressAutoHyphens w:val="0"/>
              <w:spacing w:before="40" w:after="40" w:line="220" w:lineRule="exact"/>
              <w:rPr>
                <w:b/>
                <w:bCs/>
                <w:sz w:val="18"/>
                <w:szCs w:val="24"/>
                <w:u w:val="single"/>
                <w:lang w:val="fr-FR"/>
              </w:rPr>
            </w:pPr>
            <w:r w:rsidRPr="00E717DC">
              <w:rPr>
                <w:b/>
                <w:bCs/>
                <w:sz w:val="18"/>
                <w:lang w:val="fr-FR"/>
              </w:rPr>
              <w:t>Crèmes glacées</w:t>
            </w:r>
            <w:r w:rsidRPr="00E717DC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5ADE86B" w14:textId="78FB4F2B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 xml:space="preserve">&lt; -20 °C </w:t>
            </w:r>
          </w:p>
        </w:tc>
        <w:tc>
          <w:tcPr>
            <w:tcW w:w="158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BBA12CF" w14:textId="77777777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Faible</w:t>
            </w:r>
          </w:p>
        </w:tc>
        <w:tc>
          <w:tcPr>
            <w:tcW w:w="214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C70630B" w14:textId="10B40D97" w:rsidR="000773D0" w:rsidRPr="00E717DC" w:rsidRDefault="000773D0" w:rsidP="00E717DC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  <w:szCs w:val="24"/>
                <w:lang w:val="fr-FR"/>
              </w:rPr>
            </w:pPr>
            <w:r w:rsidRPr="00E717DC">
              <w:rPr>
                <w:sz w:val="18"/>
                <w:lang w:val="fr-FR"/>
              </w:rPr>
              <w:t>40</w:t>
            </w:r>
            <w:r>
              <w:rPr>
                <w:sz w:val="18"/>
                <w:lang w:val="fr-FR"/>
              </w:rPr>
              <w:noBreakHyphen/>
            </w:r>
            <w:r w:rsidRPr="00E717DC">
              <w:rPr>
                <w:sz w:val="18"/>
                <w:lang w:val="fr-FR"/>
              </w:rPr>
              <w:t>60</w:t>
            </w:r>
          </w:p>
        </w:tc>
      </w:tr>
    </w:tbl>
    <w:p w14:paraId="72185078" w14:textId="77777777" w:rsidR="002B0F9E" w:rsidRPr="00DD2728" w:rsidRDefault="002B0F9E" w:rsidP="002B0F9E">
      <w:pPr>
        <w:pStyle w:val="SingleTxtG"/>
        <w:spacing w:before="120"/>
        <w:jc w:val="right"/>
        <w:rPr>
          <w:b/>
          <w:lang w:val="fr-FR"/>
        </w:rPr>
      </w:pPr>
      <w:r>
        <w:rPr>
          <w:lang w:val="fr-FR"/>
        </w:rPr>
        <w:t> ».</w:t>
      </w:r>
    </w:p>
    <w:p w14:paraId="29D40893" w14:textId="59A641E0" w:rsidR="002B0F9E" w:rsidRPr="00DD2728" w:rsidRDefault="002B0F9E" w:rsidP="002B0F9E">
      <w:pPr>
        <w:pStyle w:val="HChG"/>
        <w:rPr>
          <w:lang w:val="fr-FR"/>
        </w:rPr>
      </w:pPr>
      <w:r>
        <w:rPr>
          <w:lang w:val="fr-FR"/>
        </w:rPr>
        <w:tab/>
      </w:r>
      <w:r w:rsidRPr="00DD2728">
        <w:rPr>
          <w:lang w:val="fr-FR"/>
        </w:rPr>
        <w:t>IV.</w:t>
      </w:r>
      <w:r w:rsidRPr="00DD2728">
        <w:rPr>
          <w:lang w:val="fr-FR"/>
        </w:rPr>
        <w:tab/>
        <w:t>Incidences</w:t>
      </w:r>
    </w:p>
    <w:p w14:paraId="4659C858" w14:textId="5C191084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18.</w:t>
      </w:r>
      <w:r w:rsidRPr="00DD2728">
        <w:rPr>
          <w:lang w:val="fr-FR"/>
        </w:rPr>
        <w:tab/>
        <w:t>L</w:t>
      </w:r>
      <w:r>
        <w:rPr>
          <w:lang w:val="fr-FR"/>
        </w:rPr>
        <w:t>’</w:t>
      </w:r>
      <w:r w:rsidRPr="00DD2728">
        <w:rPr>
          <w:lang w:val="fr-FR"/>
        </w:rPr>
        <w:t xml:space="preserve">amendement proposé ci-dessus </w:t>
      </w:r>
      <w:r>
        <w:rPr>
          <w:lang w:val="fr-FR"/>
        </w:rPr>
        <w:t>actualiserait</w:t>
      </w:r>
      <w:r w:rsidRPr="00DD2728">
        <w:rPr>
          <w:lang w:val="fr-FR"/>
        </w:rPr>
        <w:t xml:space="preserve"> l</w:t>
      </w:r>
      <w:r>
        <w:rPr>
          <w:lang w:val="fr-FR"/>
        </w:rPr>
        <w:t>’</w:t>
      </w:r>
      <w:r w:rsidRPr="00DD2728">
        <w:rPr>
          <w:lang w:val="fr-FR"/>
        </w:rPr>
        <w:t>ATP et aurait pour effet positif de renforcer l</w:t>
      </w:r>
      <w:r>
        <w:rPr>
          <w:lang w:val="fr-FR"/>
        </w:rPr>
        <w:t>’</w:t>
      </w:r>
      <w:r w:rsidRPr="00DD2728">
        <w:rPr>
          <w:lang w:val="fr-FR"/>
        </w:rPr>
        <w:t>innocuité et la qualité des produits alimentaires. Sur le plan financier, il pourrait induire un coût supplémentaire lié à la réalisation d</w:t>
      </w:r>
      <w:r>
        <w:rPr>
          <w:lang w:val="fr-FR"/>
        </w:rPr>
        <w:t>’</w:t>
      </w:r>
      <w:r w:rsidRPr="00DD2728">
        <w:rPr>
          <w:lang w:val="fr-FR"/>
        </w:rPr>
        <w:t>un essai de débit d</w:t>
      </w:r>
      <w:r>
        <w:rPr>
          <w:lang w:val="fr-FR"/>
        </w:rPr>
        <w:t>’</w:t>
      </w:r>
      <w:r w:rsidRPr="00DD2728">
        <w:rPr>
          <w:lang w:val="fr-FR"/>
        </w:rPr>
        <w:t>air au cas où celui-ci n</w:t>
      </w:r>
      <w:r>
        <w:rPr>
          <w:lang w:val="fr-FR"/>
        </w:rPr>
        <w:t>’</w:t>
      </w:r>
      <w:r w:rsidRPr="00DD2728">
        <w:rPr>
          <w:lang w:val="fr-FR"/>
        </w:rPr>
        <w:t>aurait pas déjà été effectué.</w:t>
      </w:r>
    </w:p>
    <w:p w14:paraId="7D67A2BE" w14:textId="537B71BC" w:rsidR="002B0F9E" w:rsidRPr="00DD2728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19.</w:t>
      </w:r>
      <w:r w:rsidRPr="00DD2728">
        <w:rPr>
          <w:lang w:val="fr-FR"/>
        </w:rPr>
        <w:tab/>
        <w:t>La définition d</w:t>
      </w:r>
      <w:r>
        <w:rPr>
          <w:lang w:val="fr-FR"/>
        </w:rPr>
        <w:t>’</w:t>
      </w:r>
      <w:r w:rsidRPr="00DD2728">
        <w:rPr>
          <w:lang w:val="fr-FR"/>
        </w:rPr>
        <w:t>un débit pour le réfrigérant secondaire permettrait de</w:t>
      </w:r>
      <w:r>
        <w:rPr>
          <w:lang w:val="fr-FR"/>
        </w:rPr>
        <w:t xml:space="preserve"> s’assurer</w:t>
      </w:r>
      <w:r w:rsidRPr="00DD2728">
        <w:rPr>
          <w:lang w:val="fr-FR"/>
        </w:rPr>
        <w:t xml:space="preserve"> que tous les produits qui se trouvent dans l</w:t>
      </w:r>
      <w:r>
        <w:rPr>
          <w:lang w:val="fr-FR"/>
        </w:rPr>
        <w:t>’</w:t>
      </w:r>
      <w:r w:rsidRPr="00DD2728">
        <w:rPr>
          <w:lang w:val="fr-FR"/>
        </w:rPr>
        <w:t>espace de chargement sont conformes aux prescriptions énoncées aux annexes</w:t>
      </w:r>
      <w:r w:rsidR="00E717DC">
        <w:rPr>
          <w:lang w:val="fr-FR"/>
        </w:rPr>
        <w:t> </w:t>
      </w:r>
      <w:r w:rsidRPr="00DD2728">
        <w:rPr>
          <w:lang w:val="fr-FR"/>
        </w:rPr>
        <w:t>2 et 3.</w:t>
      </w:r>
    </w:p>
    <w:p w14:paraId="52F91E72" w14:textId="41C72CC3" w:rsidR="00F9573C" w:rsidRDefault="002B0F9E" w:rsidP="002B0F9E">
      <w:pPr>
        <w:pStyle w:val="SingleTxtG"/>
        <w:rPr>
          <w:lang w:val="fr-FR"/>
        </w:rPr>
      </w:pPr>
      <w:r w:rsidRPr="00DD2728">
        <w:rPr>
          <w:lang w:val="fr-FR"/>
        </w:rPr>
        <w:t>20.</w:t>
      </w:r>
      <w:r w:rsidRPr="00DD2728">
        <w:rPr>
          <w:lang w:val="fr-FR"/>
        </w:rPr>
        <w:tab/>
        <w:t>Cependant, les résultats concernant le débit d</w:t>
      </w:r>
      <w:r>
        <w:rPr>
          <w:lang w:val="fr-FR"/>
        </w:rPr>
        <w:t>’</w:t>
      </w:r>
      <w:r w:rsidRPr="00DD2728">
        <w:rPr>
          <w:lang w:val="fr-FR"/>
        </w:rPr>
        <w:t>air sont exigés dans le procès-verbal d</w:t>
      </w:r>
      <w:r>
        <w:rPr>
          <w:lang w:val="fr-FR"/>
        </w:rPr>
        <w:t>’</w:t>
      </w:r>
      <w:r w:rsidRPr="00DD2728">
        <w:rPr>
          <w:lang w:val="fr-FR"/>
        </w:rPr>
        <w:t>essai de l</w:t>
      </w:r>
      <w:r>
        <w:rPr>
          <w:lang w:val="fr-FR"/>
        </w:rPr>
        <w:t>’</w:t>
      </w:r>
      <w:r w:rsidRPr="00DD2728">
        <w:rPr>
          <w:lang w:val="fr-FR"/>
        </w:rPr>
        <w:t>engin et il semble donc qu</w:t>
      </w:r>
      <w:r>
        <w:rPr>
          <w:lang w:val="fr-FR"/>
        </w:rPr>
        <w:t>’</w:t>
      </w:r>
      <w:r w:rsidRPr="00DD2728">
        <w:rPr>
          <w:lang w:val="fr-FR"/>
        </w:rPr>
        <w:t>il y ait une incohérence.</w:t>
      </w:r>
    </w:p>
    <w:p w14:paraId="110D0B29" w14:textId="77D018A0" w:rsidR="00E717DC" w:rsidRPr="00E717DC" w:rsidRDefault="00E717DC" w:rsidP="00E717D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17DC" w:rsidRPr="00E717DC" w:rsidSect="002B0F9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0D46" w14:textId="77777777" w:rsidR="003831BB" w:rsidRDefault="003831BB" w:rsidP="00F95C08">
      <w:pPr>
        <w:spacing w:line="240" w:lineRule="auto"/>
      </w:pPr>
    </w:p>
  </w:endnote>
  <w:endnote w:type="continuationSeparator" w:id="0">
    <w:p w14:paraId="25917848" w14:textId="77777777" w:rsidR="003831BB" w:rsidRPr="00AC3823" w:rsidRDefault="003831BB" w:rsidP="00AC3823">
      <w:pPr>
        <w:pStyle w:val="Pieddepage"/>
      </w:pPr>
    </w:p>
  </w:endnote>
  <w:endnote w:type="continuationNotice" w:id="1">
    <w:p w14:paraId="5C3017D7" w14:textId="77777777" w:rsidR="003831BB" w:rsidRDefault="003831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CA2D" w14:textId="14CDFB51" w:rsidR="002B0F9E" w:rsidRPr="002B0F9E" w:rsidRDefault="002B0F9E" w:rsidP="002B0F9E">
    <w:pPr>
      <w:pStyle w:val="Pieddepage"/>
      <w:tabs>
        <w:tab w:val="right" w:pos="9638"/>
      </w:tabs>
    </w:pPr>
    <w:r w:rsidRPr="002B0F9E">
      <w:rPr>
        <w:b/>
        <w:sz w:val="18"/>
      </w:rPr>
      <w:fldChar w:fldCharType="begin"/>
    </w:r>
    <w:r w:rsidRPr="002B0F9E">
      <w:rPr>
        <w:b/>
        <w:sz w:val="18"/>
      </w:rPr>
      <w:instrText xml:space="preserve"> PAGE  \* MERGEFORMAT </w:instrText>
    </w:r>
    <w:r w:rsidRPr="002B0F9E">
      <w:rPr>
        <w:b/>
        <w:sz w:val="18"/>
      </w:rPr>
      <w:fldChar w:fldCharType="separate"/>
    </w:r>
    <w:r w:rsidRPr="002B0F9E">
      <w:rPr>
        <w:b/>
        <w:noProof/>
        <w:sz w:val="18"/>
      </w:rPr>
      <w:t>2</w:t>
    </w:r>
    <w:r w:rsidRPr="002B0F9E">
      <w:rPr>
        <w:b/>
        <w:sz w:val="18"/>
      </w:rPr>
      <w:fldChar w:fldCharType="end"/>
    </w:r>
    <w:r>
      <w:rPr>
        <w:b/>
        <w:sz w:val="18"/>
      </w:rPr>
      <w:tab/>
    </w:r>
    <w:r>
      <w:t>GE.22-12360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6EF6" w14:textId="7AF284D9" w:rsidR="002B0F9E" w:rsidRPr="002B0F9E" w:rsidRDefault="002B0F9E" w:rsidP="002B0F9E">
    <w:pPr>
      <w:pStyle w:val="Pieddepage"/>
      <w:tabs>
        <w:tab w:val="right" w:pos="9638"/>
      </w:tabs>
      <w:rPr>
        <w:b/>
        <w:sz w:val="18"/>
      </w:rPr>
    </w:pPr>
    <w:r>
      <w:t>GE.22-12360</w:t>
    </w:r>
    <w:r>
      <w:tab/>
    </w:r>
    <w:r w:rsidRPr="002B0F9E">
      <w:rPr>
        <w:b/>
        <w:sz w:val="18"/>
      </w:rPr>
      <w:fldChar w:fldCharType="begin"/>
    </w:r>
    <w:r w:rsidRPr="002B0F9E">
      <w:rPr>
        <w:b/>
        <w:sz w:val="18"/>
      </w:rPr>
      <w:instrText xml:space="preserve"> PAGE  \* MERGEFORMAT </w:instrText>
    </w:r>
    <w:r w:rsidRPr="002B0F9E">
      <w:rPr>
        <w:b/>
        <w:sz w:val="18"/>
      </w:rPr>
      <w:fldChar w:fldCharType="separate"/>
    </w:r>
    <w:r w:rsidRPr="002B0F9E">
      <w:rPr>
        <w:b/>
        <w:noProof/>
        <w:sz w:val="18"/>
      </w:rPr>
      <w:t>3</w:t>
    </w:r>
    <w:r w:rsidRPr="002B0F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4A67" w14:textId="4E91DCEB" w:rsidR="007F20FA" w:rsidRPr="002B0F9E" w:rsidRDefault="002B0F9E" w:rsidP="002B0F9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D608712" wp14:editId="7312F68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22-12360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2451D3" wp14:editId="341D6B6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020922    050922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DE44" w14:textId="77777777" w:rsidR="003831BB" w:rsidRPr="00AC3823" w:rsidRDefault="003831B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8AD047" w14:textId="77777777" w:rsidR="003831BB" w:rsidRPr="00AC3823" w:rsidRDefault="003831B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FD11B9" w14:textId="77777777" w:rsidR="003831BB" w:rsidRPr="00AC3823" w:rsidRDefault="003831BB">
      <w:pPr>
        <w:spacing w:line="240" w:lineRule="auto"/>
        <w:rPr>
          <w:sz w:val="2"/>
          <w:szCs w:val="2"/>
        </w:rPr>
      </w:pPr>
    </w:p>
  </w:footnote>
  <w:footnote w:id="2">
    <w:p w14:paraId="244CA3F7" w14:textId="77777777" w:rsidR="002B0F9E" w:rsidRPr="00CE1013" w:rsidRDefault="002B0F9E" w:rsidP="00E717DC">
      <w:pPr>
        <w:pStyle w:val="Notedebasdepage"/>
        <w:rPr>
          <w:lang w:val="fr-FR"/>
        </w:rPr>
      </w:pPr>
      <w:r>
        <w:rPr>
          <w:lang w:val="fr-FR"/>
        </w:rPr>
        <w:tab/>
      </w:r>
      <w:r w:rsidRPr="00637A3D">
        <w:rPr>
          <w:rStyle w:val="Appelnotedebasdep"/>
        </w:rPr>
        <w:footnoteRef/>
      </w:r>
      <w:r>
        <w:rPr>
          <w:lang w:val="fr-FR"/>
        </w:rPr>
        <w:tab/>
        <w:t>Applicable aux engins fabriqués après la date d’entrée en vigueur (JJ MM ANNÉE).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DBF7" w14:textId="20CD4BD7" w:rsidR="002B0F9E" w:rsidRPr="002B0F9E" w:rsidRDefault="0019325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2B0F9E">
      <w:t>ECE/TRANS/WP.11/2022/16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86A4" w14:textId="326E0821" w:rsidR="002B0F9E" w:rsidRPr="002B0F9E" w:rsidRDefault="0019325D" w:rsidP="002B0F9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0F9E">
      <w:t>ECE/TRANS/WP.11/2022/16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5923275">
    <w:abstractNumId w:val="12"/>
  </w:num>
  <w:num w:numId="2" w16cid:durableId="1960406849">
    <w:abstractNumId w:val="11"/>
  </w:num>
  <w:num w:numId="3" w16cid:durableId="1292133649">
    <w:abstractNumId w:val="10"/>
  </w:num>
  <w:num w:numId="4" w16cid:durableId="17313475">
    <w:abstractNumId w:val="8"/>
  </w:num>
  <w:num w:numId="5" w16cid:durableId="1977487003">
    <w:abstractNumId w:val="3"/>
  </w:num>
  <w:num w:numId="6" w16cid:durableId="269436392">
    <w:abstractNumId w:val="2"/>
  </w:num>
  <w:num w:numId="7" w16cid:durableId="1704866032">
    <w:abstractNumId w:val="1"/>
  </w:num>
  <w:num w:numId="8" w16cid:durableId="1541015687">
    <w:abstractNumId w:val="0"/>
  </w:num>
  <w:num w:numId="9" w16cid:durableId="1961299701">
    <w:abstractNumId w:val="9"/>
  </w:num>
  <w:num w:numId="10" w16cid:durableId="1782216853">
    <w:abstractNumId w:val="7"/>
  </w:num>
  <w:num w:numId="11" w16cid:durableId="711073745">
    <w:abstractNumId w:val="6"/>
  </w:num>
  <w:num w:numId="12" w16cid:durableId="2017996686">
    <w:abstractNumId w:val="5"/>
  </w:num>
  <w:num w:numId="13" w16cid:durableId="599265098">
    <w:abstractNumId w:val="4"/>
  </w:num>
  <w:num w:numId="14" w16cid:durableId="1830755970">
    <w:abstractNumId w:val="12"/>
  </w:num>
  <w:num w:numId="15" w16cid:durableId="461191253">
    <w:abstractNumId w:val="11"/>
  </w:num>
  <w:num w:numId="16" w16cid:durableId="560554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BB"/>
    <w:rsid w:val="00017F94"/>
    <w:rsid w:val="00023842"/>
    <w:rsid w:val="000334F9"/>
    <w:rsid w:val="00045FEB"/>
    <w:rsid w:val="000773D0"/>
    <w:rsid w:val="0007796D"/>
    <w:rsid w:val="000B7790"/>
    <w:rsid w:val="00111F2F"/>
    <w:rsid w:val="0014365E"/>
    <w:rsid w:val="00143C66"/>
    <w:rsid w:val="00176178"/>
    <w:rsid w:val="001A120D"/>
    <w:rsid w:val="001F525A"/>
    <w:rsid w:val="00201148"/>
    <w:rsid w:val="00216A5B"/>
    <w:rsid w:val="00223272"/>
    <w:rsid w:val="00223FDF"/>
    <w:rsid w:val="00225FE2"/>
    <w:rsid w:val="0024779E"/>
    <w:rsid w:val="00257168"/>
    <w:rsid w:val="002744B8"/>
    <w:rsid w:val="002832AC"/>
    <w:rsid w:val="002B0F9E"/>
    <w:rsid w:val="002D7C93"/>
    <w:rsid w:val="00305801"/>
    <w:rsid w:val="003831BB"/>
    <w:rsid w:val="003916DE"/>
    <w:rsid w:val="003B7C5F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717DC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356E8"/>
  <w15:docId w15:val="{F77F7763-8B3E-44C1-80C2-5C1F9FB5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CB6C8-2D1F-44D7-8225-C5ADEC7E05D4}"/>
</file>

<file path=customXml/itemProps2.xml><?xml version="1.0" encoding="utf-8"?>
<ds:datastoreItem xmlns:ds="http://schemas.openxmlformats.org/officeDocument/2006/customXml" ds:itemID="{9B7C258F-E929-4129-81B1-576DDEFDFC0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1513</Words>
  <Characters>10594</Characters>
  <Application>Microsoft Office Word</Application>
  <DocSecurity>0</DocSecurity>
  <Lines>882</Lines>
  <Paragraphs>484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ECE/TRANS/WP.11/2022/16</vt:lpstr>
    </vt:vector>
  </TitlesOfParts>
  <Company>DCM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ECE/TRANS/WP.11/2022/16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2022-09-05T13:28:00Z</dcterms:created>
  <dcterms:modified xsi:type="dcterms:W3CDTF">2022-09-05T13:28:00Z</dcterms:modified>
</cp:coreProperties>
</file>