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09591E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2A3C7B" w14:textId="77777777" w:rsidR="00F35BAF" w:rsidRPr="00DB58B5" w:rsidRDefault="00F35BAF" w:rsidP="00876E9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5F1AC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932F98" w14:textId="61BF672A" w:rsidR="00F35BAF" w:rsidRPr="00DB58B5" w:rsidRDefault="00876E9B" w:rsidP="00876E9B">
            <w:pPr>
              <w:jc w:val="right"/>
            </w:pPr>
            <w:r w:rsidRPr="00876E9B">
              <w:rPr>
                <w:sz w:val="40"/>
              </w:rPr>
              <w:t>ECE</w:t>
            </w:r>
            <w:r>
              <w:t>/TRANS/WP</w:t>
            </w:r>
            <w:r w:rsidR="0081129A" w:rsidRPr="0081129A">
              <w:t>.</w:t>
            </w:r>
            <w:r>
              <w:t>11/2022/18</w:t>
            </w:r>
          </w:p>
        </w:tc>
      </w:tr>
      <w:tr w:rsidR="00F35BAF" w:rsidRPr="00DB58B5" w14:paraId="58DEB7A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0AB01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0DE35FF" wp14:editId="67CA38F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12618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ACC184" w14:textId="33F4D14B" w:rsidR="00F35BAF" w:rsidRDefault="00876E9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81129A" w:rsidRPr="0081129A">
              <w:t>.</w:t>
            </w:r>
            <w:r>
              <w:t xml:space="preserve"> générale</w:t>
            </w:r>
          </w:p>
          <w:p w14:paraId="584E4741" w14:textId="77777777" w:rsidR="00876E9B" w:rsidRDefault="00876E9B" w:rsidP="00876E9B">
            <w:pPr>
              <w:spacing w:line="240" w:lineRule="exact"/>
            </w:pPr>
            <w:r>
              <w:t>10 août 2022</w:t>
            </w:r>
          </w:p>
          <w:p w14:paraId="16EA36EB" w14:textId="77777777" w:rsidR="00876E9B" w:rsidRDefault="00876E9B" w:rsidP="00876E9B">
            <w:pPr>
              <w:spacing w:line="240" w:lineRule="exact"/>
            </w:pPr>
            <w:r>
              <w:t>Français</w:t>
            </w:r>
          </w:p>
          <w:p w14:paraId="6A339B6E" w14:textId="49B202E7" w:rsidR="00876E9B" w:rsidRPr="00DB58B5" w:rsidRDefault="00876E9B" w:rsidP="00876E9B">
            <w:pPr>
              <w:spacing w:line="240" w:lineRule="exact"/>
            </w:pPr>
            <w:r>
              <w:t>Original : anglais</w:t>
            </w:r>
          </w:p>
        </w:tc>
      </w:tr>
    </w:tbl>
    <w:p w14:paraId="73397D8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F92874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DCE19B" w14:textId="41F498C5" w:rsidR="00876E9B" w:rsidRDefault="00876E9B" w:rsidP="00876E9B">
      <w:pPr>
        <w:spacing w:before="120"/>
        <w:rPr>
          <w:b/>
          <w:bCs/>
          <w:lang w:val="fr-FR"/>
        </w:rPr>
      </w:pPr>
      <w:r w:rsidRPr="00AE2AB2">
        <w:rPr>
          <w:b/>
          <w:bCs/>
          <w:sz w:val="24"/>
          <w:szCs w:val="24"/>
          <w:lang w:val="fr-FR"/>
        </w:rPr>
        <w:t xml:space="preserve">Groupe de travail du transport </w:t>
      </w:r>
      <w:r w:rsidR="00321FFF">
        <w:rPr>
          <w:b/>
          <w:bCs/>
          <w:sz w:val="24"/>
          <w:szCs w:val="24"/>
          <w:lang w:val="fr-FR"/>
        </w:rPr>
        <w:br/>
      </w:r>
      <w:r w:rsidRPr="00AE2AB2">
        <w:rPr>
          <w:b/>
          <w:bCs/>
          <w:sz w:val="24"/>
          <w:szCs w:val="24"/>
          <w:lang w:val="fr-FR"/>
        </w:rPr>
        <w:t>des denrées périssables</w:t>
      </w:r>
    </w:p>
    <w:p w14:paraId="2F413288" w14:textId="1A707FA0" w:rsidR="00876E9B" w:rsidRPr="00AE2AB2" w:rsidRDefault="00876E9B" w:rsidP="00876E9B">
      <w:pPr>
        <w:spacing w:before="120"/>
        <w:rPr>
          <w:b/>
          <w:lang w:val="fr-FR"/>
        </w:rPr>
      </w:pPr>
      <w:r w:rsidRPr="00AE2AB2">
        <w:rPr>
          <w:b/>
          <w:bCs/>
          <w:lang w:val="fr-FR"/>
        </w:rPr>
        <w:t>Soixante-dix-</w:t>
      </w:r>
      <w:r>
        <w:rPr>
          <w:b/>
          <w:bCs/>
          <w:lang w:val="fr-FR"/>
        </w:rPr>
        <w:t>neuv</w:t>
      </w:r>
      <w:r w:rsidRPr="00AE2AB2">
        <w:rPr>
          <w:b/>
          <w:bCs/>
          <w:lang w:val="fr-FR"/>
        </w:rPr>
        <w:t>ième session</w:t>
      </w:r>
    </w:p>
    <w:p w14:paraId="733C598E" w14:textId="77777777" w:rsidR="00876E9B" w:rsidRPr="00AE2AB2" w:rsidRDefault="00876E9B" w:rsidP="00876E9B">
      <w:pPr>
        <w:rPr>
          <w:lang w:val="fr-FR"/>
        </w:rPr>
      </w:pPr>
      <w:r w:rsidRPr="00AE2AB2">
        <w:rPr>
          <w:lang w:val="fr-FR"/>
        </w:rPr>
        <w:t xml:space="preserve">Genève, </w:t>
      </w:r>
      <w:r>
        <w:rPr>
          <w:lang w:val="fr-FR"/>
        </w:rPr>
        <w:t>25-28 octobre</w:t>
      </w:r>
      <w:r w:rsidRPr="00AE2AB2">
        <w:rPr>
          <w:lang w:val="fr-FR"/>
        </w:rPr>
        <w:t xml:space="preserve"> 2022</w:t>
      </w:r>
    </w:p>
    <w:p w14:paraId="6D4487BB" w14:textId="77777777" w:rsidR="00876E9B" w:rsidRPr="00AE2AB2" w:rsidRDefault="00876E9B" w:rsidP="00876E9B">
      <w:pPr>
        <w:rPr>
          <w:lang w:val="fr-FR"/>
        </w:rPr>
      </w:pPr>
      <w:r w:rsidRPr="00AE2AB2">
        <w:rPr>
          <w:lang w:val="fr-FR"/>
        </w:rPr>
        <w:t xml:space="preserve">Point 5 </w:t>
      </w:r>
      <w:r>
        <w:rPr>
          <w:lang w:val="fr-FR"/>
        </w:rPr>
        <w:t>a</w:t>
      </w:r>
      <w:r w:rsidRPr="00AE2AB2">
        <w:rPr>
          <w:lang w:val="fr-FR"/>
        </w:rPr>
        <w:t>) de l</w:t>
      </w:r>
      <w:r>
        <w:rPr>
          <w:lang w:val="fr-FR"/>
        </w:rPr>
        <w:t>’</w:t>
      </w:r>
      <w:r w:rsidRPr="00AE2AB2">
        <w:rPr>
          <w:lang w:val="fr-FR"/>
        </w:rPr>
        <w:t>ordre du jour provisoire</w:t>
      </w:r>
    </w:p>
    <w:p w14:paraId="7918078B" w14:textId="77777777" w:rsidR="00876E9B" w:rsidRPr="00AE2AB2" w:rsidRDefault="00876E9B" w:rsidP="00876E9B">
      <w:pPr>
        <w:rPr>
          <w:b/>
          <w:bCs/>
          <w:lang w:val="fr-FR"/>
        </w:rPr>
      </w:pPr>
      <w:r w:rsidRPr="00AE2AB2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AE2AB2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AE2AB2">
        <w:rPr>
          <w:b/>
          <w:bCs/>
          <w:lang w:val="fr-FR"/>
        </w:rPr>
        <w:t>ATP :</w:t>
      </w:r>
    </w:p>
    <w:p w14:paraId="29E64E04" w14:textId="77777777" w:rsidR="00876E9B" w:rsidRPr="00AE2AB2" w:rsidRDefault="00876E9B" w:rsidP="00876E9B">
      <w:pPr>
        <w:rPr>
          <w:b/>
          <w:bCs/>
          <w:lang w:val="fr-FR"/>
        </w:rPr>
      </w:pPr>
      <w:r>
        <w:rPr>
          <w:b/>
          <w:bCs/>
          <w:lang w:val="fr-FR"/>
        </w:rPr>
        <w:t>Propositions en suspens</w:t>
      </w:r>
    </w:p>
    <w:p w14:paraId="034BC64D" w14:textId="30537F7D" w:rsidR="00876E9B" w:rsidRPr="00AE2AB2" w:rsidRDefault="00876E9B" w:rsidP="00876E9B">
      <w:pPr>
        <w:pStyle w:val="HChG"/>
        <w:rPr>
          <w:lang w:val="fr-FR"/>
        </w:rPr>
      </w:pPr>
      <w:r w:rsidRPr="00AE2AB2">
        <w:rPr>
          <w:lang w:val="fr-FR"/>
        </w:rPr>
        <w:tab/>
      </w:r>
      <w:r w:rsidRPr="00AE2AB2">
        <w:rPr>
          <w:lang w:val="fr-FR"/>
        </w:rPr>
        <w:tab/>
      </w:r>
      <w:r w:rsidRPr="00AE2AB2">
        <w:rPr>
          <w:lang w:val="fr-FR"/>
        </w:rPr>
        <w:tab/>
        <w:t>Proposition de liste des principaux composants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lang w:val="fr-FR"/>
        </w:rPr>
        <w:t>et de leurs caractéristiques essentielles</w:t>
      </w:r>
    </w:p>
    <w:p w14:paraId="0D031918" w14:textId="07A28B01" w:rsidR="00876E9B" w:rsidRDefault="00876E9B" w:rsidP="00876E9B">
      <w:pPr>
        <w:pStyle w:val="H1G"/>
        <w:rPr>
          <w:lang w:val="fr-FR"/>
        </w:rPr>
      </w:pPr>
      <w:r w:rsidRPr="00AE2AB2">
        <w:rPr>
          <w:lang w:val="fr-FR"/>
        </w:rPr>
        <w:tab/>
      </w:r>
      <w:r w:rsidRPr="00AE2AB2">
        <w:rPr>
          <w:lang w:val="fr-FR"/>
        </w:rPr>
        <w:tab/>
        <w:t xml:space="preserve">Communication de </w:t>
      </w:r>
      <w:proofErr w:type="spellStart"/>
      <w:r w:rsidRPr="00AE2AB2">
        <w:rPr>
          <w:lang w:val="fr-FR"/>
        </w:rPr>
        <w:t>Transfrigoroute</w:t>
      </w:r>
      <w:proofErr w:type="spellEnd"/>
      <w:r w:rsidRPr="00AE2AB2">
        <w:rPr>
          <w:lang w:val="fr-FR"/>
        </w:rPr>
        <w:t xml:space="preserve"> International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76E9B" w:rsidRPr="00AE2AB2" w14:paraId="04CF50F4" w14:textId="77777777" w:rsidTr="00F94E1E">
        <w:trPr>
          <w:jc w:val="center"/>
        </w:trPr>
        <w:tc>
          <w:tcPr>
            <w:tcW w:w="9628" w:type="dxa"/>
            <w:shd w:val="clear" w:color="auto" w:fill="auto"/>
          </w:tcPr>
          <w:p w14:paraId="4AE66C23" w14:textId="77777777" w:rsidR="00876E9B" w:rsidRPr="00AE2AB2" w:rsidRDefault="00876E9B" w:rsidP="00DB0A15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AE2AB2">
              <w:rPr>
                <w:i/>
                <w:sz w:val="24"/>
                <w:lang w:val="fr-FR"/>
              </w:rPr>
              <w:t>Résumé</w:t>
            </w:r>
          </w:p>
        </w:tc>
      </w:tr>
      <w:tr w:rsidR="00876E9B" w:rsidRPr="00AE2AB2" w14:paraId="4EFF0A6D" w14:textId="77777777" w:rsidTr="00F94E1E">
        <w:trPr>
          <w:jc w:val="center"/>
        </w:trPr>
        <w:tc>
          <w:tcPr>
            <w:tcW w:w="9628" w:type="dxa"/>
            <w:shd w:val="clear" w:color="auto" w:fill="auto"/>
          </w:tcPr>
          <w:p w14:paraId="20614775" w14:textId="47C27104" w:rsidR="00876E9B" w:rsidRPr="00AE2AB2" w:rsidRDefault="00876E9B" w:rsidP="00321FFF">
            <w:pPr>
              <w:pStyle w:val="SingleTxtG"/>
              <w:ind w:left="3222" w:hanging="2942"/>
              <w:rPr>
                <w:lang w:val="fr-FR"/>
              </w:rPr>
            </w:pPr>
            <w:r w:rsidRPr="00AE2AB2">
              <w:rPr>
                <w:b/>
                <w:bCs/>
                <w:lang w:val="fr-FR"/>
              </w:rPr>
              <w:t>Résumé analytique</w:t>
            </w:r>
            <w:r w:rsidRPr="00AE2AB2">
              <w:rPr>
                <w:lang w:val="fr-FR"/>
              </w:rPr>
              <w:t> :</w:t>
            </w:r>
            <w:r w:rsidRPr="00AE2AB2">
              <w:rPr>
                <w:lang w:val="fr-FR"/>
              </w:rPr>
              <w:tab/>
              <w:t>Comme suite à une proposition de l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Allemagne (ECE/TRANS/WP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>11/2019/4), les participants se sont accordés sur la nécessité d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établir une liste des composants susceptibles d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influer sur la capacité de refroidissement de l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engin afin de préciser le sens de l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expression « no modification to major components » (« aucune modification des principaux composants »)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 xml:space="preserve"> Les représentants de </w:t>
            </w:r>
            <w:proofErr w:type="spellStart"/>
            <w:r w:rsidRPr="00AE2AB2">
              <w:rPr>
                <w:lang w:val="fr-FR"/>
              </w:rPr>
              <w:t>Transfrigoroute</w:t>
            </w:r>
            <w:proofErr w:type="spellEnd"/>
            <w:r w:rsidRPr="00AE2AB2">
              <w:rPr>
                <w:lang w:val="fr-FR"/>
              </w:rPr>
              <w:t xml:space="preserve"> International ont</w:t>
            </w:r>
            <w:r>
              <w:rPr>
                <w:lang w:val="fr-FR"/>
              </w:rPr>
              <w:t xml:space="preserve"> </w:t>
            </w:r>
            <w:r w:rsidRPr="00AE2AB2">
              <w:rPr>
                <w:lang w:val="fr-FR"/>
              </w:rPr>
              <w:t>alors offert de soumettre une proposition pour examen</w:t>
            </w:r>
            <w:r w:rsidR="0081129A" w:rsidRPr="0081129A">
              <w:rPr>
                <w:lang w:val="fr-FR"/>
              </w:rPr>
              <w:t>.</w:t>
            </w:r>
          </w:p>
        </w:tc>
      </w:tr>
      <w:tr w:rsidR="00876E9B" w:rsidRPr="00AE2AB2" w14:paraId="3B33DFD5" w14:textId="77777777" w:rsidTr="00F94E1E">
        <w:trPr>
          <w:jc w:val="center"/>
        </w:trPr>
        <w:tc>
          <w:tcPr>
            <w:tcW w:w="9628" w:type="dxa"/>
            <w:shd w:val="clear" w:color="auto" w:fill="auto"/>
          </w:tcPr>
          <w:p w14:paraId="293FD6E8" w14:textId="77777777" w:rsidR="00876E9B" w:rsidRPr="00AE2AB2" w:rsidRDefault="00876E9B" w:rsidP="00321FFF">
            <w:pPr>
              <w:pStyle w:val="SingleTxtG"/>
              <w:ind w:left="3222" w:hanging="2942"/>
              <w:rPr>
                <w:lang w:val="fr-FR"/>
              </w:rPr>
            </w:pPr>
            <w:r w:rsidRPr="00AE2AB2">
              <w:rPr>
                <w:b/>
                <w:bCs/>
                <w:lang w:val="fr-FR"/>
              </w:rPr>
              <w:t>Mesure à prendre </w:t>
            </w:r>
            <w:r w:rsidRPr="00AE2AB2">
              <w:rPr>
                <w:lang w:val="fr-FR"/>
              </w:rPr>
              <w:t>:</w:t>
            </w:r>
            <w:r w:rsidRPr="00AE2AB2">
              <w:rPr>
                <w:b/>
                <w:bCs/>
                <w:lang w:val="fr-FR"/>
              </w:rPr>
              <w:tab/>
            </w:r>
            <w:r w:rsidRPr="00AE2AB2">
              <w:rPr>
                <w:lang w:val="fr-FR"/>
              </w:rPr>
              <w:t>Annexe 1, appendice 2, modèle n</w:t>
            </w:r>
            <w:r w:rsidRPr="00AE2AB2">
              <w:rPr>
                <w:vertAlign w:val="superscript"/>
                <w:lang w:val="fr-FR"/>
              </w:rPr>
              <w:t>o</w:t>
            </w:r>
            <w:r w:rsidRPr="00AE2AB2">
              <w:rPr>
                <w:lang w:val="fr-FR"/>
              </w:rPr>
              <w:t> 12</w:t>
            </w:r>
          </w:p>
          <w:p w14:paraId="11245DEC" w14:textId="77777777" w:rsidR="00876E9B" w:rsidRPr="00AE2AB2" w:rsidRDefault="00876E9B" w:rsidP="00DB0A15">
            <w:pPr>
              <w:pStyle w:val="SingleTxtG"/>
              <w:ind w:left="3222" w:hanging="2088"/>
              <w:rPr>
                <w:b/>
                <w:bCs/>
                <w:lang w:val="fr-FR"/>
              </w:rPr>
            </w:pPr>
            <w:r w:rsidRPr="00AE2AB2">
              <w:rPr>
                <w:lang w:val="fr-FR"/>
              </w:rPr>
              <w:tab/>
              <w:t>Annexe 1, appendice 2, modèle n</w:t>
            </w:r>
            <w:r w:rsidRPr="00AE2AB2">
              <w:rPr>
                <w:vertAlign w:val="superscript"/>
                <w:lang w:val="fr-FR"/>
              </w:rPr>
              <w:t>o</w:t>
            </w:r>
            <w:r w:rsidRPr="00AE2AB2">
              <w:rPr>
                <w:lang w:val="fr-FR"/>
              </w:rPr>
              <w:t> 1</w:t>
            </w:r>
            <w:r>
              <w:rPr>
                <w:lang w:val="fr-FR"/>
              </w:rPr>
              <w:t> </w:t>
            </w:r>
            <w:r w:rsidRPr="00AE2AB2">
              <w:rPr>
                <w:lang w:val="fr-FR"/>
              </w:rPr>
              <w:t>A</w:t>
            </w:r>
          </w:p>
        </w:tc>
      </w:tr>
      <w:tr w:rsidR="00876E9B" w:rsidRPr="00AE2AB2" w14:paraId="0A51831B" w14:textId="77777777" w:rsidTr="00F94E1E">
        <w:trPr>
          <w:jc w:val="center"/>
        </w:trPr>
        <w:tc>
          <w:tcPr>
            <w:tcW w:w="9628" w:type="dxa"/>
            <w:shd w:val="clear" w:color="auto" w:fill="auto"/>
          </w:tcPr>
          <w:p w14:paraId="501EB197" w14:textId="23F35A19" w:rsidR="00876E9B" w:rsidRPr="00AE2AB2" w:rsidRDefault="00876E9B" w:rsidP="00321FFF">
            <w:pPr>
              <w:pStyle w:val="SingleTxtG"/>
              <w:ind w:left="3222" w:hanging="2956"/>
              <w:rPr>
                <w:b/>
                <w:bCs/>
                <w:lang w:val="fr-FR"/>
              </w:rPr>
            </w:pPr>
            <w:r w:rsidRPr="00AE2AB2">
              <w:rPr>
                <w:b/>
                <w:bCs/>
                <w:lang w:val="fr-FR"/>
              </w:rPr>
              <w:t>Documents connexes </w:t>
            </w:r>
            <w:r w:rsidRPr="00AE2AB2">
              <w:rPr>
                <w:lang w:val="fr-FR"/>
              </w:rPr>
              <w:t>:</w:t>
            </w:r>
            <w:r w:rsidRPr="00AE2AB2">
              <w:rPr>
                <w:b/>
                <w:bCs/>
                <w:lang w:val="fr-FR"/>
              </w:rPr>
              <w:tab/>
            </w:r>
            <w:r w:rsidRPr="00AE2AB2">
              <w:rPr>
                <w:lang w:val="fr-FR"/>
              </w:rPr>
              <w:t>Rapport du WP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>11 sur les travaux de sa soixante-quinzième session tenue en 2019</w:t>
            </w:r>
          </w:p>
          <w:p w14:paraId="448FC512" w14:textId="6E87C5B5" w:rsidR="00876E9B" w:rsidRPr="00AE2AB2" w:rsidRDefault="00876E9B" w:rsidP="00DB0A15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lang w:val="fr-FR"/>
              </w:rPr>
              <w:tab/>
              <w:t>ECE/TRANS/WP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>11/2021/17 (Allemagne)</w:t>
            </w:r>
          </w:p>
          <w:p w14:paraId="5A882DDC" w14:textId="6C91E25F" w:rsidR="00876E9B" w:rsidRPr="00AE2AB2" w:rsidRDefault="00876E9B" w:rsidP="00DB0A15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lang w:val="fr-FR"/>
              </w:rPr>
              <w:tab/>
              <w:t>Document informel INF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>6 de la soixante-dix-septième session (</w:t>
            </w:r>
            <w:proofErr w:type="spellStart"/>
            <w:r w:rsidRPr="00AE2AB2">
              <w:rPr>
                <w:lang w:val="fr-FR"/>
              </w:rPr>
              <w:t>Transfrigoroute</w:t>
            </w:r>
            <w:proofErr w:type="spellEnd"/>
            <w:r w:rsidRPr="00AE2AB2">
              <w:rPr>
                <w:lang w:val="fr-FR"/>
              </w:rPr>
              <w:t xml:space="preserve"> International)</w:t>
            </w:r>
          </w:p>
          <w:p w14:paraId="35544776" w14:textId="0F9B9955" w:rsidR="00876E9B" w:rsidRDefault="00876E9B" w:rsidP="00DB0A15">
            <w:pPr>
              <w:pStyle w:val="SingleTxtG"/>
              <w:ind w:left="3222" w:hanging="2088"/>
              <w:rPr>
                <w:lang w:val="fr-FR"/>
              </w:rPr>
            </w:pPr>
            <w:r w:rsidRPr="00AE2AB2">
              <w:rPr>
                <w:lang w:val="fr-FR"/>
              </w:rPr>
              <w:tab/>
              <w:t>Rapport du WP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>11 sur les travaux de sa soixante-dix-septième session tenue en 2021</w:t>
            </w:r>
          </w:p>
          <w:p w14:paraId="7D463AFA" w14:textId="0168EDA0" w:rsidR="00876E9B" w:rsidRPr="00AE2AB2" w:rsidRDefault="00F94E1E" w:rsidP="00DB0A15">
            <w:pPr>
              <w:pStyle w:val="SingleTxtG"/>
              <w:ind w:left="3222" w:hanging="2088"/>
              <w:rPr>
                <w:b/>
                <w:bCs/>
                <w:lang w:val="fr-FR"/>
              </w:rPr>
            </w:pPr>
            <w:r>
              <w:tab/>
            </w:r>
            <w:r w:rsidR="00876E9B" w:rsidRPr="009744DE">
              <w:t>ECE/TRANS/WP</w:t>
            </w:r>
            <w:r w:rsidR="0081129A" w:rsidRPr="0081129A">
              <w:t>.</w:t>
            </w:r>
            <w:r w:rsidR="00876E9B" w:rsidRPr="009744DE">
              <w:t>11/202</w:t>
            </w:r>
            <w:r w:rsidR="00876E9B">
              <w:t>2</w:t>
            </w:r>
            <w:r w:rsidR="00876E9B" w:rsidRPr="009744DE">
              <w:t>/7</w:t>
            </w:r>
            <w:r w:rsidR="00876E9B">
              <w:t xml:space="preserve"> </w:t>
            </w:r>
            <w:r w:rsidR="00876E9B" w:rsidRPr="00321AA7">
              <w:t>(</w:t>
            </w:r>
            <w:proofErr w:type="spellStart"/>
            <w:r w:rsidR="00876E9B" w:rsidRPr="00321AA7">
              <w:t>Transfrigoroute</w:t>
            </w:r>
            <w:proofErr w:type="spellEnd"/>
            <w:r w:rsidR="00876E9B" w:rsidRPr="00321AA7">
              <w:t xml:space="preserve"> International)</w:t>
            </w:r>
          </w:p>
        </w:tc>
      </w:tr>
      <w:tr w:rsidR="00876E9B" w:rsidRPr="00AE2AB2" w14:paraId="0329E044" w14:textId="77777777" w:rsidTr="00F94E1E">
        <w:trPr>
          <w:trHeight w:val="74"/>
          <w:jc w:val="center"/>
        </w:trPr>
        <w:tc>
          <w:tcPr>
            <w:tcW w:w="9628" w:type="dxa"/>
            <w:shd w:val="clear" w:color="auto" w:fill="auto"/>
          </w:tcPr>
          <w:p w14:paraId="7036D8D9" w14:textId="77777777" w:rsidR="00876E9B" w:rsidRPr="00AE2AB2" w:rsidRDefault="00876E9B" w:rsidP="00DB0A15">
            <w:pPr>
              <w:rPr>
                <w:lang w:val="fr-FR"/>
              </w:rPr>
            </w:pPr>
          </w:p>
        </w:tc>
      </w:tr>
    </w:tbl>
    <w:p w14:paraId="788D45AD" w14:textId="77777777" w:rsidR="00876E9B" w:rsidRPr="00AE2AB2" w:rsidRDefault="00876E9B" w:rsidP="00876E9B">
      <w:pPr>
        <w:pStyle w:val="HChG"/>
        <w:rPr>
          <w:lang w:val="fr-FR"/>
        </w:rPr>
      </w:pPr>
      <w:r w:rsidRPr="00AE2AB2">
        <w:rPr>
          <w:lang w:val="fr-FR"/>
        </w:rPr>
        <w:lastRenderedPageBreak/>
        <w:tab/>
      </w:r>
      <w:r w:rsidRPr="00AE2AB2">
        <w:rPr>
          <w:lang w:val="fr-FR"/>
        </w:rPr>
        <w:tab/>
        <w:t>Introduction</w:t>
      </w:r>
      <w:r>
        <w:rPr>
          <w:lang w:val="fr-FR"/>
        </w:rPr>
        <w:t xml:space="preserve"> </w:t>
      </w:r>
    </w:p>
    <w:p w14:paraId="5EB6E7CC" w14:textId="4C230912" w:rsidR="00876E9B" w:rsidRPr="00AE2AB2" w:rsidRDefault="00876E9B" w:rsidP="00876E9B">
      <w:pPr>
        <w:pStyle w:val="SingleTxtG"/>
        <w:keepNext/>
        <w:rPr>
          <w:lang w:val="fr-FR"/>
        </w:rPr>
      </w:pPr>
      <w:r w:rsidRPr="00AE2AB2">
        <w:rPr>
          <w:lang w:val="fr-FR"/>
        </w:rPr>
        <w:t>1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Dans le rapport de la soixante-quinzième session</w:t>
      </w:r>
      <w:r>
        <w:rPr>
          <w:lang w:val="fr-FR"/>
        </w:rPr>
        <w:t xml:space="preserve"> du </w:t>
      </w:r>
      <w:r w:rsidRPr="001846E8">
        <w:rPr>
          <w:lang w:val="fr-FR"/>
        </w:rPr>
        <w:t>Groupe de travail du transport des denrées périssables</w:t>
      </w:r>
      <w:r>
        <w:rPr>
          <w:lang w:val="fr-FR"/>
        </w:rPr>
        <w:t xml:space="preserve"> (WP</w:t>
      </w:r>
      <w:r w:rsidR="0081129A" w:rsidRPr="0081129A">
        <w:rPr>
          <w:lang w:val="fr-FR"/>
        </w:rPr>
        <w:t>.</w:t>
      </w:r>
      <w:r>
        <w:rPr>
          <w:lang w:val="fr-FR"/>
        </w:rPr>
        <w:t>11)</w:t>
      </w:r>
      <w:r w:rsidRPr="00AE2AB2">
        <w:rPr>
          <w:lang w:val="fr-FR"/>
        </w:rPr>
        <w:t xml:space="preserve">, tenue en 2019, il a été demandé à </w:t>
      </w:r>
      <w:proofErr w:type="spellStart"/>
      <w:r w:rsidRPr="00AE2AB2">
        <w:rPr>
          <w:lang w:val="fr-FR"/>
        </w:rPr>
        <w:t>Transfrigoroute</w:t>
      </w:r>
      <w:proofErr w:type="spellEnd"/>
      <w:r w:rsidRPr="00AE2AB2">
        <w:rPr>
          <w:lang w:val="fr-FR"/>
        </w:rPr>
        <w:t xml:space="preserve"> International d</w:t>
      </w:r>
      <w:r>
        <w:rPr>
          <w:lang w:val="fr-FR"/>
        </w:rPr>
        <w:t>’</w:t>
      </w:r>
      <w:r w:rsidRPr="00AE2AB2">
        <w:rPr>
          <w:lang w:val="fr-FR"/>
        </w:rPr>
        <w:t>établir une liste des principaux composants (comme détaillé ci-dessous) :</w:t>
      </w:r>
    </w:p>
    <w:p w14:paraId="29E767E2" w14:textId="188860BE" w:rsidR="00876E9B" w:rsidRPr="00AE2AB2" w:rsidRDefault="00876E9B" w:rsidP="00876E9B">
      <w:pPr>
        <w:pStyle w:val="H23G"/>
        <w:rPr>
          <w:lang w:val="fr-FR"/>
        </w:rPr>
      </w:pPr>
      <w:r w:rsidRPr="00AE2AB2">
        <w:rPr>
          <w:lang w:val="fr-FR"/>
        </w:rPr>
        <w:tab/>
      </w:r>
      <w:r w:rsidRPr="00341C7B">
        <w:rPr>
          <w:b w:val="0"/>
          <w:bCs/>
          <w:lang w:val="fr-FR"/>
        </w:rPr>
        <w:t>« </w:t>
      </w:r>
      <w:r w:rsidRPr="00AE2AB2">
        <w:rPr>
          <w:lang w:val="fr-FR"/>
        </w:rPr>
        <w:t>3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Proposition d</w:t>
      </w:r>
      <w:r>
        <w:rPr>
          <w:lang w:val="fr-FR"/>
        </w:rPr>
        <w:t>’</w:t>
      </w:r>
      <w:r w:rsidRPr="00AE2AB2">
        <w:rPr>
          <w:lang w:val="fr-FR"/>
        </w:rPr>
        <w:t>amendement aux alinéas a) et b) de la section 6 de l</w:t>
      </w:r>
      <w:r>
        <w:rPr>
          <w:lang w:val="fr-FR"/>
        </w:rPr>
        <w:t>’</w:t>
      </w:r>
      <w:r w:rsidRPr="00AE2AB2">
        <w:rPr>
          <w:lang w:val="fr-FR"/>
        </w:rPr>
        <w:t xml:space="preserve">appendice 1 </w:t>
      </w:r>
      <w:r w:rsidRPr="00AE2AB2">
        <w:rPr>
          <w:lang w:val="fr-FR"/>
        </w:rPr>
        <w:br/>
        <w:t>de l</w:t>
      </w:r>
      <w:r>
        <w:rPr>
          <w:lang w:val="fr-FR"/>
        </w:rPr>
        <w:t>’</w:t>
      </w:r>
      <w:r w:rsidRPr="00AE2AB2">
        <w:rPr>
          <w:lang w:val="fr-FR"/>
        </w:rPr>
        <w:t>annexe 1 : validité des procès-verbaux d</w:t>
      </w:r>
      <w:r>
        <w:rPr>
          <w:lang w:val="fr-FR"/>
        </w:rPr>
        <w:t>’</w:t>
      </w:r>
      <w:r w:rsidRPr="00AE2AB2">
        <w:rPr>
          <w:lang w:val="fr-FR"/>
        </w:rPr>
        <w:t>essai pour les groupes frigorifiques</w:t>
      </w:r>
    </w:p>
    <w:p w14:paraId="2D891CB9" w14:textId="2B1CB34E" w:rsidR="00876E9B" w:rsidRPr="00AE2AB2" w:rsidRDefault="00876E9B" w:rsidP="00876E9B">
      <w:pPr>
        <w:pStyle w:val="SingleTxtG"/>
        <w:rPr>
          <w:lang w:val="fr-FR"/>
        </w:rPr>
      </w:pPr>
      <w:r w:rsidRPr="00AE2AB2">
        <w:rPr>
          <w:i/>
          <w:iCs/>
          <w:lang w:val="fr-FR"/>
        </w:rPr>
        <w:t>Document</w:t>
      </w:r>
      <w:r w:rsidRPr="00AE2AB2">
        <w:rPr>
          <w:lang w:val="fr-FR"/>
        </w:rPr>
        <w:t> :</w:t>
      </w:r>
      <w:r w:rsidRPr="00AE2AB2">
        <w:rPr>
          <w:lang w:val="fr-FR"/>
        </w:rPr>
        <w:tab/>
      </w:r>
      <w:r w:rsidRPr="00AE2AB2">
        <w:rPr>
          <w:lang w:val="fr-FR"/>
        </w:rPr>
        <w:tab/>
        <w:t>ECE/TRANS/WP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>11/2019/4 (Allemagne)</w:t>
      </w:r>
    </w:p>
    <w:p w14:paraId="001FB3F6" w14:textId="2E687A2D" w:rsidR="00876E9B" w:rsidRPr="00AE2AB2" w:rsidRDefault="00876E9B" w:rsidP="00876E9B">
      <w:pPr>
        <w:pStyle w:val="SingleTxtG"/>
        <w:keepNext/>
        <w:rPr>
          <w:lang w:val="fr-FR"/>
        </w:rPr>
      </w:pPr>
      <w:r w:rsidRPr="00AE2AB2">
        <w:rPr>
          <w:lang w:val="fr-FR"/>
        </w:rPr>
        <w:t>47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Des préoccupations ont été exprimées concernant les points suivants :</w:t>
      </w:r>
    </w:p>
    <w:p w14:paraId="5B47942C" w14:textId="6FB41DF0" w:rsidR="00876E9B" w:rsidRPr="00AE2AB2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AE2AB2">
        <w:rPr>
          <w:lang w:val="fr-FR"/>
        </w:rPr>
        <w:t>•</w:t>
      </w:r>
      <w:r w:rsidRPr="00AE2AB2">
        <w:rPr>
          <w:lang w:val="fr-FR"/>
        </w:rPr>
        <w:tab/>
        <w:t>Il n</w:t>
      </w:r>
      <w:r>
        <w:rPr>
          <w:lang w:val="fr-FR"/>
        </w:rPr>
        <w:t>’</w:t>
      </w:r>
      <w:r w:rsidRPr="00AE2AB2">
        <w:rPr>
          <w:lang w:val="fr-FR"/>
        </w:rPr>
        <w:t>est pas précisé à quelle autorité compétente la proposition fait référence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 xml:space="preserve"> S</w:t>
      </w:r>
      <w:r>
        <w:rPr>
          <w:lang w:val="fr-FR"/>
        </w:rPr>
        <w:t>’</w:t>
      </w:r>
      <w:r w:rsidRPr="00AE2AB2">
        <w:rPr>
          <w:lang w:val="fr-FR"/>
        </w:rPr>
        <w:t>agit-il de l</w:t>
      </w:r>
      <w:r>
        <w:rPr>
          <w:lang w:val="fr-FR"/>
        </w:rPr>
        <w:t>’</w:t>
      </w:r>
      <w:r w:rsidRPr="00AE2AB2">
        <w:rPr>
          <w:lang w:val="fr-FR"/>
        </w:rPr>
        <w:t>autorité compétente nationale ou de l</w:t>
      </w:r>
      <w:r>
        <w:rPr>
          <w:lang w:val="fr-FR"/>
        </w:rPr>
        <w:t>’</w:t>
      </w:r>
      <w:r w:rsidRPr="00AE2AB2">
        <w:rPr>
          <w:lang w:val="fr-FR"/>
        </w:rPr>
        <w:t>autorité compétente du pays de fabrication ?</w:t>
      </w:r>
    </w:p>
    <w:p w14:paraId="640C317A" w14:textId="0F2FE76D" w:rsidR="00876E9B" w:rsidRPr="00AE2AB2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AE2AB2">
        <w:rPr>
          <w:lang w:val="fr-FR"/>
        </w:rPr>
        <w:t>•</w:t>
      </w:r>
      <w:r w:rsidRPr="00AE2AB2">
        <w:rPr>
          <w:lang w:val="fr-FR"/>
        </w:rPr>
        <w:tab/>
        <w:t>Il manque une définition claire de l</w:t>
      </w:r>
      <w:r>
        <w:rPr>
          <w:lang w:val="fr-FR"/>
        </w:rPr>
        <w:t>’</w:t>
      </w:r>
      <w:r w:rsidRPr="00AE2AB2">
        <w:rPr>
          <w:lang w:val="fr-FR"/>
        </w:rPr>
        <w:t xml:space="preserve">expression </w:t>
      </w:r>
      <w:r w:rsidRPr="00341C7B">
        <w:rPr>
          <w:lang w:val="fr-FR"/>
        </w:rPr>
        <w:t>“</w:t>
      </w:r>
      <w:r w:rsidRPr="00AE2AB2">
        <w:rPr>
          <w:lang w:val="fr-FR"/>
        </w:rPr>
        <w:t>no modification to major components</w:t>
      </w:r>
      <w:r w:rsidRPr="00341C7B">
        <w:rPr>
          <w:lang w:val="fr-FR"/>
        </w:rPr>
        <w:t xml:space="preserve">” </w:t>
      </w:r>
      <w:r w:rsidRPr="00AE2AB2">
        <w:rPr>
          <w:lang w:val="fr-FR"/>
        </w:rPr>
        <w:t>(</w:t>
      </w:r>
      <w:r w:rsidRPr="00341C7B">
        <w:t>“</w:t>
      </w:r>
      <w:r w:rsidRPr="00AE2AB2">
        <w:rPr>
          <w:lang w:val="fr-FR"/>
        </w:rPr>
        <w:t>aucune modification des principaux composants</w:t>
      </w:r>
      <w:r w:rsidRPr="00341C7B">
        <w:t>”</w:t>
      </w:r>
      <w:r w:rsidRPr="00AE2AB2">
        <w:rPr>
          <w:lang w:val="fr-FR"/>
        </w:rPr>
        <w:t>)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 xml:space="preserve"> Les autorités compétentes ont donc du mal à juger de la pertinence de l</w:t>
      </w:r>
      <w:r>
        <w:rPr>
          <w:lang w:val="fr-FR"/>
        </w:rPr>
        <w:t>’</w:t>
      </w:r>
      <w:r w:rsidRPr="00AE2AB2">
        <w:rPr>
          <w:lang w:val="fr-FR"/>
        </w:rPr>
        <w:t>extension de la validité du certificat de conformité de type ;</w:t>
      </w:r>
    </w:p>
    <w:p w14:paraId="42D30736" w14:textId="761F2F7D" w:rsidR="00876E9B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AE2AB2">
        <w:rPr>
          <w:lang w:val="fr-FR"/>
        </w:rPr>
        <w:t>•</w:t>
      </w:r>
      <w:r w:rsidRPr="00AE2AB2">
        <w:rPr>
          <w:lang w:val="fr-FR"/>
        </w:rPr>
        <w:tab/>
        <w:t>Aucune référence n</w:t>
      </w:r>
      <w:r>
        <w:rPr>
          <w:lang w:val="fr-FR"/>
        </w:rPr>
        <w:t>’</w:t>
      </w:r>
      <w:r w:rsidRPr="00AE2AB2">
        <w:rPr>
          <w:lang w:val="fr-FR"/>
        </w:rPr>
        <w:t>est faite à la version du logiciel utilisé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 xml:space="preserve"> De l</w:t>
      </w:r>
      <w:r>
        <w:rPr>
          <w:lang w:val="fr-FR"/>
        </w:rPr>
        <w:t>’</w:t>
      </w:r>
      <w:r w:rsidRPr="00AE2AB2">
        <w:rPr>
          <w:lang w:val="fr-FR"/>
        </w:rPr>
        <w:t>avis de certaines délégations, cette information devrait être disponible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 xml:space="preserve"> </w:t>
      </w:r>
    </w:p>
    <w:tbl>
      <w:tblPr>
        <w:tblStyle w:val="Grilledutableau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876E9B" w14:paraId="08EB9F0E" w14:textId="7777777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096F2" w14:textId="77777777" w:rsidR="00876E9B" w:rsidRDefault="00876E9B"/>
        </w:tc>
      </w:tr>
      <w:tr w:rsidR="00876E9B" w14:paraId="36E88799" w14:textId="7777777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18718" w14:textId="389D8495" w:rsidR="00876E9B" w:rsidRDefault="00876E9B">
            <w:pPr>
              <w:spacing w:after="120"/>
              <w:jc w:val="both"/>
            </w:pPr>
            <w:r w:rsidRPr="00AE2AB2">
              <w:rPr>
                <w:lang w:val="fr-FR"/>
              </w:rPr>
              <w:t>48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ab/>
              <w:t>Les participants se sont accordés sur la nécessité d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établir une liste des composants susceptibles d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influer sur la capacité de refroidissement de l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>engin afin de préciser le sens de l</w:t>
            </w:r>
            <w:r>
              <w:rPr>
                <w:lang w:val="fr-FR"/>
              </w:rPr>
              <w:t>’</w:t>
            </w:r>
            <w:r w:rsidRPr="00AE2AB2">
              <w:rPr>
                <w:lang w:val="fr-FR"/>
              </w:rPr>
              <w:t xml:space="preserve">expression </w:t>
            </w:r>
            <w:r w:rsidRPr="00341C7B">
              <w:rPr>
                <w:lang w:val="fr-FR"/>
              </w:rPr>
              <w:t>“</w:t>
            </w:r>
            <w:r w:rsidRPr="00AE2AB2">
              <w:rPr>
                <w:lang w:val="fr-FR"/>
              </w:rPr>
              <w:t>no modification to major components</w:t>
            </w:r>
            <w:r w:rsidRPr="00341C7B">
              <w:rPr>
                <w:lang w:val="fr-FR"/>
              </w:rPr>
              <w:t>”</w:t>
            </w:r>
            <w:r w:rsidRPr="00AE2AB2">
              <w:rPr>
                <w:lang w:val="fr-FR"/>
              </w:rPr>
              <w:t xml:space="preserve"> (</w:t>
            </w:r>
            <w:r w:rsidRPr="00341C7B">
              <w:rPr>
                <w:lang w:val="fr-FR"/>
              </w:rPr>
              <w:t>“</w:t>
            </w:r>
            <w:r w:rsidRPr="00AE2AB2">
              <w:rPr>
                <w:lang w:val="fr-FR"/>
              </w:rPr>
              <w:t>aucune modification des principaux composants</w:t>
            </w:r>
            <w:r w:rsidRPr="00341C7B">
              <w:rPr>
                <w:lang w:val="fr-FR"/>
              </w:rPr>
              <w:t>”</w:t>
            </w:r>
            <w:r w:rsidRPr="00AE2AB2">
              <w:rPr>
                <w:lang w:val="fr-FR"/>
              </w:rPr>
              <w:t>)</w:t>
            </w:r>
            <w:r w:rsidR="0081129A" w:rsidRPr="0081129A">
              <w:rPr>
                <w:lang w:val="fr-FR"/>
              </w:rPr>
              <w:t>.</w:t>
            </w:r>
            <w:r w:rsidRPr="00AE2AB2">
              <w:rPr>
                <w:lang w:val="fr-FR"/>
              </w:rPr>
              <w:t xml:space="preserve"> Les représentants de </w:t>
            </w:r>
            <w:proofErr w:type="spellStart"/>
            <w:r w:rsidRPr="00AE2AB2">
              <w:rPr>
                <w:lang w:val="fr-FR"/>
              </w:rPr>
              <w:t>Transfrigoroute</w:t>
            </w:r>
            <w:proofErr w:type="spellEnd"/>
            <w:r w:rsidRPr="00AE2AB2">
              <w:rPr>
                <w:lang w:val="fr-FR"/>
              </w:rPr>
              <w:t xml:space="preserve"> International soumettront une proposition pour examen à la prochaine session</w:t>
            </w:r>
            <w:r w:rsidR="0081129A" w:rsidRPr="0081129A">
              <w:rPr>
                <w:lang w:val="fr-FR"/>
              </w:rPr>
              <w:t>.</w:t>
            </w:r>
          </w:p>
        </w:tc>
      </w:tr>
      <w:tr w:rsidR="00876E9B" w14:paraId="489E2280" w14:textId="7777777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D74B" w14:textId="77777777" w:rsidR="00876E9B" w:rsidRDefault="00876E9B"/>
        </w:tc>
      </w:tr>
    </w:tbl>
    <w:p w14:paraId="0AE55FF9" w14:textId="5D485D83" w:rsidR="00876E9B" w:rsidRDefault="00876E9B" w:rsidP="00876E9B">
      <w:pPr>
        <w:pStyle w:val="SingleTxtG"/>
        <w:spacing w:before="240"/>
        <w:rPr>
          <w:lang w:val="fr-FR"/>
        </w:rPr>
      </w:pPr>
      <w:r w:rsidRPr="00AE2AB2">
        <w:rPr>
          <w:lang w:val="fr-FR"/>
        </w:rPr>
        <w:t>49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Le WP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>11 a invité la délégation de l</w:t>
      </w:r>
      <w:r>
        <w:rPr>
          <w:lang w:val="fr-FR"/>
        </w:rPr>
        <w:t>’</w:t>
      </w:r>
      <w:r w:rsidRPr="00AE2AB2">
        <w:rPr>
          <w:lang w:val="fr-FR"/>
        </w:rPr>
        <w:t>Allemagne à soumettre une proposition révisée pour la prochaine session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> »</w:t>
      </w:r>
      <w:r w:rsidR="0081129A" w:rsidRPr="0081129A">
        <w:rPr>
          <w:lang w:val="fr-FR"/>
        </w:rPr>
        <w:t>.</w:t>
      </w:r>
    </w:p>
    <w:p w14:paraId="2E111B9F" w14:textId="16ED6988" w:rsidR="00876E9B" w:rsidRPr="00AE2AB2" w:rsidRDefault="00876E9B" w:rsidP="00876E9B">
      <w:pPr>
        <w:pStyle w:val="SingleTxtG"/>
        <w:rPr>
          <w:lang w:val="fr-FR"/>
        </w:rPr>
      </w:pPr>
      <w:r>
        <w:rPr>
          <w:lang w:val="fr-FR"/>
        </w:rPr>
        <w:t>2</w:t>
      </w:r>
      <w:r w:rsidR="0081129A" w:rsidRPr="0081129A">
        <w:rPr>
          <w:lang w:val="fr-FR"/>
        </w:rPr>
        <w:t>.</w:t>
      </w:r>
      <w:r>
        <w:rPr>
          <w:lang w:val="fr-FR"/>
        </w:rPr>
        <w:tab/>
        <w:t>En réalité, plus encore que de disposer d’une liste des principaux composants, il importe de connaître les principales caractéristiques de ces derniers</w:t>
      </w:r>
      <w:r w:rsidR="0081129A" w:rsidRPr="0081129A">
        <w:rPr>
          <w:lang w:val="fr-FR"/>
        </w:rPr>
        <w:t>.</w:t>
      </w:r>
    </w:p>
    <w:p w14:paraId="615D5EED" w14:textId="7DE09BB8" w:rsidR="00876E9B" w:rsidRPr="00AE2AB2" w:rsidRDefault="00876E9B" w:rsidP="00876E9B">
      <w:pPr>
        <w:pStyle w:val="HChG"/>
        <w:rPr>
          <w:lang w:val="fr-FR"/>
        </w:rPr>
      </w:pPr>
      <w:r w:rsidRPr="00AE2AB2">
        <w:rPr>
          <w:lang w:val="fr-FR"/>
        </w:rPr>
        <w:tab/>
        <w:t>I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Proposition</w:t>
      </w:r>
    </w:p>
    <w:p w14:paraId="560FA4D4" w14:textId="43AA3893" w:rsidR="00876E9B" w:rsidRPr="00AE2AB2" w:rsidRDefault="00876E9B" w:rsidP="00876E9B">
      <w:pPr>
        <w:pStyle w:val="SingleTxtG"/>
        <w:rPr>
          <w:lang w:val="fr-FR"/>
        </w:rPr>
      </w:pPr>
      <w:r>
        <w:rPr>
          <w:lang w:val="fr-FR"/>
        </w:rPr>
        <w:t>3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La proposition ci-dessous se fonde en grande partie sur les modèles n</w:t>
      </w:r>
      <w:r w:rsidRPr="00AE2AB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2AB2">
        <w:rPr>
          <w:lang w:val="fr-FR"/>
        </w:rPr>
        <w:t>1</w:t>
      </w:r>
      <w:r>
        <w:rPr>
          <w:lang w:val="fr-FR"/>
        </w:rPr>
        <w:t> </w:t>
      </w:r>
      <w:r w:rsidRPr="00AE2AB2">
        <w:rPr>
          <w:lang w:val="fr-FR"/>
        </w:rPr>
        <w:t>A et n</w:t>
      </w:r>
      <w:r w:rsidRPr="00AE2AB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2AB2">
        <w:rPr>
          <w:lang w:val="fr-FR"/>
        </w:rPr>
        <w:t>12 de l</w:t>
      </w:r>
      <w:r>
        <w:rPr>
          <w:lang w:val="fr-FR"/>
        </w:rPr>
        <w:t>’</w:t>
      </w:r>
      <w:r w:rsidRPr="00AE2AB2">
        <w:rPr>
          <w:lang w:val="fr-FR"/>
        </w:rPr>
        <w:t>appendice</w:t>
      </w:r>
      <w:r>
        <w:rPr>
          <w:lang w:val="fr-FR"/>
        </w:rPr>
        <w:t> </w:t>
      </w:r>
      <w:r w:rsidRPr="00AE2AB2">
        <w:rPr>
          <w:lang w:val="fr-FR"/>
        </w:rPr>
        <w:t>2 de l</w:t>
      </w:r>
      <w:r>
        <w:rPr>
          <w:lang w:val="fr-FR"/>
        </w:rPr>
        <w:t>’</w:t>
      </w:r>
      <w:r w:rsidRPr="00AE2AB2">
        <w:rPr>
          <w:lang w:val="fr-FR"/>
        </w:rPr>
        <w:t>annexe 1</w:t>
      </w:r>
      <w:r w:rsidR="0081129A" w:rsidRPr="0081129A">
        <w:rPr>
          <w:lang w:val="fr-FR"/>
        </w:rPr>
        <w:t>.</w:t>
      </w:r>
    </w:p>
    <w:p w14:paraId="31334716" w14:textId="35E9CAEF" w:rsidR="00876E9B" w:rsidRPr="00AE2AB2" w:rsidRDefault="00876E9B" w:rsidP="00876E9B">
      <w:pPr>
        <w:pStyle w:val="SingleTxtG"/>
        <w:rPr>
          <w:lang w:val="fr-FR"/>
        </w:rPr>
      </w:pPr>
      <w:r>
        <w:rPr>
          <w:lang w:val="fr-FR"/>
        </w:rPr>
        <w:t>4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Si nous procédons aujourd</w:t>
      </w:r>
      <w:r>
        <w:rPr>
          <w:lang w:val="fr-FR"/>
        </w:rPr>
        <w:t>’</w:t>
      </w:r>
      <w:r w:rsidRPr="00AE2AB2">
        <w:rPr>
          <w:lang w:val="fr-FR"/>
        </w:rPr>
        <w:t>hui à une analyse approfondie des fonctions d</w:t>
      </w:r>
      <w:r>
        <w:rPr>
          <w:lang w:val="fr-FR"/>
        </w:rPr>
        <w:t>’</w:t>
      </w:r>
      <w:r w:rsidRPr="00AE2AB2">
        <w:rPr>
          <w:lang w:val="fr-FR"/>
        </w:rPr>
        <w:t>un équipement spécial destiné au transport de denrées périssables, nous pourrions les classer comme suit</w:t>
      </w:r>
      <w:r>
        <w:rPr>
          <w:lang w:val="fr-FR"/>
        </w:rPr>
        <w:t> </w:t>
      </w:r>
      <w:r w:rsidRPr="00AE2AB2">
        <w:rPr>
          <w:lang w:val="fr-FR"/>
        </w:rPr>
        <w:t>:</w:t>
      </w:r>
    </w:p>
    <w:p w14:paraId="173AEA51" w14:textId="77777777" w:rsidR="00876E9B" w:rsidRPr="00AE2AB2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AE2AB2">
        <w:rPr>
          <w:lang w:val="fr-FR"/>
        </w:rPr>
        <w:t>•</w:t>
      </w:r>
      <w:r w:rsidRPr="00AE2AB2">
        <w:rPr>
          <w:lang w:val="fr-FR"/>
        </w:rPr>
        <w:tab/>
      </w:r>
      <w:r>
        <w:rPr>
          <w:lang w:val="fr-FR"/>
        </w:rPr>
        <w:t>S</w:t>
      </w:r>
      <w:r w:rsidRPr="00AE2AB2">
        <w:rPr>
          <w:lang w:val="fr-FR"/>
        </w:rPr>
        <w:t>ource d</w:t>
      </w:r>
      <w:r>
        <w:rPr>
          <w:lang w:val="fr-FR"/>
        </w:rPr>
        <w:t>’</w:t>
      </w:r>
      <w:r w:rsidRPr="00AE2AB2">
        <w:rPr>
          <w:lang w:val="fr-FR"/>
        </w:rPr>
        <w:t>énergie ;</w:t>
      </w:r>
    </w:p>
    <w:p w14:paraId="4A3BD84D" w14:textId="77777777" w:rsidR="00876E9B" w:rsidRPr="00AE2AB2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AE2AB2">
        <w:rPr>
          <w:lang w:val="fr-FR"/>
        </w:rPr>
        <w:t>•</w:t>
      </w:r>
      <w:r w:rsidRPr="00AE2AB2">
        <w:rPr>
          <w:lang w:val="fr-FR"/>
        </w:rPr>
        <w:tab/>
        <w:t>Production et distribution du froid ou de la chaleur ;</w:t>
      </w:r>
    </w:p>
    <w:p w14:paraId="74E5E89F" w14:textId="561E5155" w:rsidR="00876E9B" w:rsidRPr="00AE2AB2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AE2AB2">
        <w:rPr>
          <w:lang w:val="fr-FR"/>
        </w:rPr>
        <w:t>•</w:t>
      </w:r>
      <w:r w:rsidRPr="00AE2AB2">
        <w:rPr>
          <w:lang w:val="fr-FR"/>
        </w:rPr>
        <w:tab/>
        <w:t>Isolation</w:t>
      </w:r>
      <w:r w:rsidR="0081129A" w:rsidRPr="0081129A">
        <w:rPr>
          <w:lang w:val="fr-FR"/>
        </w:rPr>
        <w:t>.</w:t>
      </w:r>
    </w:p>
    <w:p w14:paraId="331A161F" w14:textId="78D2D8B3" w:rsidR="00876E9B" w:rsidRDefault="00876E9B" w:rsidP="00876E9B">
      <w:pPr>
        <w:pStyle w:val="SingleTxtG"/>
        <w:rPr>
          <w:lang w:val="fr-FR"/>
        </w:rPr>
      </w:pPr>
      <w:bookmarkStart w:id="0" w:name="_Hlk83058523"/>
      <w:r>
        <w:rPr>
          <w:lang w:val="fr-FR"/>
        </w:rPr>
        <w:t>5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</w:r>
      <w:proofErr w:type="spellStart"/>
      <w:r w:rsidRPr="00AE2AB2">
        <w:rPr>
          <w:lang w:val="fr-FR"/>
        </w:rPr>
        <w:t>Transfrigoroute</w:t>
      </w:r>
      <w:proofErr w:type="spellEnd"/>
      <w:r w:rsidRPr="00AE2AB2">
        <w:rPr>
          <w:lang w:val="fr-FR"/>
        </w:rPr>
        <w:t xml:space="preserve"> International propose de distinguer clairement les </w:t>
      </w:r>
      <w:r>
        <w:rPr>
          <w:lang w:val="fr-FR"/>
        </w:rPr>
        <w:t xml:space="preserve">principaux </w:t>
      </w:r>
      <w:r w:rsidRPr="00AE2AB2">
        <w:rPr>
          <w:lang w:val="fr-FR"/>
        </w:rPr>
        <w:t>composants</w:t>
      </w:r>
      <w:r>
        <w:rPr>
          <w:lang w:val="fr-FR"/>
        </w:rPr>
        <w:t xml:space="preserve"> </w:t>
      </w:r>
      <w:r w:rsidRPr="00AE2AB2">
        <w:rPr>
          <w:lang w:val="fr-FR"/>
        </w:rPr>
        <w:t>liés à chacune des fonctions susmentionnées</w:t>
      </w:r>
      <w:r>
        <w:rPr>
          <w:lang w:val="fr-FR"/>
        </w:rPr>
        <w:t xml:space="preserve"> et leurs caractéristiques essentielles</w:t>
      </w:r>
      <w:r w:rsidR="0081129A" w:rsidRPr="0081129A">
        <w:rPr>
          <w:lang w:val="fr-FR"/>
        </w:rPr>
        <w:t>.</w:t>
      </w:r>
      <w:bookmarkEnd w:id="0"/>
    </w:p>
    <w:p w14:paraId="52D17935" w14:textId="0CBE138B" w:rsidR="00876E9B" w:rsidRPr="00AE2AB2" w:rsidRDefault="00876E9B" w:rsidP="00876E9B">
      <w:pPr>
        <w:pStyle w:val="SingleTxtG"/>
        <w:rPr>
          <w:lang w:val="fr-FR"/>
        </w:rPr>
      </w:pPr>
      <w:r>
        <w:rPr>
          <w:lang w:val="fr-FR"/>
        </w:rPr>
        <w:t>6</w:t>
      </w:r>
      <w:r w:rsidR="0081129A" w:rsidRPr="0081129A">
        <w:rPr>
          <w:lang w:val="fr-FR"/>
        </w:rPr>
        <w:t>.</w:t>
      </w:r>
      <w:r>
        <w:rPr>
          <w:lang w:val="fr-FR"/>
        </w:rPr>
        <w:tab/>
      </w:r>
      <w:proofErr w:type="spellStart"/>
      <w:r w:rsidRPr="00AE2AB2">
        <w:rPr>
          <w:lang w:val="fr-FR"/>
        </w:rPr>
        <w:t>Transfrigoroute</w:t>
      </w:r>
      <w:proofErr w:type="spellEnd"/>
      <w:r w:rsidRPr="00AE2AB2">
        <w:rPr>
          <w:lang w:val="fr-FR"/>
        </w:rPr>
        <w:t xml:space="preserve"> International</w:t>
      </w:r>
      <w:r>
        <w:rPr>
          <w:lang w:val="fr-FR"/>
        </w:rPr>
        <w:t xml:space="preserve"> suggère que ces listes soient ajoutées à la fin des </w:t>
      </w:r>
      <w:r w:rsidRPr="00AE2AB2">
        <w:rPr>
          <w:lang w:val="fr-FR"/>
        </w:rPr>
        <w:t>modèles n</w:t>
      </w:r>
      <w:r w:rsidRPr="00AE2AB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2AB2">
        <w:rPr>
          <w:lang w:val="fr-FR"/>
        </w:rPr>
        <w:t>1</w:t>
      </w:r>
      <w:r>
        <w:rPr>
          <w:lang w:val="fr-FR"/>
        </w:rPr>
        <w:t> </w:t>
      </w:r>
      <w:r w:rsidRPr="00AE2AB2">
        <w:rPr>
          <w:lang w:val="fr-FR"/>
        </w:rPr>
        <w:t>A et n</w:t>
      </w:r>
      <w:r w:rsidRPr="00AE2AB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2AB2">
        <w:rPr>
          <w:lang w:val="fr-FR"/>
        </w:rPr>
        <w:t>12</w:t>
      </w:r>
      <w:r>
        <w:rPr>
          <w:lang w:val="fr-FR"/>
        </w:rPr>
        <w:t xml:space="preserve"> pour servir de synthèse et de référence des principaux composants et de leurs caractéristiques</w:t>
      </w:r>
      <w:r w:rsidR="0081129A" w:rsidRPr="0081129A">
        <w:rPr>
          <w:lang w:val="fr-FR"/>
        </w:rPr>
        <w:t>.</w:t>
      </w:r>
    </w:p>
    <w:p w14:paraId="7A9035C5" w14:textId="3E00F000" w:rsidR="00876E9B" w:rsidRDefault="00876E9B" w:rsidP="00321FF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>
        <w:rPr>
          <w:lang w:val="fr-FR"/>
        </w:rPr>
        <w:t>•</w:t>
      </w:r>
      <w:r>
        <w:rPr>
          <w:lang w:val="fr-FR"/>
        </w:rPr>
        <w:tab/>
      </w:r>
      <w:r w:rsidRPr="00B21337">
        <w:rPr>
          <w:lang w:val="fr-FR"/>
        </w:rPr>
        <w:t>Liste des principaux composants liés à la source d</w:t>
      </w:r>
      <w:r>
        <w:rPr>
          <w:lang w:val="fr-FR"/>
        </w:rPr>
        <w:t>’</w:t>
      </w:r>
      <w:r w:rsidRPr="00B21337">
        <w:rPr>
          <w:lang w:val="fr-FR"/>
        </w:rPr>
        <w:t>énergie (</w:t>
      </w:r>
      <w:r>
        <w:rPr>
          <w:lang w:val="fr-FR"/>
        </w:rPr>
        <w:t>à ajouter à la fin du</w:t>
      </w:r>
      <w:r w:rsidRPr="00B21337">
        <w:rPr>
          <w:lang w:val="fr-FR"/>
        </w:rPr>
        <w:t xml:space="preserve"> modèle n</w:t>
      </w:r>
      <w:r w:rsidRPr="00B2133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21337">
        <w:rPr>
          <w:lang w:val="fr-FR"/>
        </w:rPr>
        <w:t>12)</w:t>
      </w:r>
    </w:p>
    <w:p w14:paraId="096BB158" w14:textId="77777777" w:rsidR="00876E9B" w:rsidRPr="00B21337" w:rsidRDefault="00876E9B" w:rsidP="00321FFF">
      <w:pPr>
        <w:pStyle w:val="Bullet1G"/>
        <w:keepNext/>
        <w:keepLines/>
        <w:numPr>
          <w:ilvl w:val="0"/>
          <w:numId w:val="0"/>
        </w:numPr>
        <w:ind w:left="1559"/>
        <w:rPr>
          <w:lang w:val="fr-FR"/>
        </w:rPr>
      </w:pPr>
      <w:r>
        <w:rPr>
          <w:lang w:val="fr-FR"/>
        </w:rPr>
        <w:lastRenderedPageBreak/>
        <w:t xml:space="preserve">Compte tenu du rythme auquel se développent de nombreuses sources d’énergie alternatives destinées à alimenter les véhicules, y compris l’énergie électrique, </w:t>
      </w:r>
      <w:proofErr w:type="spellStart"/>
      <w:r w:rsidRPr="00AE2AB2">
        <w:rPr>
          <w:lang w:val="fr-FR"/>
        </w:rPr>
        <w:t>Transfrigoroute</w:t>
      </w:r>
      <w:proofErr w:type="spellEnd"/>
      <w:r w:rsidRPr="00AE2AB2">
        <w:rPr>
          <w:lang w:val="fr-FR"/>
        </w:rPr>
        <w:t xml:space="preserve"> International</w:t>
      </w:r>
      <w:r>
        <w:rPr>
          <w:lang w:val="fr-FR"/>
        </w:rPr>
        <w:t xml:space="preserve"> propose d’adapter la liste des principaux composants et caractéristiques liés à la source d’énergie comme suit :</w:t>
      </w:r>
    </w:p>
    <w:p w14:paraId="037F2A4E" w14:textId="77777777" w:rsidR="00876E9B" w:rsidRPr="00AE2AB2" w:rsidRDefault="00876E9B" w:rsidP="00876E9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2AB2">
        <w:rPr>
          <w:lang w:val="fr-FR"/>
        </w:rPr>
        <w:t>Tableau 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91"/>
        <w:gridCol w:w="777"/>
      </w:tblGrid>
      <w:tr w:rsidR="00876E9B" w:rsidRPr="00B21337" w14:paraId="7F63BD82" w14:textId="77777777" w:rsidTr="00DB0A15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6A1B1" w14:textId="77777777" w:rsidR="00876E9B" w:rsidRPr="00B21337" w:rsidRDefault="00876E9B" w:rsidP="00DB0A15">
            <w:pPr>
              <w:keepNext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Entraînement du compresseur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5D55A" w14:textId="77777777" w:rsidR="00876E9B" w:rsidRPr="00B21337" w:rsidRDefault="00876E9B" w:rsidP="00DB0A15">
            <w:pPr>
              <w:keepNext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068D32" w14:textId="77777777" w:rsidR="00876E9B" w:rsidRPr="00B21337" w:rsidRDefault="00876E9B" w:rsidP="00DB0A15">
            <w:pPr>
              <w:keepNext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B21337">
              <w:rPr>
                <w:i/>
                <w:sz w:val="16"/>
                <w:lang w:val="fr-FR"/>
              </w:rPr>
              <w:t> </w:t>
            </w:r>
          </w:p>
        </w:tc>
      </w:tr>
      <w:tr w:rsidR="00876E9B" w:rsidRPr="00B21337" w14:paraId="3B5B8ACB" w14:textId="77777777" w:rsidTr="00DB0A15">
        <w:trPr>
          <w:trHeight w:hRule="exact" w:val="113"/>
          <w:tblHeader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06A184B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132B6A8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1963AD3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</w:tr>
      <w:tr w:rsidR="00876E9B" w:rsidRPr="00B21337" w14:paraId="4C0CBF47" w14:textId="77777777" w:rsidTr="00DB0A1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41E854EE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Source d’énergie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090EF75F" w14:textId="77777777" w:rsidR="00876E9B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  <w:p w14:paraId="1E34A0E0" w14:textId="29E5E199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 de courant (alternatif/continu)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40C6F0A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7364F619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2012EF2C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16E1F70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  <w:r>
              <w:rPr>
                <w:lang w:val="fr-FR"/>
              </w:rPr>
              <w:t xml:space="preserve"> de sortie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8B8C4DC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kW</w:t>
            </w:r>
          </w:p>
        </w:tc>
      </w:tr>
      <w:tr w:rsidR="00876E9B" w:rsidRPr="00B21337" w14:paraId="61F624AB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0342168B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96796E9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61515E8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876E9B" w:rsidRPr="00B21337" w14:paraId="655A56C0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3AE9A796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30CEFBD0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Tension d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alimentation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0F9F17A2" w14:textId="77777777" w:rsidR="00876E9B" w:rsidRPr="00B21337" w:rsidRDefault="00876E9B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</w:t>
            </w:r>
          </w:p>
        </w:tc>
      </w:tr>
      <w:tr w:rsidR="00876E9B" w:rsidRPr="00B21337" w14:paraId="69D8C049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55BEE6B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7A66BC1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Fréquence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6807A17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Hz</w:t>
            </w:r>
          </w:p>
        </w:tc>
      </w:tr>
      <w:tr w:rsidR="00876E9B" w:rsidRPr="00B21337" w14:paraId="08F25C6A" w14:textId="77777777" w:rsidTr="00DB0A15">
        <w:tc>
          <w:tcPr>
            <w:tcW w:w="3402" w:type="dxa"/>
            <w:vMerge w:val="restart"/>
            <w:shd w:val="clear" w:color="auto" w:fill="auto"/>
            <w:hideMark/>
          </w:tcPr>
          <w:p w14:paraId="3B559AFE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Moteur thermique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5E27E062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AD7EED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1F3EDFE2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54D00BB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4C5EA168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cylindres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562ED84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7792EB14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4A1FAF67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3C98D524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Cylindrée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E358DE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cc</w:t>
            </w:r>
          </w:p>
        </w:tc>
      </w:tr>
      <w:tr w:rsidR="00876E9B" w:rsidRPr="00B21337" w14:paraId="119345E9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5A5155A0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7D4EC29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  <w:r>
              <w:rPr>
                <w:lang w:val="fr-FR"/>
              </w:rPr>
              <w:t xml:space="preserve"> de sortie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18C61DD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kW</w:t>
            </w:r>
          </w:p>
        </w:tc>
      </w:tr>
      <w:tr w:rsidR="00876E9B" w:rsidRPr="00B21337" w14:paraId="349F007B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59EDC154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111E8A8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BB472A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876E9B" w:rsidRPr="00B21337" w14:paraId="59DB4043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52E22EA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4A255AF8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Carburant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61FB7C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0BC16FEE" w14:textId="77777777" w:rsidTr="00DB0A1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4B3D2FC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Moteur hydraulique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055F5657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580080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4B9C0A43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16EFC07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06B6BE18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2BA748AE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4CE0942D" w14:textId="77777777" w:rsidTr="00DB0A1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3C42780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Alternateur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5D031CD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B75AFA8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5D3AB6B6" w14:textId="77777777" w:rsidTr="00DB0A15">
        <w:tc>
          <w:tcPr>
            <w:tcW w:w="3402" w:type="dxa"/>
            <w:vMerge/>
            <w:shd w:val="clear" w:color="auto" w:fill="auto"/>
            <w:hideMark/>
          </w:tcPr>
          <w:p w14:paraId="5EA15B8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6F40904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AEBA58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0D12790A" w14:textId="77777777" w:rsidTr="00DB0A1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30804F91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Autre installation mécanique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4579334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5B1478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876E9B" w:rsidRPr="00B21337" w14:paraId="06779A70" w14:textId="77777777" w:rsidTr="00DB0A15"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18BA2A6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8FAA7D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minimale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305897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</w:tbl>
    <w:p w14:paraId="356C6600" w14:textId="75F5725D" w:rsidR="00876E9B" w:rsidRDefault="00876E9B" w:rsidP="00876E9B">
      <w:pPr>
        <w:spacing w:before="120" w:after="120"/>
        <w:ind w:left="1134" w:right="1134"/>
        <w:rPr>
          <w:lang w:val="fr-FR"/>
        </w:rPr>
      </w:pPr>
      <w:r>
        <w:rPr>
          <w:lang w:val="fr-FR"/>
        </w:rPr>
        <w:t>Note : il est entendu que chaque composant ou caractéristique n’est à prendre en compte que s’il est applicable</w:t>
      </w:r>
      <w:r w:rsidR="0081129A" w:rsidRPr="0081129A">
        <w:rPr>
          <w:lang w:val="fr-FR"/>
        </w:rPr>
        <w:t>.</w:t>
      </w:r>
    </w:p>
    <w:p w14:paraId="1A91D806" w14:textId="77777777" w:rsidR="00876E9B" w:rsidRPr="00A017DC" w:rsidRDefault="00876E9B" w:rsidP="00876E9B">
      <w:pPr>
        <w:pStyle w:val="Bullet1G"/>
        <w:numPr>
          <w:ilvl w:val="0"/>
          <w:numId w:val="0"/>
        </w:numPr>
        <w:tabs>
          <w:tab w:val="left" w:pos="1701"/>
        </w:tabs>
        <w:spacing w:after="240"/>
        <w:ind w:left="1701" w:hanging="170"/>
        <w:rPr>
          <w:lang w:val="fr-FR"/>
        </w:rPr>
      </w:pPr>
      <w:r w:rsidRPr="00A017DC">
        <w:rPr>
          <w:lang w:val="fr-FR"/>
        </w:rPr>
        <w:t>•</w:t>
      </w:r>
      <w:r w:rsidRPr="00A017DC">
        <w:rPr>
          <w:lang w:val="fr-FR"/>
        </w:rPr>
        <w:tab/>
      </w:r>
      <w:r w:rsidRPr="00B21337">
        <w:rPr>
          <w:lang w:val="fr-FR"/>
        </w:rPr>
        <w:t xml:space="preserve">Liste des principaux composants liés à la production </w:t>
      </w:r>
      <w:r>
        <w:rPr>
          <w:lang w:val="fr-FR"/>
        </w:rPr>
        <w:t>et à la distribution du froid ou de la chaleur (à ajouter à la fin du</w:t>
      </w:r>
      <w:r w:rsidRPr="00B21337">
        <w:rPr>
          <w:lang w:val="fr-FR"/>
        </w:rPr>
        <w:t xml:space="preserve"> modèle n</w:t>
      </w:r>
      <w:r w:rsidRPr="00B21337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21337">
        <w:rPr>
          <w:lang w:val="fr-FR"/>
        </w:rPr>
        <w:t>12)</w:t>
      </w:r>
    </w:p>
    <w:p w14:paraId="411A78E5" w14:textId="77777777" w:rsidR="00B65406" w:rsidRDefault="00B6540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lang w:val="fr-FR"/>
        </w:rPr>
      </w:pPr>
      <w:r>
        <w:rPr>
          <w:lang w:val="fr-FR"/>
        </w:rPr>
        <w:br w:type="page"/>
      </w:r>
    </w:p>
    <w:p w14:paraId="50B1AE48" w14:textId="25E79A62" w:rsidR="00876E9B" w:rsidRPr="00CC04AD" w:rsidRDefault="00876E9B" w:rsidP="00876E9B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AE2AB2">
        <w:rPr>
          <w:lang w:val="fr-FR"/>
        </w:rPr>
        <w:t>Tableau 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3317"/>
        <w:gridCol w:w="1646"/>
      </w:tblGrid>
      <w:tr w:rsidR="00876E9B" w:rsidRPr="00B21337" w14:paraId="237E4699" w14:textId="77777777" w:rsidTr="00DB0A15">
        <w:tc>
          <w:tcPr>
            <w:tcW w:w="24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B77DA5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Agent frigorigène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013CA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Fluide frigorigène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810A8A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876E9B" w:rsidRPr="00B21337" w14:paraId="54D920F0" w14:textId="77777777" w:rsidTr="00DB0A15">
        <w:tc>
          <w:tcPr>
            <w:tcW w:w="2407" w:type="dxa"/>
            <w:vMerge/>
            <w:shd w:val="clear" w:color="auto" w:fill="auto"/>
            <w:noWrap/>
          </w:tcPr>
          <w:p w14:paraId="3E6715BA" w14:textId="77777777" w:rsidR="00876E9B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</w:tcPr>
          <w:p w14:paraId="13B9589D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Charge de frigorigène</w:t>
            </w:r>
          </w:p>
        </w:tc>
        <w:tc>
          <w:tcPr>
            <w:tcW w:w="1646" w:type="dxa"/>
            <w:shd w:val="clear" w:color="auto" w:fill="auto"/>
            <w:noWrap/>
          </w:tcPr>
          <w:p w14:paraId="488942E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kg</w:t>
            </w:r>
          </w:p>
        </w:tc>
      </w:tr>
      <w:tr w:rsidR="00876E9B" w:rsidRPr="00B21337" w14:paraId="4CFD28CB" w14:textId="77777777" w:rsidTr="00DB0A15">
        <w:tc>
          <w:tcPr>
            <w:tcW w:w="2407" w:type="dxa"/>
            <w:vMerge w:val="restart"/>
            <w:shd w:val="clear" w:color="auto" w:fill="auto"/>
            <w:noWrap/>
            <w:hideMark/>
          </w:tcPr>
          <w:p w14:paraId="28D182C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Compresseur</w:t>
            </w:r>
          </w:p>
        </w:tc>
        <w:tc>
          <w:tcPr>
            <w:tcW w:w="3317" w:type="dxa"/>
            <w:shd w:val="clear" w:color="auto" w:fill="auto"/>
            <w:noWrap/>
            <w:hideMark/>
          </w:tcPr>
          <w:p w14:paraId="08932C91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11217E7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7502B2C1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2712C8DE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16B0AD50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cylindres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12F5A68A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3410C68E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03907FE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5987F9C4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Cylindrée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5085B22A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cc</w:t>
            </w:r>
          </w:p>
        </w:tc>
      </w:tr>
      <w:tr w:rsidR="00876E9B" w:rsidRPr="00B21337" w14:paraId="3960A009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029E1280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053874F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Vitesse nominale de rotation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61EC17F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tr/min</w:t>
            </w:r>
          </w:p>
        </w:tc>
      </w:tr>
      <w:tr w:rsidR="00876E9B" w:rsidRPr="00B21337" w14:paraId="297E537B" w14:textId="77777777" w:rsidTr="00DB0A15">
        <w:tc>
          <w:tcPr>
            <w:tcW w:w="2407" w:type="dxa"/>
            <w:vMerge w:val="restart"/>
            <w:shd w:val="clear" w:color="auto" w:fill="auto"/>
            <w:hideMark/>
          </w:tcPr>
          <w:p w14:paraId="4AE85C1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Échangeurs </w:t>
            </w:r>
            <w:r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Condenseur </w:t>
            </w:r>
            <w:r>
              <w:rPr>
                <w:lang w:val="fr-FR"/>
              </w:rPr>
              <w:br/>
            </w:r>
            <w:r w:rsidRPr="00B21337">
              <w:rPr>
                <w:lang w:val="fr-FR"/>
              </w:rPr>
              <w:t>Évaporateur(s)</w:t>
            </w:r>
          </w:p>
        </w:tc>
        <w:tc>
          <w:tcPr>
            <w:tcW w:w="3317" w:type="dxa"/>
            <w:shd w:val="clear" w:color="auto" w:fill="auto"/>
            <w:noWrap/>
            <w:hideMark/>
          </w:tcPr>
          <w:p w14:paraId="4F221B5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6A7F1CB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6A037137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6E5560D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5C70D2B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de tubes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6F4FF8A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1CC16EB1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211B34B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2BC1C28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Pas des ailettes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43513094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mm</w:t>
            </w:r>
          </w:p>
        </w:tc>
      </w:tr>
      <w:tr w:rsidR="00876E9B" w:rsidRPr="00B21337" w14:paraId="25823455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43C0365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3FF2AB9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Nature du tube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5BAD617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4755F2F7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0F1E69A3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1CC75401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Diamètre du tube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25EE704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mm</w:t>
            </w:r>
          </w:p>
        </w:tc>
      </w:tr>
      <w:tr w:rsidR="00876E9B" w:rsidRPr="00B21337" w14:paraId="79590407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4756B6C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64AF1AAE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d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échange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2C9F6100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876E9B" w:rsidRPr="00B21337" w14:paraId="6733B57F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66FC883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01036434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frontale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7A27E2C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B65406" w:rsidRPr="00B21337" w14:paraId="79C18AAF" w14:textId="77777777" w:rsidTr="00DB0A15">
        <w:tc>
          <w:tcPr>
            <w:tcW w:w="2407" w:type="dxa"/>
            <w:shd w:val="clear" w:color="auto" w:fill="auto"/>
          </w:tcPr>
          <w:p w14:paraId="60A86107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</w:tcPr>
          <w:p w14:paraId="369F354A" w14:textId="52C3053E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</w:t>
            </w:r>
          </w:p>
        </w:tc>
        <w:tc>
          <w:tcPr>
            <w:tcW w:w="1646" w:type="dxa"/>
            <w:shd w:val="clear" w:color="auto" w:fill="auto"/>
            <w:noWrap/>
          </w:tcPr>
          <w:p w14:paraId="14CC395E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B65406" w:rsidRPr="00B21337" w14:paraId="7B4A8A0A" w14:textId="77777777" w:rsidTr="00DB0A15">
        <w:tc>
          <w:tcPr>
            <w:tcW w:w="2407" w:type="dxa"/>
            <w:vMerge w:val="restart"/>
            <w:shd w:val="clear" w:color="auto" w:fill="auto"/>
            <w:hideMark/>
          </w:tcPr>
          <w:p w14:paraId="45C6C059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Échangeurs</w:t>
            </w:r>
            <w:r>
              <w:rPr>
                <w:lang w:val="fr-FR"/>
              </w:rPr>
              <w:t xml:space="preserve"> </w:t>
            </w:r>
            <w:r w:rsidRPr="00B21337">
              <w:rPr>
                <w:lang w:val="fr-FR"/>
              </w:rPr>
              <w:t xml:space="preserve">Ventilateurs </w:t>
            </w:r>
            <w:r>
              <w:rPr>
                <w:lang w:val="fr-FR"/>
              </w:rPr>
              <w:br/>
            </w:r>
            <w:r w:rsidRPr="00B21337">
              <w:rPr>
                <w:lang w:val="fr-FR"/>
              </w:rPr>
              <w:t xml:space="preserve">Condenseur </w:t>
            </w:r>
            <w:r>
              <w:rPr>
                <w:lang w:val="fr-FR"/>
              </w:rPr>
              <w:br/>
            </w:r>
            <w:r w:rsidRPr="00B21337">
              <w:rPr>
                <w:lang w:val="fr-FR"/>
              </w:rPr>
              <w:t>Évaporateur(s)</w:t>
            </w:r>
          </w:p>
        </w:tc>
        <w:tc>
          <w:tcPr>
            <w:tcW w:w="3317" w:type="dxa"/>
            <w:shd w:val="clear" w:color="auto" w:fill="auto"/>
            <w:noWrap/>
            <w:hideMark/>
          </w:tcPr>
          <w:p w14:paraId="74CDEFCB" w14:textId="75CB8988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Type (axial/radial)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1B753A4E" w14:textId="63531858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B65406" w:rsidRPr="00B21337" w14:paraId="5D2B3302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759E9B50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60B94BAA" w14:textId="11486D35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Nombre de pales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3F989F7C" w14:textId="5E966945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B65406" w:rsidRPr="00B21337" w14:paraId="6AF6FCA1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5D50C132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7E108376" w14:textId="0B6A8AAC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Diamètre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5A904013" w14:textId="416AEC65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mm</w:t>
            </w:r>
          </w:p>
        </w:tc>
      </w:tr>
      <w:tr w:rsidR="00B65406" w:rsidRPr="00B21337" w14:paraId="1DD6CE4E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2046A3A0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510003C5" w14:textId="7C61B0E5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Puissance nominale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089D83D2" w14:textId="17EFFD22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W</w:t>
            </w:r>
          </w:p>
        </w:tc>
      </w:tr>
      <w:tr w:rsidR="00B65406" w:rsidRPr="00B21337" w14:paraId="7C47BB89" w14:textId="77777777" w:rsidTr="00DB0A15">
        <w:tc>
          <w:tcPr>
            <w:tcW w:w="2407" w:type="dxa"/>
            <w:vMerge/>
            <w:shd w:val="clear" w:color="auto" w:fill="auto"/>
            <w:hideMark/>
          </w:tcPr>
          <w:p w14:paraId="54B556F5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4BD5DFED" w14:textId="49C8B1AF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Débit total nominal sous une pression définie ou </w:t>
            </w:r>
            <w:r>
              <w:rPr>
                <w:lang w:val="fr-FR"/>
              </w:rPr>
              <w:br/>
            </w:r>
            <w:r w:rsidRPr="00B21337">
              <w:rPr>
                <w:lang w:val="fr-FR"/>
              </w:rPr>
              <w:t>Vitesse nominale de rotation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66FC68A7" w14:textId="6DAE30AF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(m</w:t>
            </w:r>
            <w:r w:rsidRPr="00B21337">
              <w:rPr>
                <w:vertAlign w:val="superscript"/>
                <w:lang w:val="fr-FR"/>
              </w:rPr>
              <w:t>3</w:t>
            </w:r>
            <w:r w:rsidRPr="00B21337">
              <w:rPr>
                <w:lang w:val="fr-FR"/>
              </w:rPr>
              <w:t xml:space="preserve">/h)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  <w:r w:rsidRPr="00B21337">
              <w:rPr>
                <w:lang w:val="fr-FR"/>
              </w:rPr>
              <w:t>tr/min</w:t>
            </w:r>
          </w:p>
        </w:tc>
      </w:tr>
      <w:tr w:rsidR="00B65406" w:rsidRPr="00B21337" w14:paraId="0076DEB6" w14:textId="77777777" w:rsidTr="00B65406">
        <w:tc>
          <w:tcPr>
            <w:tcW w:w="2407" w:type="dxa"/>
            <w:vMerge/>
            <w:shd w:val="clear" w:color="auto" w:fill="auto"/>
            <w:hideMark/>
          </w:tcPr>
          <w:p w14:paraId="66F2740C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hideMark/>
          </w:tcPr>
          <w:p w14:paraId="7E5AE52B" w14:textId="39198DF8" w:rsidR="00B65406" w:rsidRPr="00B21337" w:rsidRDefault="00B65406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Entraînement</w:t>
            </w:r>
          </w:p>
        </w:tc>
        <w:tc>
          <w:tcPr>
            <w:tcW w:w="1646" w:type="dxa"/>
            <w:shd w:val="clear" w:color="auto" w:fill="auto"/>
            <w:hideMark/>
          </w:tcPr>
          <w:p w14:paraId="0016A9A5" w14:textId="4A503887" w:rsidR="00B65406" w:rsidRPr="00B21337" w:rsidRDefault="00B65406" w:rsidP="00DB0A15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B65406" w:rsidRPr="00B21337" w14:paraId="1AAED201" w14:textId="77777777" w:rsidTr="00B65406">
        <w:tc>
          <w:tcPr>
            <w:tcW w:w="2407" w:type="dxa"/>
            <w:vMerge/>
            <w:shd w:val="clear" w:color="auto" w:fill="auto"/>
            <w:hideMark/>
          </w:tcPr>
          <w:p w14:paraId="6B4A8F55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317" w:type="dxa"/>
            <w:shd w:val="clear" w:color="auto" w:fill="auto"/>
            <w:noWrap/>
            <w:hideMark/>
          </w:tcPr>
          <w:p w14:paraId="2669A59C" w14:textId="38EC525F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Type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3E032BA9" w14:textId="4E3B08AD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B65406" w:rsidRPr="00B21337" w14:paraId="0115F719" w14:textId="77777777" w:rsidTr="00B65406">
        <w:tc>
          <w:tcPr>
            <w:tcW w:w="240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FBB4183" w14:textId="77777777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Détendeur</w:t>
            </w:r>
          </w:p>
        </w:tc>
        <w:tc>
          <w:tcPr>
            <w:tcW w:w="3317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DCD0D91" w14:textId="543CB81A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E8E3863" w14:textId="76B68C99" w:rsidR="00B65406" w:rsidRPr="00B21337" w:rsidRDefault="00B65406" w:rsidP="00DB0A15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3D3F8600" w14:textId="522E297D" w:rsidR="00876E9B" w:rsidRPr="0017211B" w:rsidRDefault="00876E9B" w:rsidP="00876E9B">
      <w:pPr>
        <w:spacing w:before="120" w:after="120"/>
        <w:ind w:left="1134" w:right="1134"/>
        <w:rPr>
          <w:sz w:val="18"/>
          <w:szCs w:val="18"/>
          <w:lang w:val="fr-FR"/>
        </w:rPr>
      </w:pPr>
      <w:r>
        <w:rPr>
          <w:lang w:val="fr-FR"/>
        </w:rPr>
        <w:t>Note : il est entendu que chaque composant ou caractéristique n’est à prendre en compte que s’il est applicable</w:t>
      </w:r>
      <w:r w:rsidR="0081129A" w:rsidRPr="0081129A">
        <w:rPr>
          <w:lang w:val="fr-FR"/>
        </w:rPr>
        <w:t>.</w:t>
      </w:r>
    </w:p>
    <w:p w14:paraId="2137BE88" w14:textId="18F74454" w:rsidR="00876E9B" w:rsidRDefault="00876E9B" w:rsidP="00876E9B">
      <w:pPr>
        <w:pStyle w:val="Bullet1G"/>
        <w:rPr>
          <w:lang w:val="fr-FR"/>
        </w:rPr>
      </w:pPr>
      <w:r w:rsidRPr="00BB5333">
        <w:rPr>
          <w:lang w:val="fr-FR"/>
        </w:rPr>
        <w:t>Liste des principaux composants liés à l</w:t>
      </w:r>
      <w:r>
        <w:rPr>
          <w:lang w:val="fr-FR"/>
        </w:rPr>
        <w:t>’</w:t>
      </w:r>
      <w:r w:rsidRPr="00BB5333">
        <w:rPr>
          <w:lang w:val="fr-FR"/>
        </w:rPr>
        <w:t>isolation</w:t>
      </w:r>
      <w:r w:rsidR="00A521C1">
        <w:rPr>
          <w:lang w:val="fr-FR"/>
        </w:rPr>
        <w:t xml:space="preserve"> </w:t>
      </w:r>
      <w:r w:rsidRPr="008264BF">
        <w:rPr>
          <w:lang w:val="fr-FR"/>
        </w:rPr>
        <w:t>(selon le modèle n</w:t>
      </w:r>
      <w:r w:rsidRPr="008264B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8264BF">
        <w:rPr>
          <w:lang w:val="fr-FR"/>
        </w:rPr>
        <w:t>1</w:t>
      </w:r>
      <w:r>
        <w:rPr>
          <w:lang w:val="fr-FR"/>
        </w:rPr>
        <w:t> </w:t>
      </w:r>
      <w:r w:rsidRPr="008264BF">
        <w:rPr>
          <w:lang w:val="fr-FR"/>
        </w:rPr>
        <w:t>A de l</w:t>
      </w:r>
      <w:r>
        <w:rPr>
          <w:lang w:val="fr-FR"/>
        </w:rPr>
        <w:t>’</w:t>
      </w:r>
      <w:r w:rsidRPr="008264BF">
        <w:rPr>
          <w:lang w:val="fr-FR"/>
        </w:rPr>
        <w:t>appendice 2 de l</w:t>
      </w:r>
      <w:r>
        <w:rPr>
          <w:lang w:val="fr-FR"/>
        </w:rPr>
        <w:t>’</w:t>
      </w:r>
      <w:r w:rsidRPr="008264BF">
        <w:rPr>
          <w:lang w:val="fr-FR"/>
        </w:rPr>
        <w:t>annexe 1)</w:t>
      </w:r>
    </w:p>
    <w:p w14:paraId="52956325" w14:textId="77777777" w:rsidR="00B65406" w:rsidRDefault="00B6540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lang w:val="fr-FR"/>
        </w:rPr>
      </w:pPr>
      <w:r>
        <w:rPr>
          <w:lang w:val="fr-FR"/>
        </w:rPr>
        <w:br w:type="page"/>
      </w:r>
    </w:p>
    <w:p w14:paraId="490480DF" w14:textId="4E8EAD26" w:rsidR="00876E9B" w:rsidRPr="00AE2AB2" w:rsidRDefault="00876E9B" w:rsidP="00876E9B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AE2AB2">
        <w:rPr>
          <w:lang w:val="fr-FR"/>
        </w:rPr>
        <w:t>Tableau</w:t>
      </w:r>
      <w:r>
        <w:rPr>
          <w:lang w:val="fr-FR"/>
        </w:rPr>
        <w:t>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4326"/>
        <w:gridCol w:w="548"/>
      </w:tblGrid>
      <w:tr w:rsidR="00876E9B" w:rsidRPr="00B21337" w14:paraId="35A078FC" w14:textId="77777777" w:rsidTr="00DB0A15"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CD0C0CE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Dimensions principales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8177D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totale intérieure des parois de la caisse S</w:t>
            </w:r>
            <w:r w:rsidRPr="00B21337">
              <w:rPr>
                <w:vertAlign w:val="subscript"/>
                <w:lang w:val="fr-FR"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DFB7F2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876E9B" w:rsidRPr="00B21337" w14:paraId="1C21F6D0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684E2C9E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1A1297C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Surface totale extérieure des parois de la caisse S</w:t>
            </w:r>
            <w:r>
              <w:rPr>
                <w:vertAlign w:val="subscript"/>
                <w:lang w:val="fr-FR"/>
              </w:rPr>
              <w:t>e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5655296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m</w:t>
            </w:r>
            <w:r w:rsidRPr="00B21337">
              <w:rPr>
                <w:vertAlign w:val="superscript"/>
                <w:lang w:val="fr-FR"/>
              </w:rPr>
              <w:t>2</w:t>
            </w:r>
          </w:p>
        </w:tc>
      </w:tr>
      <w:tr w:rsidR="00876E9B" w:rsidRPr="00B21337" w14:paraId="492A1386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5E064B5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Spécifications des parois de la </w:t>
            </w:r>
            <w:proofErr w:type="spellStart"/>
            <w:r w:rsidRPr="00B21337">
              <w:rPr>
                <w:lang w:val="fr-FR"/>
              </w:rPr>
              <w:t>caisse</w:t>
            </w:r>
            <w:r w:rsidRPr="00B21337">
              <w:rPr>
                <w:i/>
                <w:iCs/>
                <w:sz w:val="18"/>
                <w:szCs w:val="18"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4326" w:type="dxa"/>
            <w:shd w:val="clear" w:color="auto" w:fill="auto"/>
            <w:noWrap/>
            <w:hideMark/>
          </w:tcPr>
          <w:p w14:paraId="3285819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Toiture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46C9DCD8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1CFE2969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6E3BD956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090DBA6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Plancher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6EB47BC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27C2724D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5D8774FD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309FF191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Parois latérales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0303117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788BFAA9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69A7CCEA" w14:textId="16FE318B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Particularités de structure de</w:t>
            </w:r>
            <w:r w:rsidR="00A521C1">
              <w:rPr>
                <w:lang w:val="fr-FR"/>
              </w:rPr>
              <w:t> </w:t>
            </w:r>
            <w:r w:rsidRPr="00B21337">
              <w:rPr>
                <w:lang w:val="fr-FR"/>
              </w:rPr>
              <w:t>la caisse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656D0ECA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Nombre, emplacement et dimensions des portes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23DD36CC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76EA6796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2D1C1B5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2A51621F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Nombre, emplacement et dimensions des volets d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aération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0F2E1BBA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551F6FCD" w14:textId="77777777" w:rsidTr="00DB0A15">
        <w:tc>
          <w:tcPr>
            <w:tcW w:w="2496" w:type="dxa"/>
            <w:shd w:val="clear" w:color="auto" w:fill="auto"/>
            <w:noWrap/>
            <w:hideMark/>
          </w:tcPr>
          <w:p w14:paraId="1994EE77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018D0035" w14:textId="39DAA738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Nombre, emplacement et dimensions des orifices de</w:t>
            </w:r>
            <w:r w:rsidR="00A521C1">
              <w:rPr>
                <w:lang w:val="fr-FR"/>
              </w:rPr>
              <w:t> </w:t>
            </w:r>
            <w:r w:rsidRPr="00B21337">
              <w:rPr>
                <w:lang w:val="fr-FR"/>
              </w:rPr>
              <w:t>chargement de glace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194DB4D8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  <w:tr w:rsidR="00876E9B" w:rsidRPr="00B21337" w14:paraId="1251DD31" w14:textId="77777777" w:rsidTr="00DB0A15"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210ECB1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 xml:space="preserve">Dispositifs </w:t>
            </w:r>
            <w:proofErr w:type="spellStart"/>
            <w:r w:rsidRPr="00B21337">
              <w:rPr>
                <w:lang w:val="fr-FR"/>
              </w:rPr>
              <w:t>accessoires</w:t>
            </w:r>
            <w:r w:rsidRPr="00B21337">
              <w:rPr>
                <w:i/>
                <w:iCs/>
                <w:sz w:val="18"/>
                <w:szCs w:val="18"/>
                <w:vertAlign w:val="superscript"/>
                <w:lang w:val="fr-FR"/>
              </w:rPr>
              <w:t>b</w:t>
            </w:r>
            <w:proofErr w:type="spellEnd"/>
          </w:p>
        </w:tc>
        <w:tc>
          <w:tcPr>
            <w:tcW w:w="43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E5522F5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Nombre et type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32AF6FB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 </w:t>
            </w:r>
          </w:p>
        </w:tc>
      </w:tr>
    </w:tbl>
    <w:p w14:paraId="699F6AC1" w14:textId="5602E880" w:rsidR="00876E9B" w:rsidRPr="00B21337" w:rsidRDefault="00876E9B" w:rsidP="00876E9B">
      <w:pPr>
        <w:spacing w:before="120"/>
        <w:ind w:left="1134" w:right="1134" w:firstLine="170"/>
        <w:rPr>
          <w:sz w:val="18"/>
          <w:szCs w:val="18"/>
          <w:lang w:val="fr-FR"/>
        </w:rPr>
      </w:pPr>
      <w:r w:rsidRPr="00B21337">
        <w:rPr>
          <w:i/>
          <w:iCs/>
          <w:sz w:val="18"/>
          <w:szCs w:val="18"/>
          <w:vertAlign w:val="superscript"/>
          <w:lang w:val="fr-FR"/>
        </w:rPr>
        <w:t>a</w:t>
      </w:r>
      <w:r w:rsidRPr="00B21337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B21337">
        <w:rPr>
          <w:sz w:val="18"/>
          <w:szCs w:val="18"/>
          <w:lang w:val="fr-FR"/>
        </w:rPr>
        <w:t>Nature et épaisseur des matériaux constituant les parois de la caisse</w:t>
      </w:r>
      <w:r w:rsidR="0081129A" w:rsidRPr="0081129A">
        <w:rPr>
          <w:sz w:val="18"/>
          <w:szCs w:val="18"/>
          <w:lang w:val="fr-FR"/>
        </w:rPr>
        <w:t>.</w:t>
      </w:r>
    </w:p>
    <w:p w14:paraId="23CF52AB" w14:textId="7E06B98E" w:rsidR="00876E9B" w:rsidRDefault="00876E9B" w:rsidP="00876E9B">
      <w:pPr>
        <w:spacing w:after="240"/>
        <w:ind w:left="1134" w:right="1134" w:firstLine="170"/>
        <w:rPr>
          <w:sz w:val="18"/>
          <w:szCs w:val="18"/>
          <w:lang w:val="fr-FR"/>
        </w:rPr>
      </w:pPr>
      <w:r w:rsidRPr="00B21337">
        <w:rPr>
          <w:i/>
          <w:iCs/>
          <w:sz w:val="18"/>
          <w:szCs w:val="18"/>
          <w:vertAlign w:val="superscript"/>
          <w:lang w:val="fr-FR"/>
        </w:rPr>
        <w:t>b</w:t>
      </w:r>
      <w:r w:rsidRPr="00B21337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B21337">
        <w:rPr>
          <w:sz w:val="18"/>
          <w:szCs w:val="18"/>
          <w:lang w:val="fr-FR"/>
        </w:rPr>
        <w:t>Dispositifs accessoires susceptibles d</w:t>
      </w:r>
      <w:r>
        <w:rPr>
          <w:sz w:val="18"/>
          <w:szCs w:val="18"/>
          <w:lang w:val="fr-FR"/>
        </w:rPr>
        <w:t>’</w:t>
      </w:r>
      <w:r w:rsidRPr="00B21337">
        <w:rPr>
          <w:sz w:val="18"/>
          <w:szCs w:val="18"/>
          <w:lang w:val="fr-FR"/>
        </w:rPr>
        <w:t>influer sur le coefficient K</w:t>
      </w:r>
      <w:r w:rsidR="0081129A" w:rsidRPr="0081129A">
        <w:rPr>
          <w:sz w:val="18"/>
          <w:szCs w:val="18"/>
          <w:lang w:val="fr-FR"/>
        </w:rPr>
        <w:t>.</w:t>
      </w:r>
    </w:p>
    <w:p w14:paraId="63A33AD1" w14:textId="7F94B13A" w:rsidR="00876E9B" w:rsidRPr="0017211B" w:rsidRDefault="00876E9B" w:rsidP="00876E9B">
      <w:pPr>
        <w:spacing w:after="240"/>
        <w:ind w:left="1134" w:right="1134"/>
        <w:rPr>
          <w:sz w:val="18"/>
          <w:szCs w:val="18"/>
          <w:lang w:val="fr-FR"/>
        </w:rPr>
      </w:pPr>
      <w:r>
        <w:rPr>
          <w:lang w:val="fr-FR"/>
        </w:rPr>
        <w:t>Note : il est entendu que chaque composant ou caractéristique n’est à prendre en compte que s’il est applicable</w:t>
      </w:r>
      <w:r w:rsidR="0081129A" w:rsidRPr="0081129A">
        <w:rPr>
          <w:lang w:val="fr-FR"/>
        </w:rPr>
        <w:t>.</w:t>
      </w:r>
    </w:p>
    <w:p w14:paraId="0F2D105D" w14:textId="2854DBAA" w:rsidR="00876E9B" w:rsidRPr="00AE2AB2" w:rsidRDefault="00876E9B" w:rsidP="00876E9B">
      <w:pPr>
        <w:pStyle w:val="HChG"/>
        <w:rPr>
          <w:lang w:val="fr-FR"/>
        </w:rPr>
      </w:pPr>
      <w:r w:rsidRPr="00AE2AB2">
        <w:rPr>
          <w:lang w:val="fr-FR"/>
        </w:rPr>
        <w:tab/>
        <w:t>II</w:t>
      </w:r>
      <w:r w:rsidR="0081129A" w:rsidRPr="0081129A">
        <w:rPr>
          <w:lang w:val="fr-FR"/>
        </w:rPr>
        <w:t>.</w:t>
      </w:r>
      <w:r w:rsidRPr="00AE2AB2">
        <w:rPr>
          <w:lang w:val="fr-FR"/>
        </w:rPr>
        <w:tab/>
        <w:t>Justification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902"/>
      </w:tblGrid>
      <w:tr w:rsidR="00876E9B" w:rsidRPr="00B21337" w14:paraId="27E2A52A" w14:textId="77777777" w:rsidTr="00DB0A15"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4ED986AB" w14:textId="77777777" w:rsidR="00876E9B" w:rsidRPr="00B21337" w:rsidRDefault="00876E9B" w:rsidP="00876E9B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Coût</w:t>
            </w:r>
            <w:r>
              <w:rPr>
                <w:lang w:val="fr-FR"/>
              </w:rPr>
              <w:t> </w:t>
            </w:r>
            <w:r w:rsidRPr="00B21337">
              <w:rPr>
                <w:lang w:val="fr-FR"/>
              </w:rPr>
              <w:t>: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auto"/>
          </w:tcPr>
          <w:p w14:paraId="0A102185" w14:textId="77777777" w:rsidR="00876E9B" w:rsidRPr="00B21337" w:rsidRDefault="00876E9B" w:rsidP="00876E9B">
            <w:pPr>
              <w:keepNext/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Aucun</w:t>
            </w:r>
          </w:p>
        </w:tc>
      </w:tr>
      <w:tr w:rsidR="00876E9B" w:rsidRPr="00B21337" w14:paraId="588321CB" w14:textId="77777777" w:rsidTr="00DB0A15">
        <w:tc>
          <w:tcPr>
            <w:tcW w:w="1468" w:type="dxa"/>
            <w:shd w:val="clear" w:color="auto" w:fill="auto"/>
          </w:tcPr>
          <w:p w14:paraId="3CE6F86D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Faisabilité</w:t>
            </w:r>
            <w:r>
              <w:rPr>
                <w:lang w:val="fr-FR"/>
              </w:rPr>
              <w:t> </w:t>
            </w:r>
            <w:r w:rsidRPr="00B21337">
              <w:rPr>
                <w:lang w:val="fr-FR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14:paraId="03D541F9" w14:textId="55FD6D74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La proposition peut aisément être introduite dans l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ATP</w:t>
            </w:r>
            <w:r w:rsidR="0081129A" w:rsidRPr="0081129A">
              <w:rPr>
                <w:lang w:val="fr-FR"/>
              </w:rPr>
              <w:t>.</w:t>
            </w:r>
          </w:p>
          <w:p w14:paraId="27508ECD" w14:textId="62A58FE1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Il</w:t>
            </w:r>
            <w:r>
              <w:rPr>
                <w:lang w:val="fr-FR"/>
              </w:rPr>
              <w:t xml:space="preserve"> </w:t>
            </w:r>
            <w:r w:rsidRPr="00B21337">
              <w:rPr>
                <w:lang w:val="fr-FR"/>
              </w:rPr>
              <w:t>n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est pas nécessaire de prévoir une période de transition</w:t>
            </w:r>
            <w:r w:rsidR="0081129A" w:rsidRPr="0081129A">
              <w:rPr>
                <w:lang w:val="fr-FR"/>
              </w:rPr>
              <w:t>.</w:t>
            </w:r>
          </w:p>
        </w:tc>
      </w:tr>
      <w:tr w:rsidR="00876E9B" w:rsidRPr="00B21337" w14:paraId="633C4385" w14:textId="77777777" w:rsidTr="00DB0A15">
        <w:tc>
          <w:tcPr>
            <w:tcW w:w="1468" w:type="dxa"/>
            <w:shd w:val="clear" w:color="auto" w:fill="auto"/>
          </w:tcPr>
          <w:p w14:paraId="39B441FD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Résultats</w:t>
            </w:r>
            <w:r>
              <w:rPr>
                <w:lang w:val="fr-FR"/>
              </w:rPr>
              <w:t> </w:t>
            </w:r>
            <w:r w:rsidRPr="00B21337">
              <w:rPr>
                <w:lang w:val="fr-FR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14:paraId="53544733" w14:textId="1FCBC86E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Il pourrait être plus facile d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appliquer l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ATP lorsque l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engin dispose de plusieurs sources d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énergie</w:t>
            </w:r>
            <w:r w:rsidR="0081129A" w:rsidRPr="0081129A">
              <w:rPr>
                <w:lang w:val="fr-FR"/>
              </w:rPr>
              <w:t>.</w:t>
            </w:r>
            <w:r w:rsidRPr="00B21337">
              <w:rPr>
                <w:lang w:val="fr-FR"/>
              </w:rPr>
              <w:t xml:space="preserve"> Comme cette situation sera de plus en plus fréquente, il importe de modifier l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ATP</w:t>
            </w:r>
            <w:r w:rsidR="0081129A" w:rsidRPr="0081129A">
              <w:rPr>
                <w:lang w:val="fr-FR"/>
              </w:rPr>
              <w:t>.</w:t>
            </w:r>
          </w:p>
        </w:tc>
      </w:tr>
      <w:tr w:rsidR="00876E9B" w:rsidRPr="00B21337" w14:paraId="3EE5AA9F" w14:textId="77777777" w:rsidTr="00DB0A15"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</w:tcPr>
          <w:p w14:paraId="19F736E9" w14:textId="77777777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Applicabilité :</w:t>
            </w:r>
          </w:p>
        </w:tc>
        <w:tc>
          <w:tcPr>
            <w:tcW w:w="5902" w:type="dxa"/>
            <w:tcBorders>
              <w:bottom w:val="single" w:sz="12" w:space="0" w:color="auto"/>
            </w:tcBorders>
            <w:shd w:val="clear" w:color="auto" w:fill="auto"/>
          </w:tcPr>
          <w:p w14:paraId="3C024A35" w14:textId="6C95E722" w:rsidR="00876E9B" w:rsidRPr="00B21337" w:rsidRDefault="00876E9B" w:rsidP="00DB0A15">
            <w:pPr>
              <w:spacing w:before="40" w:after="120"/>
              <w:ind w:right="113"/>
              <w:rPr>
                <w:lang w:val="fr-FR"/>
              </w:rPr>
            </w:pPr>
            <w:r w:rsidRPr="00B21337">
              <w:rPr>
                <w:lang w:val="fr-FR"/>
              </w:rPr>
              <w:t>Les modèles révisés n</w:t>
            </w:r>
            <w:r w:rsidRPr="00B21337">
              <w:rPr>
                <w:vertAlign w:val="superscript"/>
                <w:lang w:val="fr-FR"/>
              </w:rPr>
              <w:t>o</w:t>
            </w:r>
            <w:r>
              <w:rPr>
                <w:vertAlign w:val="superscript"/>
                <w:lang w:val="fr-FR"/>
              </w:rPr>
              <w:t>s</w:t>
            </w:r>
            <w:r>
              <w:rPr>
                <w:lang w:val="fr-FR"/>
              </w:rPr>
              <w:t> </w:t>
            </w:r>
            <w:r w:rsidRPr="00B21337">
              <w:rPr>
                <w:lang w:val="fr-FR"/>
              </w:rPr>
              <w:t>1 A et 12 pourraient faire l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objet d</w:t>
            </w:r>
            <w:r>
              <w:rPr>
                <w:lang w:val="fr-FR"/>
              </w:rPr>
              <w:t>’</w:t>
            </w:r>
            <w:r w:rsidRPr="00B21337">
              <w:rPr>
                <w:lang w:val="fr-FR"/>
              </w:rPr>
              <w:t>un examen</w:t>
            </w:r>
            <w:r w:rsidR="0081129A" w:rsidRPr="0081129A">
              <w:rPr>
                <w:lang w:val="fr-FR"/>
              </w:rPr>
              <w:t>.</w:t>
            </w:r>
          </w:p>
        </w:tc>
      </w:tr>
    </w:tbl>
    <w:p w14:paraId="7BC2D46B" w14:textId="244F8A11" w:rsidR="00F9573C" w:rsidRPr="00876E9B" w:rsidRDefault="00876E9B" w:rsidP="00876E9B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76E9B" w:rsidSect="00876E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99AE" w14:textId="77777777" w:rsidR="00E466A6" w:rsidRDefault="00E466A6" w:rsidP="00F95C08">
      <w:pPr>
        <w:spacing w:line="240" w:lineRule="auto"/>
      </w:pPr>
    </w:p>
  </w:endnote>
  <w:endnote w:type="continuationSeparator" w:id="0">
    <w:p w14:paraId="4387DD2D" w14:textId="77777777" w:rsidR="00E466A6" w:rsidRPr="00AC3823" w:rsidRDefault="00E466A6" w:rsidP="00AC3823">
      <w:pPr>
        <w:pStyle w:val="Pieddepage"/>
      </w:pPr>
    </w:p>
  </w:endnote>
  <w:endnote w:type="continuationNotice" w:id="1">
    <w:p w14:paraId="0E085D99" w14:textId="77777777" w:rsidR="00E466A6" w:rsidRDefault="00E466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61D7" w14:textId="39418572" w:rsidR="00876E9B" w:rsidRPr="00876E9B" w:rsidRDefault="00876E9B" w:rsidP="00876E9B">
    <w:pPr>
      <w:pStyle w:val="Pieddepage"/>
      <w:tabs>
        <w:tab w:val="right" w:pos="9638"/>
      </w:tabs>
    </w:pPr>
    <w:r w:rsidRPr="00876E9B">
      <w:rPr>
        <w:b/>
        <w:sz w:val="18"/>
      </w:rPr>
      <w:fldChar w:fldCharType="begin"/>
    </w:r>
    <w:r w:rsidRPr="00876E9B">
      <w:rPr>
        <w:b/>
        <w:sz w:val="18"/>
      </w:rPr>
      <w:instrText xml:space="preserve"> PAGE  \* MERGEFORMAT </w:instrText>
    </w:r>
    <w:r w:rsidRPr="00876E9B">
      <w:rPr>
        <w:b/>
        <w:sz w:val="18"/>
      </w:rPr>
      <w:fldChar w:fldCharType="separate"/>
    </w:r>
    <w:r w:rsidRPr="00876E9B">
      <w:rPr>
        <w:b/>
        <w:noProof/>
        <w:sz w:val="18"/>
      </w:rPr>
      <w:t>2</w:t>
    </w:r>
    <w:r w:rsidRPr="00876E9B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81129A" w:rsidRPr="0081129A">
      <w:t>.</w:t>
    </w:r>
    <w:r>
      <w:t>22-12426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42CB" w14:textId="74C252E7" w:rsidR="00876E9B" w:rsidRPr="00876E9B" w:rsidRDefault="00876E9B" w:rsidP="00876E9B">
    <w:pPr>
      <w:pStyle w:val="Pieddepage"/>
      <w:tabs>
        <w:tab w:val="right" w:pos="9638"/>
      </w:tabs>
      <w:rPr>
        <w:b/>
        <w:sz w:val="18"/>
      </w:rPr>
    </w:pPr>
    <w:r>
      <w:t>GE</w:t>
    </w:r>
    <w:r w:rsidR="0081129A" w:rsidRPr="0081129A">
      <w:t>.</w:t>
    </w:r>
    <w:r>
      <w:t>22-12426</w:t>
    </w:r>
    <w:r>
      <w:tab/>
    </w:r>
    <w:r w:rsidRPr="00876E9B">
      <w:rPr>
        <w:b/>
        <w:sz w:val="18"/>
      </w:rPr>
      <w:fldChar w:fldCharType="begin"/>
    </w:r>
    <w:r w:rsidRPr="00876E9B">
      <w:rPr>
        <w:b/>
        <w:sz w:val="18"/>
      </w:rPr>
      <w:instrText xml:space="preserve"> PAGE  \* MERGEFORMAT </w:instrText>
    </w:r>
    <w:r w:rsidRPr="00876E9B">
      <w:rPr>
        <w:b/>
        <w:sz w:val="18"/>
      </w:rPr>
      <w:fldChar w:fldCharType="separate"/>
    </w:r>
    <w:r w:rsidRPr="00876E9B">
      <w:rPr>
        <w:b/>
        <w:noProof/>
        <w:sz w:val="18"/>
      </w:rPr>
      <w:t>3</w:t>
    </w:r>
    <w:r w:rsidRPr="00876E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34E" w14:textId="5DE87F44" w:rsidR="007F20FA" w:rsidRPr="00876E9B" w:rsidRDefault="00876E9B" w:rsidP="00876E9B">
    <w:pPr>
      <w:pStyle w:val="Pieddepage"/>
      <w:spacing w:before="120"/>
      <w:rPr>
        <w:sz w:val="20"/>
      </w:rPr>
    </w:pPr>
    <w:r>
      <w:rPr>
        <w:sz w:val="20"/>
      </w:rPr>
      <w:t>GE</w:t>
    </w:r>
    <w:r w:rsidR="0081129A" w:rsidRPr="0081129A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30E2B7" wp14:editId="273B092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22-12426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7858AA" wp14:editId="7718207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050922    060922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9148" w14:textId="77777777" w:rsidR="00E466A6" w:rsidRPr="00AC3823" w:rsidRDefault="00E466A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937CE5" w14:textId="77777777" w:rsidR="00E466A6" w:rsidRPr="00AC3823" w:rsidRDefault="00E466A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678A92" w14:textId="77777777" w:rsidR="00E466A6" w:rsidRPr="00AC3823" w:rsidRDefault="00E466A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EA5" w14:textId="4BE2B428" w:rsidR="00876E9B" w:rsidRPr="00876E9B" w:rsidRDefault="00876E9B">
    <w:pPr>
      <w:pStyle w:val="En-tte"/>
    </w:pPr>
    <w:fldSimple w:instr=" TITLE  \* MERGEFORMAT ">
      <w:r w:rsidR="001D51DF">
        <w:t>ECE/TRANS/WP.11/2022/18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2FFD" w14:textId="0059527C" w:rsidR="00876E9B" w:rsidRPr="00876E9B" w:rsidRDefault="00876E9B" w:rsidP="00876E9B">
    <w:pPr>
      <w:pStyle w:val="En-tte"/>
      <w:jc w:val="right"/>
    </w:pPr>
    <w:fldSimple w:instr=" TITLE  \* MERGEFORMAT ">
      <w:r w:rsidR="001D51DF">
        <w:t>ECE/TRANS/WP.11/2022/18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51D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1FFF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129A"/>
    <w:rsid w:val="00865088"/>
    <w:rsid w:val="00871C75"/>
    <w:rsid w:val="00876E9B"/>
    <w:rsid w:val="008776DC"/>
    <w:rsid w:val="008D5EF9"/>
    <w:rsid w:val="009446C0"/>
    <w:rsid w:val="009705C8"/>
    <w:rsid w:val="009C1CF4"/>
    <w:rsid w:val="009F6B74"/>
    <w:rsid w:val="00A3029F"/>
    <w:rsid w:val="00A30353"/>
    <w:rsid w:val="00A521C1"/>
    <w:rsid w:val="00AC3823"/>
    <w:rsid w:val="00AE323C"/>
    <w:rsid w:val="00AF0CB5"/>
    <w:rsid w:val="00B00181"/>
    <w:rsid w:val="00B00B0D"/>
    <w:rsid w:val="00B45F2E"/>
    <w:rsid w:val="00B65406"/>
    <w:rsid w:val="00B765F7"/>
    <w:rsid w:val="00B77993"/>
    <w:rsid w:val="00BA0CA9"/>
    <w:rsid w:val="00C02897"/>
    <w:rsid w:val="00C10259"/>
    <w:rsid w:val="00C97039"/>
    <w:rsid w:val="00D3439C"/>
    <w:rsid w:val="00D7622E"/>
    <w:rsid w:val="00DB1831"/>
    <w:rsid w:val="00DD3BFD"/>
    <w:rsid w:val="00DF6678"/>
    <w:rsid w:val="00E0299A"/>
    <w:rsid w:val="00E466A6"/>
    <w:rsid w:val="00E85C74"/>
    <w:rsid w:val="00EA6547"/>
    <w:rsid w:val="00ED7237"/>
    <w:rsid w:val="00EF2E22"/>
    <w:rsid w:val="00F35BAF"/>
    <w:rsid w:val="00F660DF"/>
    <w:rsid w:val="00F94664"/>
    <w:rsid w:val="00F94E1E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ACCB"/>
  <w15:docId w15:val="{D084C635-0B83-4382-9F83-3D9FE4DD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76E9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283EC-6FC7-4BDA-AFB7-C253CD395FAB}"/>
</file>

<file path=customXml/itemProps2.xml><?xml version="1.0" encoding="utf-8"?>
<ds:datastoreItem xmlns:ds="http://schemas.openxmlformats.org/officeDocument/2006/customXml" ds:itemID="{EBF210BE-288C-4AA1-9B42-741001D0CA4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925</Words>
  <Characters>6476</Characters>
  <Application>Microsoft Office Word</Application>
  <DocSecurity>0</DocSecurity>
  <Lines>539</Lines>
  <Paragraphs>296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ECE/TRANS/WP.11/2022/18</vt:lpstr>
    </vt:vector>
  </TitlesOfParts>
  <Company>DCM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ECE/TRANS/WP.11/2022/18</dc:title>
  <dc:subject/>
  <dc:creator>Maud DARICHE</dc:creator>
  <cp:keywords/>
  <cp:lastModifiedBy>Maud Dariche</cp:lastModifiedBy>
  <cp:revision>3</cp:revision>
  <cp:lastPrinted>2022-09-06T10:02:00Z</cp:lastPrinted>
  <dcterms:created xsi:type="dcterms:W3CDTF">2022-09-06T10:02:00Z</dcterms:created>
  <dcterms:modified xsi:type="dcterms:W3CDTF">2022-09-06T10:03:00Z</dcterms:modified>
</cp:coreProperties>
</file>