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648EE9" w14:textId="77777777" w:rsidTr="00C97039">
        <w:trPr>
          <w:trHeight w:hRule="exact" w:val="851"/>
        </w:trPr>
        <w:tc>
          <w:tcPr>
            <w:tcW w:w="1276" w:type="dxa"/>
            <w:tcBorders>
              <w:bottom w:val="single" w:sz="4" w:space="0" w:color="auto"/>
            </w:tcBorders>
          </w:tcPr>
          <w:p w14:paraId="7CA658EE" w14:textId="77777777" w:rsidR="00F35BAF" w:rsidRPr="00DB58B5" w:rsidRDefault="00F35BAF" w:rsidP="00854ED4"/>
        </w:tc>
        <w:tc>
          <w:tcPr>
            <w:tcW w:w="2268" w:type="dxa"/>
            <w:tcBorders>
              <w:bottom w:val="single" w:sz="4" w:space="0" w:color="auto"/>
            </w:tcBorders>
            <w:vAlign w:val="bottom"/>
          </w:tcPr>
          <w:p w14:paraId="14AEAD2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359367" w14:textId="6C0A8C08" w:rsidR="00F35BAF" w:rsidRPr="00DB58B5" w:rsidRDefault="00854ED4" w:rsidP="00854ED4">
            <w:pPr>
              <w:jc w:val="right"/>
            </w:pPr>
            <w:r w:rsidRPr="00854ED4">
              <w:rPr>
                <w:sz w:val="40"/>
              </w:rPr>
              <w:t>ECE</w:t>
            </w:r>
            <w:r>
              <w:t>/TRANS/WP.11/2022/20</w:t>
            </w:r>
          </w:p>
        </w:tc>
      </w:tr>
      <w:tr w:rsidR="00F35BAF" w:rsidRPr="00DB58B5" w14:paraId="1565AD24" w14:textId="77777777" w:rsidTr="00C97039">
        <w:trPr>
          <w:trHeight w:hRule="exact" w:val="2835"/>
        </w:trPr>
        <w:tc>
          <w:tcPr>
            <w:tcW w:w="1276" w:type="dxa"/>
            <w:tcBorders>
              <w:top w:val="single" w:sz="4" w:space="0" w:color="auto"/>
              <w:bottom w:val="single" w:sz="12" w:space="0" w:color="auto"/>
            </w:tcBorders>
          </w:tcPr>
          <w:p w14:paraId="72CB7F32" w14:textId="77777777" w:rsidR="00F35BAF" w:rsidRPr="00DB58B5" w:rsidRDefault="00F35BAF" w:rsidP="00C97039">
            <w:pPr>
              <w:spacing w:before="120"/>
              <w:jc w:val="center"/>
            </w:pPr>
            <w:r>
              <w:rPr>
                <w:noProof/>
                <w:lang w:eastAsia="fr-CH"/>
              </w:rPr>
              <w:drawing>
                <wp:inline distT="0" distB="0" distL="0" distR="0" wp14:anchorId="0F0C9CB4" wp14:editId="71E466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DB996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90BDD1" w14:textId="77777777" w:rsidR="00F35BAF" w:rsidRDefault="00854ED4" w:rsidP="00C97039">
            <w:pPr>
              <w:spacing w:before="240"/>
            </w:pPr>
            <w:r>
              <w:t>Distr. générale</w:t>
            </w:r>
          </w:p>
          <w:p w14:paraId="5881091D" w14:textId="3BB58508" w:rsidR="00854ED4" w:rsidRDefault="00854ED4" w:rsidP="00854ED4">
            <w:pPr>
              <w:spacing w:line="240" w:lineRule="exact"/>
            </w:pPr>
            <w:r>
              <w:t>12 août 2022</w:t>
            </w:r>
          </w:p>
          <w:p w14:paraId="30AD2614" w14:textId="77777777" w:rsidR="00854ED4" w:rsidRDefault="00854ED4" w:rsidP="00854ED4">
            <w:pPr>
              <w:spacing w:line="240" w:lineRule="exact"/>
            </w:pPr>
            <w:r>
              <w:t>Français</w:t>
            </w:r>
          </w:p>
          <w:p w14:paraId="1A99B29B" w14:textId="217ADFD3" w:rsidR="00854ED4" w:rsidRPr="00DB58B5" w:rsidRDefault="00854ED4" w:rsidP="00854ED4">
            <w:pPr>
              <w:spacing w:line="240" w:lineRule="exact"/>
            </w:pPr>
            <w:r>
              <w:t>Original : anglais</w:t>
            </w:r>
          </w:p>
        </w:tc>
      </w:tr>
    </w:tbl>
    <w:p w14:paraId="78B006D5" w14:textId="77777777" w:rsidR="007F20FA" w:rsidRPr="000312C0" w:rsidRDefault="007F20FA" w:rsidP="007F20FA">
      <w:pPr>
        <w:spacing w:before="120"/>
        <w:rPr>
          <w:b/>
          <w:sz w:val="28"/>
          <w:szCs w:val="28"/>
        </w:rPr>
      </w:pPr>
      <w:r w:rsidRPr="000312C0">
        <w:rPr>
          <w:b/>
          <w:sz w:val="28"/>
          <w:szCs w:val="28"/>
        </w:rPr>
        <w:t>Commission économique pour l’Europe</w:t>
      </w:r>
    </w:p>
    <w:p w14:paraId="14030188" w14:textId="77777777" w:rsidR="007F20FA" w:rsidRDefault="007F20FA" w:rsidP="007F20FA">
      <w:pPr>
        <w:spacing w:before="120"/>
        <w:rPr>
          <w:sz w:val="28"/>
          <w:szCs w:val="28"/>
        </w:rPr>
      </w:pPr>
      <w:r w:rsidRPr="00685843">
        <w:rPr>
          <w:sz w:val="28"/>
          <w:szCs w:val="28"/>
        </w:rPr>
        <w:t>Comité des transports intérieurs</w:t>
      </w:r>
    </w:p>
    <w:p w14:paraId="45E7FF4B" w14:textId="77777777" w:rsidR="00854ED4" w:rsidRPr="00685843" w:rsidRDefault="00854ED4" w:rsidP="00305801">
      <w:pPr>
        <w:spacing w:before="120"/>
        <w:rPr>
          <w:b/>
          <w:sz w:val="24"/>
          <w:szCs w:val="24"/>
        </w:rPr>
      </w:pPr>
      <w:r>
        <w:rPr>
          <w:b/>
          <w:sz w:val="24"/>
          <w:szCs w:val="24"/>
        </w:rPr>
        <w:t>Groupe de travail du transport des denrées périssables</w:t>
      </w:r>
    </w:p>
    <w:p w14:paraId="7039AE18" w14:textId="429A08FC" w:rsidR="00854ED4" w:rsidRPr="00F30D47" w:rsidRDefault="00854ED4" w:rsidP="00305801">
      <w:pPr>
        <w:spacing w:before="120"/>
        <w:rPr>
          <w:b/>
        </w:rPr>
      </w:pPr>
      <w:r>
        <w:rPr>
          <w:b/>
        </w:rPr>
        <w:t xml:space="preserve">Soixante-dix-neuvième </w:t>
      </w:r>
      <w:r w:rsidRPr="00F30D47">
        <w:rPr>
          <w:b/>
        </w:rPr>
        <w:t>session</w:t>
      </w:r>
    </w:p>
    <w:p w14:paraId="6FD8C45B" w14:textId="79F64A14" w:rsidR="00854ED4" w:rsidRDefault="00854ED4" w:rsidP="00305801">
      <w:r>
        <w:t xml:space="preserve">Genève, </w:t>
      </w:r>
      <w:r w:rsidR="00817E75">
        <w:t>25-28 octobre 2022</w:t>
      </w:r>
    </w:p>
    <w:p w14:paraId="69F1B7CA" w14:textId="0B02CC5D" w:rsidR="00854ED4" w:rsidRDefault="00854ED4" w:rsidP="00305801">
      <w:r>
        <w:t>Point</w:t>
      </w:r>
      <w:r w:rsidR="00817E75">
        <w:t> 5 b)</w:t>
      </w:r>
      <w:r>
        <w:t xml:space="preserve"> de l’ordre du jour provisoire</w:t>
      </w:r>
    </w:p>
    <w:p w14:paraId="68A457FE" w14:textId="3375A704" w:rsidR="00817E75" w:rsidRPr="005F40D2" w:rsidRDefault="00817E75" w:rsidP="00817E75">
      <w:pPr>
        <w:rPr>
          <w:b/>
          <w:bCs/>
        </w:rPr>
      </w:pPr>
      <w:r>
        <w:rPr>
          <w:b/>
          <w:bCs/>
          <w:lang w:val="fr-FR"/>
        </w:rPr>
        <w:t>Propositions d’amendements à l’ATP</w:t>
      </w:r>
      <w:r>
        <w:rPr>
          <w:b/>
          <w:bCs/>
          <w:lang w:val="fr-FR"/>
        </w:rPr>
        <w:t> </w:t>
      </w:r>
      <w:r>
        <w:rPr>
          <w:b/>
          <w:bCs/>
          <w:lang w:val="fr-FR"/>
        </w:rPr>
        <w:t>:</w:t>
      </w:r>
      <w:r>
        <w:rPr>
          <w:b/>
          <w:bCs/>
        </w:rPr>
        <w:t xml:space="preserve"> </w:t>
      </w:r>
      <w:r>
        <w:rPr>
          <w:b/>
          <w:bCs/>
        </w:rPr>
        <w:br/>
      </w:r>
      <w:r>
        <w:rPr>
          <w:b/>
          <w:bCs/>
          <w:lang w:val="fr-FR"/>
        </w:rPr>
        <w:t>nouvelles propositions</w:t>
      </w:r>
    </w:p>
    <w:p w14:paraId="03D09C0B" w14:textId="77777777" w:rsidR="00817E75" w:rsidRPr="005F40D2" w:rsidRDefault="00817E75" w:rsidP="00817E75">
      <w:pPr>
        <w:pStyle w:val="HChG"/>
      </w:pPr>
      <w:r>
        <w:rPr>
          <w:lang w:val="fr-FR"/>
        </w:rPr>
        <w:tab/>
      </w:r>
      <w:r>
        <w:rPr>
          <w:lang w:val="fr-FR"/>
        </w:rPr>
        <w:tab/>
        <w:t>Propositions d’amendement à l’ATP</w:t>
      </w:r>
    </w:p>
    <w:p w14:paraId="74FF13A1" w14:textId="1C6C3604" w:rsidR="00817E75" w:rsidRPr="005F40D2" w:rsidRDefault="00817E75" w:rsidP="00817E75">
      <w:pPr>
        <w:pStyle w:val="H1G"/>
      </w:pPr>
      <w:r>
        <w:rPr>
          <w:lang w:val="fr-FR"/>
        </w:rPr>
        <w:tab/>
      </w:r>
      <w:r>
        <w:rPr>
          <w:lang w:val="fr-FR"/>
        </w:rPr>
        <w:tab/>
        <w:t>Communication du Gouvernement néerlandais au nom du groupe de</w:t>
      </w:r>
      <w:r>
        <w:rPr>
          <w:lang w:val="fr-FR"/>
        </w:rPr>
        <w:t> </w:t>
      </w:r>
      <w:r>
        <w:rPr>
          <w:lang w:val="fr-FR"/>
        </w:rPr>
        <w:t>travail informel de l’amélioration du système d’homologation des</w:t>
      </w:r>
      <w:r>
        <w:rPr>
          <w:lang w:val="fr-FR"/>
        </w:rPr>
        <w:t> </w:t>
      </w:r>
      <w:r>
        <w:rPr>
          <w:lang w:val="fr-FR"/>
        </w:rPr>
        <w:t>engins et dispositifs thermiques ATP</w:t>
      </w:r>
    </w:p>
    <w:p w14:paraId="78A10C2F" w14:textId="77777777" w:rsidR="00817E75" w:rsidRPr="005F40D2" w:rsidRDefault="00817E75" w:rsidP="00817E75">
      <w:pPr>
        <w:pStyle w:val="HChG"/>
      </w:pPr>
      <w:r>
        <w:rPr>
          <w:lang w:val="fr-FR"/>
        </w:rPr>
        <w:tab/>
      </w:r>
      <w:r>
        <w:rPr>
          <w:lang w:val="fr-FR"/>
        </w:rPr>
        <w:tab/>
        <w:t>Introduction</w:t>
      </w:r>
    </w:p>
    <w:p w14:paraId="555D5B49" w14:textId="21CE458B" w:rsidR="00817E75" w:rsidRPr="005F40D2" w:rsidRDefault="00817E75" w:rsidP="00817E75">
      <w:pPr>
        <w:pStyle w:val="SingleTxtG"/>
      </w:pPr>
      <w:r>
        <w:rPr>
          <w:lang w:val="fr-FR"/>
        </w:rPr>
        <w:t>1.</w:t>
      </w:r>
      <w:r>
        <w:rPr>
          <w:lang w:val="fr-FR"/>
        </w:rPr>
        <w:tab/>
        <w:t>Le groupe de travail informel s’est réuni à quatre reprises entre le mois de mai et le 29 juillet 2022 (date limite de soumission des documents officiels pour la session d’octobre du Groupe de travail du transport des denrées périssables (WP.11)). Toutes les réunions se sont tenues en ligne. Vingt experts étaient inscrits sur la liste de diffusion, et ont participé à chaque réunion en nombre variable et selon différentes combinaisons. Les sessions du groupe de travail informel se poursuivront jusqu’à la session d’octobre du WP.11.</w:t>
      </w:r>
    </w:p>
    <w:p w14:paraId="7983F53B" w14:textId="436E4AAB" w:rsidR="00817E75" w:rsidRPr="005F40D2" w:rsidRDefault="00817E75" w:rsidP="00817E75">
      <w:pPr>
        <w:pStyle w:val="SingleTxtG"/>
      </w:pPr>
      <w:r>
        <w:rPr>
          <w:lang w:val="fr-FR"/>
        </w:rPr>
        <w:t>2.</w:t>
      </w:r>
      <w:r>
        <w:rPr>
          <w:lang w:val="fr-FR"/>
        </w:rPr>
        <w:tab/>
        <w:t>Le présent document a pour objet de présenter des propositions sur lesquelles un consensus a été atteint. Le rapport des réunions passées et de celles à venir jusqu’à la session d’octobre du WP.11 suivra sous la forme d’un document informel dans lequel figureront les éventuelles modifications qui seront apportées aux propositions à mesure que le groupe les</w:t>
      </w:r>
      <w:r>
        <w:rPr>
          <w:lang w:val="fr-FR"/>
        </w:rPr>
        <w:t> </w:t>
      </w:r>
      <w:r>
        <w:rPr>
          <w:lang w:val="fr-FR"/>
        </w:rPr>
        <w:t>peaufinera.</w:t>
      </w:r>
    </w:p>
    <w:p w14:paraId="5663BFFC" w14:textId="734484D6" w:rsidR="00817E75" w:rsidRPr="005F40D2" w:rsidRDefault="00817E75" w:rsidP="00817E75">
      <w:pPr>
        <w:pStyle w:val="HChG"/>
      </w:pPr>
      <w:r>
        <w:rPr>
          <w:lang w:val="fr-FR"/>
        </w:rPr>
        <w:tab/>
      </w:r>
      <w:r>
        <w:rPr>
          <w:lang w:val="fr-FR"/>
        </w:rPr>
        <w:t>I.</w:t>
      </w:r>
      <w:r>
        <w:rPr>
          <w:lang w:val="fr-FR"/>
        </w:rPr>
        <w:tab/>
        <w:t>Propositions</w:t>
      </w:r>
    </w:p>
    <w:p w14:paraId="4BC90196" w14:textId="3FDAC658" w:rsidR="00817E75" w:rsidRPr="005F40D2" w:rsidRDefault="00817E75" w:rsidP="00817E75">
      <w:pPr>
        <w:pStyle w:val="H1G"/>
      </w:pPr>
      <w:r>
        <w:rPr>
          <w:lang w:val="fr-FR"/>
        </w:rPr>
        <w:tab/>
      </w:r>
      <w:r>
        <w:rPr>
          <w:lang w:val="fr-FR"/>
        </w:rPr>
        <w:tab/>
        <w:t>Proposition</w:t>
      </w:r>
      <w:r>
        <w:rPr>
          <w:lang w:val="fr-FR"/>
        </w:rPr>
        <w:t> </w:t>
      </w:r>
      <w:r>
        <w:rPr>
          <w:lang w:val="fr-FR"/>
        </w:rPr>
        <w:t>1</w:t>
      </w:r>
    </w:p>
    <w:p w14:paraId="794EA590" w14:textId="62E75674" w:rsidR="00817E75" w:rsidRPr="005F40D2" w:rsidRDefault="00817E75" w:rsidP="00817E75">
      <w:pPr>
        <w:pStyle w:val="SingleTxtG"/>
      </w:pPr>
      <w:r>
        <w:rPr>
          <w:lang w:val="fr-FR"/>
        </w:rPr>
        <w:t>3.</w:t>
      </w:r>
      <w:r>
        <w:rPr>
          <w:lang w:val="fr-FR"/>
        </w:rPr>
        <w:tab/>
        <w:t>Introduire à la section</w:t>
      </w:r>
      <w:r>
        <w:rPr>
          <w:lang w:val="fr-FR"/>
        </w:rPr>
        <w:t> </w:t>
      </w:r>
      <w:r>
        <w:rPr>
          <w:lang w:val="fr-FR"/>
        </w:rPr>
        <w:t>7 de l’annexe</w:t>
      </w:r>
      <w:r>
        <w:rPr>
          <w:lang w:val="fr-FR"/>
        </w:rPr>
        <w:t> </w:t>
      </w:r>
      <w:r>
        <w:rPr>
          <w:lang w:val="fr-FR"/>
        </w:rPr>
        <w:t>1 les deux définitions suivantes</w:t>
      </w:r>
      <w:r>
        <w:rPr>
          <w:lang w:val="fr-FR"/>
        </w:rPr>
        <w:t> </w:t>
      </w:r>
      <w:r>
        <w:rPr>
          <w:lang w:val="fr-FR"/>
        </w:rPr>
        <w:t>:</w:t>
      </w:r>
    </w:p>
    <w:p w14:paraId="59328FDB" w14:textId="3383B5C0" w:rsidR="00817E75" w:rsidRPr="005F40D2" w:rsidRDefault="00817E75" w:rsidP="00817E75">
      <w:pPr>
        <w:pStyle w:val="SingleTxtG"/>
        <w:ind w:left="1701"/>
      </w:pPr>
      <w:r>
        <w:rPr>
          <w:lang w:val="fr-FR"/>
        </w:rPr>
        <w:t>« </w:t>
      </w:r>
      <w:r w:rsidRPr="00817E75">
        <w:rPr>
          <w:i/>
          <w:iCs/>
          <w:lang w:val="fr-FR"/>
        </w:rPr>
        <w:t>Autonomie</w:t>
      </w:r>
      <w:r>
        <w:rPr>
          <w:lang w:val="fr-FR"/>
        </w:rPr>
        <w:t> </w:t>
      </w:r>
      <w:r>
        <w:rPr>
          <w:lang w:val="fr-FR"/>
        </w:rPr>
        <w:t>: durée pendant laquelle la température intérieure de l’engin peut être maintenue sans apport d’énergie ou source d’alimentation externe, sans que le moteur du véhicule ne tourne ou que le véhicule soit en mouvement. »</w:t>
      </w:r>
      <w:r w:rsidR="00553975">
        <w:rPr>
          <w:lang w:val="fr-FR"/>
        </w:rPr>
        <w:t> ;</w:t>
      </w:r>
    </w:p>
    <w:p w14:paraId="03C598DB" w14:textId="5EE06336" w:rsidR="00817E75" w:rsidRPr="005F40D2" w:rsidRDefault="00817E75" w:rsidP="00817E75">
      <w:pPr>
        <w:pStyle w:val="SingleTxtG"/>
        <w:ind w:left="1701"/>
      </w:pPr>
      <w:r>
        <w:rPr>
          <w:lang w:val="fr-FR"/>
        </w:rPr>
        <w:t>« </w:t>
      </w:r>
      <w:r w:rsidRPr="00817E75">
        <w:rPr>
          <w:i/>
          <w:iCs/>
          <w:lang w:val="fr-FR"/>
        </w:rPr>
        <w:t>Engin autonome</w:t>
      </w:r>
      <w:r>
        <w:rPr>
          <w:lang w:val="fr-FR"/>
        </w:rPr>
        <w:t> </w:t>
      </w:r>
      <w:r>
        <w:rPr>
          <w:lang w:val="fr-FR"/>
        </w:rPr>
        <w:t>: engin dans lequel la température peut être maintenue indépendamment du fonctionnement du moteur ou du mouvement du véhicule. ».</w:t>
      </w:r>
    </w:p>
    <w:p w14:paraId="4E85CA4C" w14:textId="77777777" w:rsidR="00817E75" w:rsidRPr="005F40D2" w:rsidRDefault="00817E75" w:rsidP="00817E75">
      <w:pPr>
        <w:pStyle w:val="H1G"/>
      </w:pPr>
      <w:r>
        <w:rPr>
          <w:lang w:val="fr-FR"/>
        </w:rPr>
        <w:lastRenderedPageBreak/>
        <w:tab/>
      </w:r>
      <w:r>
        <w:rPr>
          <w:lang w:val="fr-FR"/>
        </w:rPr>
        <w:tab/>
        <w:t>Justification</w:t>
      </w:r>
    </w:p>
    <w:p w14:paraId="7DAE9D0C" w14:textId="1FB22E08" w:rsidR="00817E75" w:rsidRPr="005F40D2" w:rsidRDefault="00817E75" w:rsidP="00817E75">
      <w:pPr>
        <w:pStyle w:val="SingleTxtG"/>
      </w:pPr>
      <w:r>
        <w:rPr>
          <w:lang w:val="fr-FR"/>
        </w:rPr>
        <w:t>4.</w:t>
      </w:r>
      <w:r>
        <w:rPr>
          <w:lang w:val="fr-FR"/>
        </w:rPr>
        <w:tab/>
        <w:t xml:space="preserve">Lors des débats qui se sont tenus au sujet du document ECE/TRANS/WP.11/2020/1/Rev.2 et des documents informels </w:t>
      </w:r>
      <w:r w:rsidRPr="00D434DC">
        <w:rPr>
          <w:lang w:val="fr-FR"/>
        </w:rPr>
        <w:t>INF.4 et INF.5 (Partie</w:t>
      </w:r>
      <w:r w:rsidR="00553975" w:rsidRPr="00D434DC">
        <w:rPr>
          <w:lang w:val="fr-FR"/>
        </w:rPr>
        <w:t> </w:t>
      </w:r>
      <w:r w:rsidRPr="00D434DC">
        <w:rPr>
          <w:lang w:val="fr-FR"/>
        </w:rPr>
        <w:t xml:space="preserve">II) </w:t>
      </w:r>
      <w:r w:rsidR="00D434DC" w:rsidRPr="00D434DC">
        <w:rPr>
          <w:lang w:val="fr-FR"/>
        </w:rPr>
        <w:t>de la soixante-dix-huitième session,</w:t>
      </w:r>
      <w:r w:rsidRPr="00D434DC">
        <w:rPr>
          <w:lang w:val="fr-FR"/>
        </w:rPr>
        <w:t xml:space="preserve"> il a été constaté que les termes «</w:t>
      </w:r>
      <w:r w:rsidRPr="004A245C">
        <w:rPr>
          <w:lang w:val="fr-FR"/>
        </w:rPr>
        <w:t> autonome » dans la version française de l’ATP et « </w:t>
      </w:r>
      <w:r w:rsidRPr="004A245C">
        <w:rPr>
          <w:i/>
          <w:iCs/>
          <w:lang w:val="fr-FR"/>
        </w:rPr>
        <w:t>independent</w:t>
      </w:r>
      <w:r w:rsidRPr="004A245C">
        <w:rPr>
          <w:lang w:val="fr-FR"/>
        </w:rPr>
        <w:t> »</w:t>
      </w:r>
      <w:r>
        <w:rPr>
          <w:lang w:val="fr-FR"/>
        </w:rPr>
        <w:t xml:space="preserve"> dans la version anglaise n’avaient pas le même sens. Après discussions au sein du groupe de travail, il a été suggéré d’ajouter deux définitions dans les versions française et anglaise pour remédier à ce problème.</w:t>
      </w:r>
    </w:p>
    <w:p w14:paraId="2ECBD497" w14:textId="785F6AFD" w:rsidR="00817E75" w:rsidRPr="005F40D2" w:rsidRDefault="00817E75" w:rsidP="00D41B29">
      <w:pPr>
        <w:pStyle w:val="H1G"/>
        <w:spacing w:before="320" w:after="200" w:line="230" w:lineRule="exact"/>
      </w:pPr>
      <w:r>
        <w:rPr>
          <w:lang w:val="fr-FR"/>
        </w:rPr>
        <w:tab/>
      </w:r>
      <w:r>
        <w:rPr>
          <w:lang w:val="fr-FR"/>
        </w:rPr>
        <w:tab/>
        <w:t>Proposition 2</w:t>
      </w:r>
    </w:p>
    <w:p w14:paraId="5CA768D0" w14:textId="0B8918D9" w:rsidR="00817E75" w:rsidRPr="005F40D2" w:rsidRDefault="00817E75" w:rsidP="00817E75">
      <w:pPr>
        <w:pStyle w:val="SingleTxtG"/>
      </w:pPr>
      <w:r>
        <w:rPr>
          <w:lang w:val="fr-FR"/>
        </w:rPr>
        <w:t>5.</w:t>
      </w:r>
      <w:r>
        <w:rPr>
          <w:lang w:val="fr-FR"/>
        </w:rPr>
        <w:tab/>
        <w:t>Ajouter à la fin de la sous-section</w:t>
      </w:r>
      <w:r w:rsidR="004A245C">
        <w:rPr>
          <w:lang w:val="fr-FR"/>
        </w:rPr>
        <w:t> </w:t>
      </w:r>
      <w:r>
        <w:rPr>
          <w:lang w:val="fr-FR"/>
        </w:rPr>
        <w:t>4.3.1</w:t>
      </w:r>
      <w:r w:rsidR="00553975">
        <w:rPr>
          <w:lang w:val="fr-FR"/>
        </w:rPr>
        <w:t> </w:t>
      </w:r>
      <w:r>
        <w:rPr>
          <w:lang w:val="fr-FR"/>
        </w:rPr>
        <w:t>b) de l’annexe</w:t>
      </w:r>
      <w:r w:rsidR="00553975">
        <w:rPr>
          <w:lang w:val="fr-FR"/>
        </w:rPr>
        <w:t> </w:t>
      </w:r>
      <w:r>
        <w:rPr>
          <w:lang w:val="fr-FR"/>
        </w:rPr>
        <w:t>1, appendice</w:t>
      </w:r>
      <w:r w:rsidR="00553975">
        <w:rPr>
          <w:lang w:val="fr-FR"/>
        </w:rPr>
        <w:t> </w:t>
      </w:r>
      <w:r>
        <w:rPr>
          <w:lang w:val="fr-FR"/>
        </w:rPr>
        <w:t>2, le paragraphe qui suit :</w:t>
      </w:r>
    </w:p>
    <w:p w14:paraId="1D6CEA1A" w14:textId="6122F67C" w:rsidR="00817E75" w:rsidRPr="005F40D2" w:rsidRDefault="00817E75" w:rsidP="00553975">
      <w:pPr>
        <w:pStyle w:val="SingleTxtG"/>
        <w:ind w:left="1701"/>
      </w:pPr>
      <w:r>
        <w:rPr>
          <w:lang w:val="fr-FR"/>
        </w:rPr>
        <w:t>« Si le compresseur frigorifique est entraîné par une source d’électricité auxiliaire, l’essai sera effectué à la tension nominale du compresseur telle qu’indiquée par le</w:t>
      </w:r>
      <w:r w:rsidR="004A245C">
        <w:rPr>
          <w:lang w:val="fr-FR"/>
        </w:rPr>
        <w:t> </w:t>
      </w:r>
      <w:r>
        <w:rPr>
          <w:lang w:val="fr-FR"/>
        </w:rPr>
        <w:t>constructeur. ».</w:t>
      </w:r>
    </w:p>
    <w:p w14:paraId="765DA88E" w14:textId="77777777" w:rsidR="00817E75" w:rsidRPr="005F40D2" w:rsidRDefault="00817E75" w:rsidP="00D41B29">
      <w:pPr>
        <w:pStyle w:val="H1G"/>
        <w:spacing w:before="320" w:after="200" w:line="230" w:lineRule="exact"/>
      </w:pPr>
      <w:r>
        <w:rPr>
          <w:lang w:val="fr-FR"/>
        </w:rPr>
        <w:tab/>
      </w:r>
      <w:r>
        <w:rPr>
          <w:lang w:val="fr-FR"/>
        </w:rPr>
        <w:tab/>
        <w:t>Justification</w:t>
      </w:r>
    </w:p>
    <w:p w14:paraId="021849DF" w14:textId="77777777" w:rsidR="00817E75" w:rsidRPr="005F40D2" w:rsidRDefault="00817E75" w:rsidP="00817E75">
      <w:pPr>
        <w:pStyle w:val="SingleTxtG"/>
      </w:pPr>
      <w:r>
        <w:rPr>
          <w:lang w:val="fr-FR"/>
        </w:rPr>
        <w:t>6.</w:t>
      </w:r>
      <w:r>
        <w:rPr>
          <w:lang w:val="fr-FR"/>
        </w:rPr>
        <w:tab/>
        <w:t>Cet amendement facilitera l’interprétation de cette sous-section pour les dispositifs qui ne fonctionnent qu’avec un système d’entraînement électrique.</w:t>
      </w:r>
    </w:p>
    <w:p w14:paraId="78D6B445" w14:textId="27EFFCF5" w:rsidR="00817E75" w:rsidRPr="005F40D2" w:rsidRDefault="00817E75" w:rsidP="00817E75">
      <w:pPr>
        <w:pStyle w:val="H1G"/>
      </w:pPr>
      <w:r>
        <w:rPr>
          <w:lang w:val="fr-FR"/>
        </w:rPr>
        <w:tab/>
      </w:r>
      <w:r>
        <w:rPr>
          <w:lang w:val="fr-FR"/>
        </w:rPr>
        <w:tab/>
        <w:t>Proposition 3 (version anglaise uniquement)</w:t>
      </w:r>
    </w:p>
    <w:p w14:paraId="5FCEA71D" w14:textId="42D8BA45" w:rsidR="00817E75" w:rsidRPr="005F40D2" w:rsidRDefault="00817E75" w:rsidP="00817E75">
      <w:pPr>
        <w:pStyle w:val="SingleTxtG"/>
      </w:pPr>
      <w:r>
        <w:rPr>
          <w:lang w:val="fr-FR"/>
        </w:rPr>
        <w:t>7.</w:t>
      </w:r>
      <w:r>
        <w:rPr>
          <w:lang w:val="fr-FR"/>
        </w:rPr>
        <w:tab/>
        <w:t>À l’annexe</w:t>
      </w:r>
      <w:r w:rsidR="00553975">
        <w:rPr>
          <w:lang w:val="fr-FR"/>
        </w:rPr>
        <w:t> </w:t>
      </w:r>
      <w:r>
        <w:rPr>
          <w:lang w:val="fr-FR"/>
        </w:rPr>
        <w:t>1, appendice</w:t>
      </w:r>
      <w:r w:rsidR="00553975">
        <w:rPr>
          <w:lang w:val="fr-FR"/>
        </w:rPr>
        <w:t> </w:t>
      </w:r>
      <w:r>
        <w:rPr>
          <w:lang w:val="fr-FR"/>
        </w:rPr>
        <w:t>2, sections</w:t>
      </w:r>
      <w:r w:rsidR="00553975">
        <w:rPr>
          <w:lang w:val="fr-FR"/>
        </w:rPr>
        <w:t> </w:t>
      </w:r>
      <w:r>
        <w:rPr>
          <w:lang w:val="fr-FR"/>
        </w:rPr>
        <w:t>7.3.3 (4</w:t>
      </w:r>
      <w:r w:rsidR="00553975">
        <w:rPr>
          <w:lang w:val="fr-FR"/>
        </w:rPr>
        <w:t> </w:t>
      </w:r>
      <w:r>
        <w:rPr>
          <w:lang w:val="fr-FR"/>
        </w:rPr>
        <w:t>occurrences), 7.3.4 (4</w:t>
      </w:r>
      <w:r w:rsidR="00553975">
        <w:rPr>
          <w:lang w:val="fr-FR"/>
        </w:rPr>
        <w:t> </w:t>
      </w:r>
      <w:r>
        <w:rPr>
          <w:lang w:val="fr-FR"/>
        </w:rPr>
        <w:t>occurrences), 7.3.5</w:t>
      </w:r>
      <w:r w:rsidR="004A245C">
        <w:rPr>
          <w:lang w:val="fr-FR"/>
        </w:rPr>
        <w:t> </w:t>
      </w:r>
      <w:r>
        <w:rPr>
          <w:lang w:val="fr-FR"/>
        </w:rPr>
        <w:t>(1</w:t>
      </w:r>
      <w:r w:rsidR="00553975">
        <w:rPr>
          <w:lang w:val="fr-FR"/>
        </w:rPr>
        <w:t> </w:t>
      </w:r>
      <w:r>
        <w:rPr>
          <w:lang w:val="fr-FR"/>
        </w:rPr>
        <w:t>occurrence) et 7.3.6 (2</w:t>
      </w:r>
      <w:r w:rsidR="00553975">
        <w:rPr>
          <w:lang w:val="fr-FR"/>
        </w:rPr>
        <w:t> </w:t>
      </w:r>
      <w:r>
        <w:rPr>
          <w:lang w:val="fr-FR"/>
        </w:rPr>
        <w:t>occurrences) et dans le modèle</w:t>
      </w:r>
      <w:r w:rsidR="00553975">
        <w:rPr>
          <w:lang w:val="fr-FR"/>
        </w:rPr>
        <w:t> </w:t>
      </w:r>
      <w:r>
        <w:rPr>
          <w:lang w:val="fr-FR"/>
        </w:rPr>
        <w:t>14 (2</w:t>
      </w:r>
      <w:r w:rsidR="00553975">
        <w:rPr>
          <w:lang w:val="fr-FR"/>
        </w:rPr>
        <w:t> </w:t>
      </w:r>
      <w:r>
        <w:rPr>
          <w:lang w:val="fr-FR"/>
        </w:rPr>
        <w:t>occurrences), remplacer le terme «</w:t>
      </w:r>
      <w:r w:rsidRPr="005F40D2">
        <w:rPr>
          <w:i/>
          <w:iCs/>
          <w:lang w:val="fr-FR"/>
        </w:rPr>
        <w:t> bulkheads</w:t>
      </w:r>
      <w:r>
        <w:rPr>
          <w:lang w:val="fr-FR"/>
        </w:rPr>
        <w:t> » par le terme « </w:t>
      </w:r>
      <w:r w:rsidRPr="005F40D2">
        <w:rPr>
          <w:i/>
          <w:iCs/>
          <w:lang w:val="fr-FR"/>
        </w:rPr>
        <w:t>dividing walls</w:t>
      </w:r>
      <w:r>
        <w:rPr>
          <w:lang w:val="fr-FR"/>
        </w:rPr>
        <w:t> ».</w:t>
      </w:r>
    </w:p>
    <w:p w14:paraId="15EDF19C" w14:textId="3FB1A29E" w:rsidR="00817E75" w:rsidRPr="005F40D2" w:rsidRDefault="00817E75" w:rsidP="00817E75">
      <w:pPr>
        <w:pStyle w:val="SingleTxtG"/>
      </w:pPr>
      <w:r>
        <w:rPr>
          <w:lang w:val="fr-FR"/>
        </w:rPr>
        <w:t>8.</w:t>
      </w:r>
      <w:r>
        <w:rPr>
          <w:lang w:val="fr-FR"/>
        </w:rPr>
        <w:tab/>
        <w:t>À l’annexe</w:t>
      </w:r>
      <w:r w:rsidR="00553975">
        <w:rPr>
          <w:lang w:val="fr-FR"/>
        </w:rPr>
        <w:t> </w:t>
      </w:r>
      <w:r>
        <w:rPr>
          <w:lang w:val="fr-FR"/>
        </w:rPr>
        <w:t>1, appendice</w:t>
      </w:r>
      <w:r w:rsidR="00553975">
        <w:rPr>
          <w:lang w:val="fr-FR"/>
        </w:rPr>
        <w:t> </w:t>
      </w:r>
      <w:r>
        <w:rPr>
          <w:lang w:val="fr-FR"/>
        </w:rPr>
        <w:t>2, section</w:t>
      </w:r>
      <w:r w:rsidR="00553975">
        <w:rPr>
          <w:lang w:val="fr-FR"/>
        </w:rPr>
        <w:t> </w:t>
      </w:r>
      <w:r>
        <w:rPr>
          <w:lang w:val="fr-FR"/>
        </w:rPr>
        <w:t>7.3.1 (1</w:t>
      </w:r>
      <w:r w:rsidR="00553975">
        <w:rPr>
          <w:lang w:val="fr-FR"/>
        </w:rPr>
        <w:t> </w:t>
      </w:r>
      <w:r>
        <w:rPr>
          <w:lang w:val="fr-FR"/>
        </w:rPr>
        <w:t>occurrence), 7.3.7 (2</w:t>
      </w:r>
      <w:r w:rsidR="00553975">
        <w:rPr>
          <w:lang w:val="fr-FR"/>
        </w:rPr>
        <w:t> </w:t>
      </w:r>
      <w:r>
        <w:rPr>
          <w:lang w:val="fr-FR"/>
        </w:rPr>
        <w:t>occurrences, titre et</w:t>
      </w:r>
      <w:r w:rsidR="004A245C">
        <w:rPr>
          <w:lang w:val="fr-FR"/>
        </w:rPr>
        <w:t> </w:t>
      </w:r>
      <w:r>
        <w:rPr>
          <w:lang w:val="fr-FR"/>
        </w:rPr>
        <w:t>texte)</w:t>
      </w:r>
      <w:r w:rsidR="00553975">
        <w:rPr>
          <w:lang w:val="fr-FR"/>
        </w:rPr>
        <w:t> </w:t>
      </w:r>
      <w:r>
        <w:rPr>
          <w:lang w:val="fr-FR"/>
        </w:rPr>
        <w:t>:</w:t>
      </w:r>
    </w:p>
    <w:p w14:paraId="645A9AA1" w14:textId="670DAE9C" w:rsidR="00817E75" w:rsidRPr="00A6233C" w:rsidRDefault="004A245C" w:rsidP="00553975">
      <w:pPr>
        <w:pStyle w:val="SingleTxtG"/>
        <w:ind w:left="1701"/>
        <w:rPr>
          <w:lang w:val="en-US"/>
        </w:rPr>
      </w:pPr>
      <w:r>
        <w:rPr>
          <w:lang w:val="en-US"/>
        </w:rPr>
        <w:t>R</w:t>
      </w:r>
      <w:r w:rsidR="00817E75" w:rsidRPr="00553975">
        <w:rPr>
          <w:lang w:val="en-US"/>
        </w:rPr>
        <w:t>emplacer</w:t>
      </w:r>
      <w:r w:rsidR="00817E75" w:rsidRPr="005F40D2">
        <w:rPr>
          <w:lang w:val="en-US"/>
        </w:rPr>
        <w:t xml:space="preserve"> «</w:t>
      </w:r>
      <w:r w:rsidR="00553975">
        <w:rPr>
          <w:lang w:val="en-US"/>
        </w:rPr>
        <w:t> </w:t>
      </w:r>
      <w:r w:rsidR="00817E75" w:rsidRPr="005F40D2">
        <w:rPr>
          <w:i/>
          <w:iCs/>
          <w:lang w:val="en-US"/>
        </w:rPr>
        <w:t>internal dividing wall</w:t>
      </w:r>
      <w:r w:rsidR="00817E75" w:rsidRPr="005F40D2">
        <w:rPr>
          <w:lang w:val="en-US"/>
        </w:rPr>
        <w:t>s</w:t>
      </w:r>
      <w:r w:rsidR="00553975">
        <w:rPr>
          <w:lang w:val="en-US"/>
        </w:rPr>
        <w:t> </w:t>
      </w:r>
      <w:r w:rsidR="00817E75" w:rsidRPr="005F40D2">
        <w:rPr>
          <w:lang w:val="en-US"/>
        </w:rPr>
        <w:t>» par «</w:t>
      </w:r>
      <w:r w:rsidR="00553975">
        <w:rPr>
          <w:lang w:val="en-US"/>
        </w:rPr>
        <w:t> </w:t>
      </w:r>
      <w:r w:rsidR="00817E75" w:rsidRPr="005F40D2">
        <w:rPr>
          <w:i/>
          <w:iCs/>
          <w:lang w:val="en-US"/>
        </w:rPr>
        <w:t>dividing walls</w:t>
      </w:r>
      <w:r w:rsidR="00553975">
        <w:rPr>
          <w:lang w:val="en-US"/>
        </w:rPr>
        <w:t> </w:t>
      </w:r>
      <w:r w:rsidR="00817E75" w:rsidRPr="005F40D2">
        <w:rPr>
          <w:lang w:val="en-US"/>
        </w:rPr>
        <w:t>».</w:t>
      </w:r>
    </w:p>
    <w:p w14:paraId="02EAEBBB" w14:textId="7AEFF4DD" w:rsidR="00817E75" w:rsidRPr="005F40D2" w:rsidRDefault="00817E75" w:rsidP="00817E75">
      <w:pPr>
        <w:pStyle w:val="SingleTxtG"/>
      </w:pPr>
      <w:r>
        <w:rPr>
          <w:lang w:val="fr-FR"/>
        </w:rPr>
        <w:t>9.</w:t>
      </w:r>
      <w:r>
        <w:rPr>
          <w:lang w:val="fr-FR"/>
        </w:rPr>
        <w:tab/>
        <w:t>Dans le Manuel ATP, annexe</w:t>
      </w:r>
      <w:r w:rsidR="00553975">
        <w:rPr>
          <w:lang w:val="fr-FR"/>
        </w:rPr>
        <w:t> </w:t>
      </w:r>
      <w:r>
        <w:rPr>
          <w:lang w:val="fr-FR"/>
        </w:rPr>
        <w:t>1, appendice</w:t>
      </w:r>
      <w:r w:rsidR="00553975">
        <w:rPr>
          <w:lang w:val="fr-FR"/>
        </w:rPr>
        <w:t> </w:t>
      </w:r>
      <w:r>
        <w:rPr>
          <w:lang w:val="fr-FR"/>
        </w:rPr>
        <w:t>2, au point</w:t>
      </w:r>
      <w:r w:rsidR="00553975">
        <w:rPr>
          <w:lang w:val="fr-FR"/>
        </w:rPr>
        <w:t> </w:t>
      </w:r>
      <w:r>
        <w:rPr>
          <w:lang w:val="fr-FR"/>
        </w:rPr>
        <w:t>1.2 du tableau « Method A », remplacer le terme « </w:t>
      </w:r>
      <w:r w:rsidRPr="005F40D2">
        <w:rPr>
          <w:i/>
          <w:iCs/>
          <w:lang w:val="fr-FR"/>
        </w:rPr>
        <w:t>bulkhead</w:t>
      </w:r>
      <w:r>
        <w:rPr>
          <w:lang w:val="fr-FR"/>
        </w:rPr>
        <w:t> » par le terme « </w:t>
      </w:r>
      <w:r w:rsidRPr="005F40D2">
        <w:rPr>
          <w:i/>
          <w:iCs/>
          <w:lang w:val="fr-FR"/>
        </w:rPr>
        <w:t>dividing wall</w:t>
      </w:r>
      <w:r>
        <w:rPr>
          <w:lang w:val="fr-FR"/>
        </w:rPr>
        <w:t> ».</w:t>
      </w:r>
    </w:p>
    <w:p w14:paraId="0962253A" w14:textId="77777777" w:rsidR="00817E75" w:rsidRPr="005F40D2" w:rsidRDefault="00817E75" w:rsidP="00817E75">
      <w:pPr>
        <w:pStyle w:val="H1G"/>
      </w:pPr>
      <w:r>
        <w:rPr>
          <w:lang w:val="fr-FR"/>
        </w:rPr>
        <w:tab/>
      </w:r>
      <w:r>
        <w:rPr>
          <w:lang w:val="fr-FR"/>
        </w:rPr>
        <w:tab/>
        <w:t>Justification</w:t>
      </w:r>
    </w:p>
    <w:p w14:paraId="153ACFB5" w14:textId="0A8C01DB" w:rsidR="00817E75" w:rsidRPr="00553975" w:rsidRDefault="00817E75" w:rsidP="00817E75">
      <w:pPr>
        <w:pStyle w:val="SingleTxtG"/>
        <w:rPr>
          <w:spacing w:val="-2"/>
        </w:rPr>
      </w:pPr>
      <w:r w:rsidRPr="00553975">
        <w:rPr>
          <w:spacing w:val="-2"/>
          <w:lang w:val="fr-FR"/>
        </w:rPr>
        <w:t>10.</w:t>
      </w:r>
      <w:r w:rsidRPr="00553975">
        <w:rPr>
          <w:spacing w:val="-2"/>
          <w:lang w:val="fr-FR"/>
        </w:rPr>
        <w:tab/>
        <w:t>Les termes « </w:t>
      </w:r>
      <w:r w:rsidRPr="00553975">
        <w:rPr>
          <w:i/>
          <w:iCs/>
          <w:spacing w:val="-2"/>
          <w:lang w:val="fr-FR"/>
        </w:rPr>
        <w:t>bulkheads </w:t>
      </w:r>
      <w:r w:rsidRPr="00553975">
        <w:rPr>
          <w:spacing w:val="-2"/>
          <w:lang w:val="fr-FR"/>
        </w:rPr>
        <w:t>», « </w:t>
      </w:r>
      <w:r w:rsidRPr="00553975">
        <w:rPr>
          <w:i/>
          <w:iCs/>
          <w:spacing w:val="-2"/>
          <w:lang w:val="fr-FR"/>
        </w:rPr>
        <w:t>internal dividing walls</w:t>
      </w:r>
      <w:r w:rsidRPr="00553975">
        <w:rPr>
          <w:spacing w:val="-2"/>
          <w:lang w:val="fr-FR"/>
        </w:rPr>
        <w:t> » et « </w:t>
      </w:r>
      <w:r w:rsidRPr="00553975">
        <w:rPr>
          <w:i/>
          <w:iCs/>
          <w:spacing w:val="-2"/>
          <w:lang w:val="fr-FR"/>
        </w:rPr>
        <w:t>dividing walls</w:t>
      </w:r>
      <w:r w:rsidRPr="00553975">
        <w:rPr>
          <w:spacing w:val="-2"/>
          <w:lang w:val="fr-FR"/>
        </w:rPr>
        <w:t> » sont utilisés indifféremment dans la version anglaise de l’ATP pour désigner la même chose. Le terme « </w:t>
      </w:r>
      <w:r w:rsidRPr="00553975">
        <w:rPr>
          <w:i/>
          <w:iCs/>
          <w:spacing w:val="-2"/>
          <w:lang w:val="fr-FR"/>
        </w:rPr>
        <w:t>bulkhead</w:t>
      </w:r>
      <w:r w:rsidRPr="00553975">
        <w:rPr>
          <w:spacing w:val="-2"/>
          <w:lang w:val="fr-FR"/>
        </w:rPr>
        <w:t> » désigne l’extrémité avant d’une caisse plutôt qu’une paroi interne, longitudinale ou transversale. Pour harmoniser la version anglaise de l’ATP, il est donc proposé de modifier la terminologie utilisée. Toutefois, au point</w:t>
      </w:r>
      <w:r w:rsidR="00553975" w:rsidRPr="00553975">
        <w:rPr>
          <w:spacing w:val="-2"/>
          <w:lang w:val="fr-FR"/>
        </w:rPr>
        <w:t> </w:t>
      </w:r>
      <w:r w:rsidRPr="00553975">
        <w:rPr>
          <w:spacing w:val="-2"/>
          <w:lang w:val="fr-FR"/>
        </w:rPr>
        <w:t>1.2.1, le terme « </w:t>
      </w:r>
      <w:r w:rsidRPr="00553975">
        <w:rPr>
          <w:i/>
          <w:iCs/>
          <w:spacing w:val="-2"/>
          <w:lang w:val="fr-FR"/>
        </w:rPr>
        <w:t>bulkhead</w:t>
      </w:r>
      <w:r w:rsidRPr="00553975">
        <w:rPr>
          <w:spacing w:val="-2"/>
          <w:lang w:val="fr-FR"/>
        </w:rPr>
        <w:t> » est utilisé à bon escient.</w:t>
      </w:r>
    </w:p>
    <w:p w14:paraId="0C3F0E9E" w14:textId="2BCA6EF1" w:rsidR="00817E75" w:rsidRPr="005F40D2" w:rsidRDefault="00817E75" w:rsidP="00817E75">
      <w:pPr>
        <w:pStyle w:val="H1G"/>
      </w:pPr>
      <w:r>
        <w:rPr>
          <w:lang w:val="fr-FR"/>
        </w:rPr>
        <w:tab/>
      </w:r>
      <w:r>
        <w:rPr>
          <w:lang w:val="fr-FR"/>
        </w:rPr>
        <w:tab/>
        <w:t>Proposition 4 (version française uniquement)</w:t>
      </w:r>
    </w:p>
    <w:p w14:paraId="6A206CA5" w14:textId="6A2EFF0B" w:rsidR="00817E75" w:rsidRPr="005F40D2" w:rsidRDefault="00817E75" w:rsidP="00817E75">
      <w:pPr>
        <w:pStyle w:val="SingleTxtG"/>
      </w:pPr>
      <w:r>
        <w:rPr>
          <w:lang w:val="fr-FR"/>
        </w:rPr>
        <w:t>11.</w:t>
      </w:r>
      <w:r>
        <w:rPr>
          <w:lang w:val="fr-FR"/>
        </w:rPr>
        <w:tab/>
        <w:t>À l’annexe</w:t>
      </w:r>
      <w:r w:rsidR="00553975">
        <w:rPr>
          <w:lang w:val="fr-FR"/>
        </w:rPr>
        <w:t> </w:t>
      </w:r>
      <w:r>
        <w:rPr>
          <w:lang w:val="fr-FR"/>
        </w:rPr>
        <w:t>1, appendice</w:t>
      </w:r>
      <w:r w:rsidR="00553975">
        <w:rPr>
          <w:lang w:val="fr-FR"/>
        </w:rPr>
        <w:t> </w:t>
      </w:r>
      <w:r>
        <w:rPr>
          <w:lang w:val="fr-FR"/>
        </w:rPr>
        <w:t>2, sections</w:t>
      </w:r>
      <w:r w:rsidR="00553975">
        <w:rPr>
          <w:lang w:val="fr-FR"/>
        </w:rPr>
        <w:t> </w:t>
      </w:r>
      <w:r>
        <w:rPr>
          <w:lang w:val="fr-FR"/>
        </w:rPr>
        <w:t>7.3.1 (1</w:t>
      </w:r>
      <w:r w:rsidR="00553975">
        <w:rPr>
          <w:lang w:val="fr-FR"/>
        </w:rPr>
        <w:t> </w:t>
      </w:r>
      <w:r>
        <w:rPr>
          <w:lang w:val="fr-FR"/>
        </w:rPr>
        <w:t>occurrence), 7.3.3 (1</w:t>
      </w:r>
      <w:r w:rsidR="00553975">
        <w:rPr>
          <w:lang w:val="fr-FR"/>
        </w:rPr>
        <w:t> </w:t>
      </w:r>
      <w:r>
        <w:rPr>
          <w:lang w:val="fr-FR"/>
        </w:rPr>
        <w:t>occurrence), 7.3.4</w:t>
      </w:r>
      <w:r w:rsidR="004A245C">
        <w:rPr>
          <w:lang w:val="fr-FR"/>
        </w:rPr>
        <w:t> </w:t>
      </w:r>
      <w:r>
        <w:rPr>
          <w:lang w:val="fr-FR"/>
        </w:rPr>
        <w:t>(1</w:t>
      </w:r>
      <w:r w:rsidR="00553975">
        <w:rPr>
          <w:lang w:val="fr-FR"/>
        </w:rPr>
        <w:t> </w:t>
      </w:r>
      <w:r>
        <w:rPr>
          <w:lang w:val="fr-FR"/>
        </w:rPr>
        <w:t>occurrence), 7.3.5 (1</w:t>
      </w:r>
      <w:r w:rsidR="00553975">
        <w:rPr>
          <w:lang w:val="fr-FR"/>
        </w:rPr>
        <w:t> </w:t>
      </w:r>
      <w:r>
        <w:rPr>
          <w:lang w:val="fr-FR"/>
        </w:rPr>
        <w:t>occurrence), 7.3.6 (1</w:t>
      </w:r>
      <w:r w:rsidR="00553975">
        <w:rPr>
          <w:lang w:val="fr-FR"/>
        </w:rPr>
        <w:t> </w:t>
      </w:r>
      <w:r>
        <w:rPr>
          <w:lang w:val="fr-FR"/>
        </w:rPr>
        <w:t>occurrence) 7.3.7 (3</w:t>
      </w:r>
      <w:r w:rsidR="00553975">
        <w:rPr>
          <w:lang w:val="fr-FR"/>
        </w:rPr>
        <w:t> </w:t>
      </w:r>
      <w:r>
        <w:rPr>
          <w:lang w:val="fr-FR"/>
        </w:rPr>
        <w:t>occurrences) et dans le modèle</w:t>
      </w:r>
      <w:r w:rsidR="00553975">
        <w:rPr>
          <w:lang w:val="fr-FR"/>
        </w:rPr>
        <w:t> </w:t>
      </w:r>
      <w:r>
        <w:rPr>
          <w:lang w:val="fr-FR"/>
        </w:rPr>
        <w:t>14 (1</w:t>
      </w:r>
      <w:r w:rsidR="00553975">
        <w:rPr>
          <w:lang w:val="fr-FR"/>
        </w:rPr>
        <w:t> </w:t>
      </w:r>
      <w:r>
        <w:rPr>
          <w:lang w:val="fr-FR"/>
        </w:rPr>
        <w:t>occurrence) :</w:t>
      </w:r>
    </w:p>
    <w:p w14:paraId="78F4E2B2" w14:textId="77777777" w:rsidR="00817E75" w:rsidRPr="005F40D2" w:rsidRDefault="00817E75" w:rsidP="004A245C">
      <w:pPr>
        <w:pStyle w:val="SingleTxtG"/>
        <w:ind w:left="1701"/>
      </w:pPr>
      <w:r w:rsidRPr="004A245C">
        <w:rPr>
          <w:lang w:val="en-US"/>
        </w:rPr>
        <w:t>Remplacer</w:t>
      </w:r>
      <w:r>
        <w:rPr>
          <w:lang w:val="fr-FR"/>
        </w:rPr>
        <w:t xml:space="preserve"> « </w:t>
      </w:r>
      <w:r w:rsidRPr="00553975">
        <w:rPr>
          <w:lang w:val="fr-FR"/>
        </w:rPr>
        <w:t>cloisons internes </w:t>
      </w:r>
      <w:r>
        <w:rPr>
          <w:lang w:val="fr-FR"/>
        </w:rPr>
        <w:t>» par « cloisons ».</w:t>
      </w:r>
    </w:p>
    <w:p w14:paraId="65A9CCA2" w14:textId="77777777" w:rsidR="00817E75" w:rsidRPr="005F40D2" w:rsidRDefault="00817E75" w:rsidP="00817E75">
      <w:pPr>
        <w:pStyle w:val="H1G"/>
      </w:pPr>
      <w:r>
        <w:rPr>
          <w:lang w:val="fr-FR"/>
        </w:rPr>
        <w:tab/>
      </w:r>
      <w:r>
        <w:rPr>
          <w:lang w:val="fr-FR"/>
        </w:rPr>
        <w:tab/>
        <w:t>Justification</w:t>
      </w:r>
    </w:p>
    <w:p w14:paraId="1C3CA2FC" w14:textId="100ED9B0" w:rsidR="00F9573C" w:rsidRDefault="00817E75" w:rsidP="00817E75">
      <w:pPr>
        <w:pStyle w:val="SingleTxtG"/>
        <w:rPr>
          <w:lang w:val="fr-FR"/>
        </w:rPr>
      </w:pPr>
      <w:r>
        <w:rPr>
          <w:lang w:val="fr-FR"/>
        </w:rPr>
        <w:t>12.</w:t>
      </w:r>
      <w:r>
        <w:rPr>
          <w:lang w:val="fr-FR"/>
        </w:rPr>
        <w:tab/>
        <w:t>Le terme « cloison » désignant par définition une paroi divisant un espace en deux parties, il a été considéré que l’adjectif « internes » était superflu.</w:t>
      </w:r>
    </w:p>
    <w:p w14:paraId="24C20005" w14:textId="046495AA" w:rsidR="00817E75" w:rsidRPr="00817E75" w:rsidRDefault="00817E75" w:rsidP="00817E75">
      <w:pPr>
        <w:pStyle w:val="SingleTxtG"/>
        <w:spacing w:before="240" w:after="0"/>
        <w:jc w:val="center"/>
        <w:rPr>
          <w:u w:val="single"/>
        </w:rPr>
      </w:pPr>
      <w:r>
        <w:rPr>
          <w:u w:val="single"/>
        </w:rPr>
        <w:tab/>
      </w:r>
      <w:r>
        <w:rPr>
          <w:u w:val="single"/>
        </w:rPr>
        <w:tab/>
      </w:r>
      <w:r>
        <w:rPr>
          <w:u w:val="single"/>
        </w:rPr>
        <w:tab/>
      </w:r>
      <w:r>
        <w:rPr>
          <w:u w:val="single"/>
        </w:rPr>
        <w:tab/>
      </w:r>
    </w:p>
    <w:sectPr w:rsidR="00817E75" w:rsidRPr="00817E75" w:rsidSect="00854E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35EE" w14:textId="77777777" w:rsidR="00841A81" w:rsidRDefault="00841A81" w:rsidP="00F95C08">
      <w:pPr>
        <w:spacing w:line="240" w:lineRule="auto"/>
      </w:pPr>
    </w:p>
  </w:endnote>
  <w:endnote w:type="continuationSeparator" w:id="0">
    <w:p w14:paraId="34457571" w14:textId="77777777" w:rsidR="00841A81" w:rsidRPr="00AC3823" w:rsidRDefault="00841A81" w:rsidP="00AC3823">
      <w:pPr>
        <w:pStyle w:val="Pieddepage"/>
      </w:pPr>
    </w:p>
  </w:endnote>
  <w:endnote w:type="continuationNotice" w:id="1">
    <w:p w14:paraId="798FB00E" w14:textId="77777777" w:rsidR="00841A81" w:rsidRDefault="00841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558E" w14:textId="3C979D8B" w:rsidR="00854ED4" w:rsidRPr="00854ED4" w:rsidRDefault="00854ED4" w:rsidP="00854ED4">
    <w:pPr>
      <w:pStyle w:val="Pieddepage"/>
      <w:tabs>
        <w:tab w:val="right" w:pos="9638"/>
      </w:tabs>
    </w:pPr>
    <w:r w:rsidRPr="00854ED4">
      <w:rPr>
        <w:b/>
        <w:sz w:val="18"/>
      </w:rPr>
      <w:fldChar w:fldCharType="begin"/>
    </w:r>
    <w:r w:rsidRPr="00854ED4">
      <w:rPr>
        <w:b/>
        <w:sz w:val="18"/>
      </w:rPr>
      <w:instrText xml:space="preserve"> PAGE  \* MERGEFORMAT </w:instrText>
    </w:r>
    <w:r w:rsidRPr="00854ED4">
      <w:rPr>
        <w:b/>
        <w:sz w:val="18"/>
      </w:rPr>
      <w:fldChar w:fldCharType="separate"/>
    </w:r>
    <w:r w:rsidRPr="00854ED4">
      <w:rPr>
        <w:b/>
        <w:noProof/>
        <w:sz w:val="18"/>
      </w:rPr>
      <w:t>2</w:t>
    </w:r>
    <w:r w:rsidRPr="00854ED4">
      <w:rPr>
        <w:b/>
        <w:sz w:val="18"/>
      </w:rPr>
      <w:fldChar w:fldCharType="end"/>
    </w:r>
    <w:r>
      <w:rPr>
        <w:b/>
        <w:sz w:val="18"/>
      </w:rPr>
      <w:tab/>
    </w:r>
    <w:r>
      <w:t>GE.22-12570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26E8" w14:textId="00395DF5" w:rsidR="00854ED4" w:rsidRPr="00854ED4" w:rsidRDefault="00854ED4" w:rsidP="00854ED4">
    <w:pPr>
      <w:pStyle w:val="Pieddepage"/>
      <w:tabs>
        <w:tab w:val="right" w:pos="9638"/>
      </w:tabs>
      <w:rPr>
        <w:b/>
        <w:sz w:val="18"/>
      </w:rPr>
    </w:pPr>
    <w:r>
      <w:t>GE.22-12570</w:t>
    </w:r>
    <w:r>
      <w:tab/>
    </w:r>
    <w:r w:rsidRPr="00854ED4">
      <w:rPr>
        <w:b/>
        <w:sz w:val="18"/>
      </w:rPr>
      <w:fldChar w:fldCharType="begin"/>
    </w:r>
    <w:r w:rsidRPr="00854ED4">
      <w:rPr>
        <w:b/>
        <w:sz w:val="18"/>
      </w:rPr>
      <w:instrText xml:space="preserve"> PAGE  \* MERGEFORMAT </w:instrText>
    </w:r>
    <w:r w:rsidRPr="00854ED4">
      <w:rPr>
        <w:b/>
        <w:sz w:val="18"/>
      </w:rPr>
      <w:fldChar w:fldCharType="separate"/>
    </w:r>
    <w:r w:rsidRPr="00854ED4">
      <w:rPr>
        <w:b/>
        <w:noProof/>
        <w:sz w:val="18"/>
      </w:rPr>
      <w:t>3</w:t>
    </w:r>
    <w:r w:rsidRPr="00854E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0423" w14:textId="0CB835D1" w:rsidR="007F20FA" w:rsidRPr="00854ED4" w:rsidRDefault="00854ED4" w:rsidP="00854ED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A54AF1D" wp14:editId="355FBE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22-12570  (F)</w:t>
    </w:r>
    <w:r>
      <w:rPr>
        <w:noProof/>
        <w:sz w:val="20"/>
      </w:rPr>
      <w:drawing>
        <wp:anchor distT="0" distB="0" distL="114300" distR="114300" simplePos="0" relativeHeight="251660288" behindDoc="0" locked="0" layoutInCell="1" allowOverlap="1" wp14:anchorId="0B4795B3" wp14:editId="0BD94A5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45C">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B74C" w14:textId="77777777" w:rsidR="00841A81" w:rsidRPr="00AC3823" w:rsidRDefault="00841A81" w:rsidP="00AC3823">
      <w:pPr>
        <w:pStyle w:val="Pieddepage"/>
        <w:tabs>
          <w:tab w:val="right" w:pos="2155"/>
        </w:tabs>
        <w:spacing w:after="80" w:line="240" w:lineRule="atLeast"/>
        <w:ind w:left="680"/>
        <w:rPr>
          <w:u w:val="single"/>
        </w:rPr>
      </w:pPr>
      <w:r>
        <w:rPr>
          <w:u w:val="single"/>
        </w:rPr>
        <w:tab/>
      </w:r>
    </w:p>
  </w:footnote>
  <w:footnote w:type="continuationSeparator" w:id="0">
    <w:p w14:paraId="671A2C07" w14:textId="77777777" w:rsidR="00841A81" w:rsidRPr="00AC3823" w:rsidRDefault="00841A81" w:rsidP="00AC3823">
      <w:pPr>
        <w:pStyle w:val="Pieddepage"/>
        <w:tabs>
          <w:tab w:val="right" w:pos="2155"/>
        </w:tabs>
        <w:spacing w:after="80" w:line="240" w:lineRule="atLeast"/>
        <w:ind w:left="680"/>
        <w:rPr>
          <w:u w:val="single"/>
        </w:rPr>
      </w:pPr>
      <w:r>
        <w:rPr>
          <w:u w:val="single"/>
        </w:rPr>
        <w:tab/>
      </w:r>
    </w:p>
  </w:footnote>
  <w:footnote w:type="continuationNotice" w:id="1">
    <w:p w14:paraId="1B03C7E1" w14:textId="77777777" w:rsidR="00841A81" w:rsidRPr="00AC3823" w:rsidRDefault="00841A8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6ECB" w14:textId="54D044CD" w:rsidR="00854ED4" w:rsidRPr="00854ED4" w:rsidRDefault="00854ED4">
    <w:pPr>
      <w:pStyle w:val="En-tte"/>
    </w:pPr>
    <w:fldSimple w:instr=" TITLE  \* MERGEFORMAT ">
      <w:r>
        <w:t>ECE/TRANS/WP.11/2022/20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548E" w14:textId="54D85BC8" w:rsidR="00854ED4" w:rsidRPr="00854ED4" w:rsidRDefault="00854ED4" w:rsidP="00854ED4">
    <w:pPr>
      <w:pStyle w:val="En-tte"/>
      <w:jc w:val="right"/>
    </w:pPr>
    <w:fldSimple w:instr=" TITLE  \* MERGEFORMAT ">
      <w:r>
        <w:t>ECE/TRANS/WP.11/2022/20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1"/>
    <w:rsid w:val="00017F94"/>
    <w:rsid w:val="00023842"/>
    <w:rsid w:val="000334F9"/>
    <w:rsid w:val="00045FEB"/>
    <w:rsid w:val="0007796D"/>
    <w:rsid w:val="000B7790"/>
    <w:rsid w:val="00111F2F"/>
    <w:rsid w:val="0014365E"/>
    <w:rsid w:val="00143C66"/>
    <w:rsid w:val="00176178"/>
    <w:rsid w:val="001F525A"/>
    <w:rsid w:val="00201148"/>
    <w:rsid w:val="00223272"/>
    <w:rsid w:val="00227089"/>
    <w:rsid w:val="0024779E"/>
    <w:rsid w:val="00257168"/>
    <w:rsid w:val="002744B8"/>
    <w:rsid w:val="002832AC"/>
    <w:rsid w:val="002D7C93"/>
    <w:rsid w:val="00305801"/>
    <w:rsid w:val="003916DE"/>
    <w:rsid w:val="00421996"/>
    <w:rsid w:val="00441C3B"/>
    <w:rsid w:val="00446FE5"/>
    <w:rsid w:val="00452396"/>
    <w:rsid w:val="00477EB2"/>
    <w:rsid w:val="004837D8"/>
    <w:rsid w:val="004A245C"/>
    <w:rsid w:val="004E2EED"/>
    <w:rsid w:val="004E468C"/>
    <w:rsid w:val="005505B7"/>
    <w:rsid w:val="00553975"/>
    <w:rsid w:val="00573BE5"/>
    <w:rsid w:val="00586ED3"/>
    <w:rsid w:val="00596AA9"/>
    <w:rsid w:val="0071601D"/>
    <w:rsid w:val="007A62E6"/>
    <w:rsid w:val="007F20FA"/>
    <w:rsid w:val="0080684C"/>
    <w:rsid w:val="00817E75"/>
    <w:rsid w:val="00841A81"/>
    <w:rsid w:val="00854ED4"/>
    <w:rsid w:val="00871C75"/>
    <w:rsid w:val="008776DC"/>
    <w:rsid w:val="008D5EF9"/>
    <w:rsid w:val="009446C0"/>
    <w:rsid w:val="009705C8"/>
    <w:rsid w:val="009C1CF4"/>
    <w:rsid w:val="009F6B74"/>
    <w:rsid w:val="00A3029F"/>
    <w:rsid w:val="00A30353"/>
    <w:rsid w:val="00A878DF"/>
    <w:rsid w:val="00AC3823"/>
    <w:rsid w:val="00AE323C"/>
    <w:rsid w:val="00AF0CB5"/>
    <w:rsid w:val="00B00181"/>
    <w:rsid w:val="00B00B0D"/>
    <w:rsid w:val="00B45F2E"/>
    <w:rsid w:val="00B765F7"/>
    <w:rsid w:val="00B77993"/>
    <w:rsid w:val="00BA0CA9"/>
    <w:rsid w:val="00C02897"/>
    <w:rsid w:val="00C97039"/>
    <w:rsid w:val="00D3439C"/>
    <w:rsid w:val="00D41B29"/>
    <w:rsid w:val="00D434D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A2C44"/>
  <w15:docId w15:val="{6E65A1D7-E91F-4B98-91BC-844AEB4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56CE-397A-430B-97D4-E06E28E50181}"/>
</file>

<file path=customXml/itemProps2.xml><?xml version="1.0" encoding="utf-8"?>
<ds:datastoreItem xmlns:ds="http://schemas.openxmlformats.org/officeDocument/2006/customXml" ds:itemID="{ABD4BC27-3CF4-434B-A302-4BC00B0AB861}"/>
</file>

<file path=docProps/app.xml><?xml version="1.0" encoding="utf-8"?>
<Properties xmlns="http://schemas.openxmlformats.org/officeDocument/2006/extended-properties" xmlns:vt="http://schemas.openxmlformats.org/officeDocument/2006/docPropsVTypes">
  <Template>ECE_TRANS.dotm</Template>
  <TotalTime>0</TotalTime>
  <Pages>2</Pages>
  <Words>720</Words>
  <Characters>3862</Characters>
  <Application>Microsoft Office Word</Application>
  <DocSecurity>0</DocSecurity>
  <Lines>89</Lines>
  <Paragraphs>58</Paragraphs>
  <ScaleCrop>false</ScaleCrop>
  <HeadingPairs>
    <vt:vector size="2" baseType="variant">
      <vt:variant>
        <vt:lpstr>Titre</vt:lpstr>
      </vt:variant>
      <vt:variant>
        <vt:i4>1</vt:i4>
      </vt:variant>
    </vt:vector>
  </HeadingPairs>
  <TitlesOfParts>
    <vt:vector size="1" baseType="lpstr">
      <vt:lpstr>ECE/TRANS/WP.11/2022/20</vt:lpstr>
    </vt:vector>
  </TitlesOfParts>
  <Company>DCM</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ECE/TRANS/WP.11/2022/20</dc:title>
  <dc:subject/>
  <dc:creator>Marie DESCHAMPS</dc:creator>
  <cp:keywords/>
  <cp:lastModifiedBy>Marie Deschamps</cp:lastModifiedBy>
  <cp:revision>2</cp:revision>
  <cp:lastPrinted>2014-05-14T10:59:00Z</cp:lastPrinted>
  <dcterms:created xsi:type="dcterms:W3CDTF">2022-09-06T14:53:00Z</dcterms:created>
  <dcterms:modified xsi:type="dcterms:W3CDTF">2022-09-06T14:53:00Z</dcterms:modified>
</cp:coreProperties>
</file>