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5022131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C9A488" w14:textId="77777777" w:rsidR="002D5AAC" w:rsidRDefault="002D5AAC" w:rsidP="00DD44B1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B9D876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B21CA8" w14:textId="1B0027D0" w:rsidR="002D5AAC" w:rsidRPr="00F5396A" w:rsidRDefault="00F5396A" w:rsidP="00F5396A">
            <w:pPr>
              <w:jc w:val="right"/>
            </w:pPr>
            <w:r w:rsidRPr="00F5396A">
              <w:rPr>
                <w:sz w:val="40"/>
              </w:rPr>
              <w:t>ECE</w:t>
            </w:r>
            <w:r>
              <w:t>/TRANS/WP.11/2022/21</w:t>
            </w:r>
          </w:p>
        </w:tc>
      </w:tr>
      <w:tr w:rsidR="002D5AAC" w:rsidRPr="00A2461B" w14:paraId="53242ABC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00534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3AEABC" wp14:editId="434C0AC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9482C5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698219" w14:textId="77777777" w:rsidR="002D5AAC" w:rsidRDefault="001B6ECE" w:rsidP="001B6ECE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B104AD" w14:textId="77777777" w:rsidR="001B6ECE" w:rsidRDefault="001B6ECE" w:rsidP="001B6E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August 2022</w:t>
            </w:r>
          </w:p>
          <w:p w14:paraId="120D239D" w14:textId="77777777" w:rsidR="001B6ECE" w:rsidRDefault="001B6ECE" w:rsidP="001B6ECE">
            <w:pPr>
              <w:spacing w:line="240" w:lineRule="exact"/>
              <w:rPr>
                <w:lang w:val="en-US"/>
              </w:rPr>
            </w:pPr>
          </w:p>
          <w:p w14:paraId="1D1BEB72" w14:textId="77777777" w:rsidR="001B6ECE" w:rsidRPr="00D62A45" w:rsidRDefault="001B6ECE" w:rsidP="001B6E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Russian</w:t>
            </w:r>
          </w:p>
        </w:tc>
      </w:tr>
    </w:tbl>
    <w:p w14:paraId="2D886296" w14:textId="7BDE25C4" w:rsidR="00E40F48" w:rsidRDefault="004D34EB" w:rsidP="001B6EC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ABA5D9" w14:textId="77777777" w:rsidR="001B6ECE" w:rsidRPr="00755CE6" w:rsidRDefault="001B6ECE" w:rsidP="001B6ECE">
      <w:pPr>
        <w:spacing w:before="120"/>
        <w:rPr>
          <w:sz w:val="28"/>
          <w:szCs w:val="28"/>
        </w:rPr>
      </w:pPr>
      <w:r w:rsidRPr="00755CE6">
        <w:rPr>
          <w:sz w:val="28"/>
          <w:szCs w:val="28"/>
        </w:rPr>
        <w:t>Комитет по внутреннему транспорту</w:t>
      </w:r>
    </w:p>
    <w:p w14:paraId="5E06390B" w14:textId="77777777" w:rsidR="001B6ECE" w:rsidRPr="00755CE6" w:rsidRDefault="001B6ECE" w:rsidP="001B6ECE">
      <w:pPr>
        <w:spacing w:before="120"/>
        <w:rPr>
          <w:b/>
          <w:sz w:val="24"/>
          <w:szCs w:val="24"/>
        </w:rPr>
      </w:pPr>
      <w:r w:rsidRPr="00755CE6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755CE6">
        <w:rPr>
          <w:b/>
          <w:bCs/>
          <w:sz w:val="24"/>
          <w:szCs w:val="24"/>
        </w:rPr>
        <w:t>пищевых продуктов</w:t>
      </w:r>
    </w:p>
    <w:p w14:paraId="2FC74938" w14:textId="3F123F97" w:rsidR="001B6ECE" w:rsidRPr="00221480" w:rsidRDefault="001B6ECE" w:rsidP="001B6ECE">
      <w:pPr>
        <w:spacing w:before="120"/>
        <w:rPr>
          <w:b/>
          <w:bCs/>
        </w:rPr>
      </w:pPr>
      <w:r w:rsidRPr="00221480">
        <w:rPr>
          <w:b/>
          <w:bCs/>
        </w:rPr>
        <w:t xml:space="preserve">Семьдесят </w:t>
      </w:r>
      <w:r w:rsidR="00CC19D5">
        <w:rPr>
          <w:b/>
          <w:bCs/>
        </w:rPr>
        <w:t>девятая</w:t>
      </w:r>
      <w:r w:rsidRPr="00221480">
        <w:rPr>
          <w:b/>
          <w:bCs/>
        </w:rPr>
        <w:t xml:space="preserve"> сессия</w:t>
      </w:r>
      <w:r>
        <w:rPr>
          <w:b/>
          <w:bCs/>
        </w:rPr>
        <w:br/>
      </w:r>
      <w:r w:rsidRPr="00221480">
        <w:t xml:space="preserve">Женева, </w:t>
      </w:r>
      <w:r w:rsidRPr="00B10498">
        <w:t>25</w:t>
      </w:r>
      <w:r w:rsidRPr="00221480">
        <w:t>–</w:t>
      </w:r>
      <w:r w:rsidRPr="00B10498">
        <w:t>28</w:t>
      </w:r>
      <w:r w:rsidRPr="00221480">
        <w:t xml:space="preserve"> </w:t>
      </w:r>
      <w:r>
        <w:t>октября</w:t>
      </w:r>
      <w:r w:rsidRPr="00221480">
        <w:t xml:space="preserve"> 202</w:t>
      </w:r>
      <w:r>
        <w:t>2</w:t>
      </w:r>
      <w:r w:rsidRPr="00221480">
        <w:t xml:space="preserve"> года</w:t>
      </w:r>
      <w:r>
        <w:br/>
      </w:r>
      <w:r w:rsidRPr="005A1570">
        <w:t xml:space="preserve">Пункт 5 </w:t>
      </w:r>
      <w:r w:rsidR="00A47F26">
        <w:rPr>
          <w:lang w:val="en-US"/>
        </w:rPr>
        <w:t>a</w:t>
      </w:r>
      <w:r w:rsidR="00A47F26" w:rsidRPr="00532CE2">
        <w:t>)</w:t>
      </w:r>
      <w:r w:rsidRPr="005A1570">
        <w:t xml:space="preserve"> предварительной повестки дня</w:t>
      </w:r>
      <w:r w:rsidRPr="005A1570">
        <w:br/>
      </w:r>
      <w:r w:rsidRPr="005A1570">
        <w:rPr>
          <w:b/>
          <w:bCs/>
        </w:rPr>
        <w:t>Предложения по поправкам к СПС:</w:t>
      </w:r>
      <w:r w:rsidRPr="005A1570">
        <w:rPr>
          <w:b/>
          <w:bCs/>
        </w:rPr>
        <w:br/>
      </w:r>
      <w:r w:rsidR="00C03408" w:rsidRPr="00C03408">
        <w:rPr>
          <w:b/>
          <w:bCs/>
        </w:rPr>
        <w:t>предложения, по которым еще не приняты решения</w:t>
      </w:r>
    </w:p>
    <w:p w14:paraId="6DE900FC" w14:textId="18066EF1" w:rsidR="001B6ECE" w:rsidRDefault="001B6ECE" w:rsidP="001B6ECE">
      <w:pPr>
        <w:pStyle w:val="HChG"/>
      </w:pPr>
      <w:r>
        <w:tab/>
      </w:r>
      <w:r>
        <w:tab/>
      </w:r>
      <w:r w:rsidR="00FB24A2">
        <w:t>Пе</w:t>
      </w:r>
      <w:r w:rsidR="00231E3C">
        <w:t xml:space="preserve">ресмотренное </w:t>
      </w:r>
      <w:r>
        <w:t>Дополнение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положениями, касающимися испытательных станций и экспертов</w:t>
      </w:r>
    </w:p>
    <w:p w14:paraId="56FEC89A" w14:textId="4CF9EED9" w:rsidR="001B6ECE" w:rsidRDefault="001B6ECE" w:rsidP="001B6ECE">
      <w:pPr>
        <w:pStyle w:val="H1G"/>
      </w:pPr>
      <w:r>
        <w:tab/>
      </w:r>
      <w:r>
        <w:tab/>
      </w:r>
      <w:r w:rsidRPr="00221480">
        <w:t>Передано правительством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 xml:space="preserve">Федерации </w:t>
      </w:r>
    </w:p>
    <w:tbl>
      <w:tblPr>
        <w:tblStyle w:val="a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2830"/>
        <w:gridCol w:w="6798"/>
      </w:tblGrid>
      <w:tr w:rsidR="001B6ECE" w14:paraId="2E419951" w14:textId="77777777" w:rsidTr="005D0C8C">
        <w:trPr>
          <w:jc w:val="center"/>
        </w:trPr>
        <w:tc>
          <w:tcPr>
            <w:tcW w:w="2830" w:type="dxa"/>
            <w:shd w:val="clear" w:color="auto" w:fill="auto"/>
          </w:tcPr>
          <w:p w14:paraId="7B1A3765" w14:textId="77777777" w:rsidR="001B6ECE" w:rsidRPr="00C6263E" w:rsidRDefault="001B6ECE" w:rsidP="005D0C8C">
            <w:pPr>
              <w:spacing w:before="240" w:after="120"/>
              <w:ind w:left="255"/>
              <w:rPr>
                <w:i/>
                <w:sz w:val="24"/>
                <w:lang w:val="en-GB"/>
              </w:rPr>
            </w:pPr>
            <w:r w:rsidRPr="00755CE6">
              <w:rPr>
                <w:rFonts w:cs="Times New Roman"/>
                <w:i/>
                <w:sz w:val="24"/>
              </w:rPr>
              <w:t>Резюме</w:t>
            </w:r>
          </w:p>
        </w:tc>
        <w:tc>
          <w:tcPr>
            <w:tcW w:w="6798" w:type="dxa"/>
          </w:tcPr>
          <w:p w14:paraId="37CC28AF" w14:textId="77777777" w:rsidR="001B6ECE" w:rsidRPr="00755CE6" w:rsidRDefault="001B6ECE" w:rsidP="005D0C8C">
            <w:pPr>
              <w:spacing w:before="240" w:after="120"/>
              <w:ind w:left="255"/>
              <w:rPr>
                <w:rFonts w:cs="Times New Roman"/>
                <w:i/>
                <w:sz w:val="24"/>
              </w:rPr>
            </w:pPr>
          </w:p>
        </w:tc>
      </w:tr>
      <w:tr w:rsidR="001B6ECE" w14:paraId="32E54EFE" w14:textId="77777777" w:rsidTr="005D0C8C">
        <w:trPr>
          <w:jc w:val="center"/>
        </w:trPr>
        <w:tc>
          <w:tcPr>
            <w:tcW w:w="2830" w:type="dxa"/>
            <w:shd w:val="clear" w:color="auto" w:fill="auto"/>
          </w:tcPr>
          <w:p w14:paraId="25A386CD" w14:textId="77777777" w:rsidR="001B6ECE" w:rsidRDefault="001B6ECE" w:rsidP="005D0C8C">
            <w:pPr>
              <w:pStyle w:val="SingleTxtG"/>
              <w:ind w:left="255" w:right="0"/>
            </w:pPr>
            <w:r w:rsidRPr="00C70272">
              <w:rPr>
                <w:rFonts w:eastAsia="Times New Roman"/>
                <w:b/>
                <w:bCs/>
              </w:rPr>
              <w:t>Существо</w:t>
            </w:r>
            <w:r w:rsidRPr="00221480">
              <w:rPr>
                <w:b/>
                <w:bCs/>
              </w:rPr>
              <w:t xml:space="preserve"> предложения</w:t>
            </w:r>
            <w:r w:rsidRPr="00755CE6">
              <w:t>:</w:t>
            </w:r>
          </w:p>
        </w:tc>
        <w:tc>
          <w:tcPr>
            <w:tcW w:w="6798" w:type="dxa"/>
          </w:tcPr>
          <w:p w14:paraId="0D77402A" w14:textId="77777777" w:rsidR="001B6ECE" w:rsidRPr="00C6710D" w:rsidRDefault="001B6ECE" w:rsidP="005D0C8C">
            <w:pPr>
              <w:pStyle w:val="SingleTxtG"/>
              <w:ind w:left="0"/>
            </w:pPr>
            <w:r w:rsidRPr="00C6710D">
              <w:t xml:space="preserve">В </w:t>
            </w:r>
            <w:r w:rsidRPr="00D9051D">
              <w:rPr>
                <w:rFonts w:eastAsia="Times New Roman"/>
              </w:rPr>
              <w:t>Соглашении</w:t>
            </w:r>
            <w:r w:rsidRPr="00C6710D">
      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подписанном в г. Женеве 1</w:t>
            </w:r>
            <w:r>
              <w:t> </w:t>
            </w:r>
            <w:r w:rsidRPr="00C6710D">
              <w:t>сентября 1970 г. (далее – СПС), указано, что испытательные станции и эксперты назначаются компетентным органом страны по СПС, при этом требования, которым должна соответствовать организация, чтобы быть уполномоченной в качестве испытательной станции или эксперта и положения о надзоре (контроле) за деятельностью испытательных станций и назначенных экспертов СПС не установлены.</w:t>
            </w:r>
          </w:p>
        </w:tc>
      </w:tr>
      <w:tr w:rsidR="001B6ECE" w14:paraId="3E4E5146" w14:textId="77777777" w:rsidTr="005D0C8C">
        <w:trPr>
          <w:jc w:val="center"/>
        </w:trPr>
        <w:tc>
          <w:tcPr>
            <w:tcW w:w="2830" w:type="dxa"/>
            <w:shd w:val="clear" w:color="auto" w:fill="auto"/>
          </w:tcPr>
          <w:p w14:paraId="221447E8" w14:textId="77777777" w:rsidR="001B6ECE" w:rsidRPr="00C70272" w:rsidRDefault="001B6ECE" w:rsidP="005D0C8C">
            <w:pPr>
              <w:pStyle w:val="SingleTxtG"/>
              <w:ind w:left="255" w:right="0"/>
              <w:rPr>
                <w:b/>
                <w:bCs/>
              </w:rPr>
            </w:pPr>
            <w:r w:rsidRPr="00221480">
              <w:rPr>
                <w:b/>
                <w:bCs/>
              </w:rPr>
              <w:t>Предлагаемое решение</w:t>
            </w:r>
            <w:r w:rsidRPr="00755CE6">
              <w:t>:</w:t>
            </w:r>
          </w:p>
        </w:tc>
        <w:tc>
          <w:tcPr>
            <w:tcW w:w="6798" w:type="dxa"/>
          </w:tcPr>
          <w:p w14:paraId="7F175CC1" w14:textId="77777777" w:rsidR="001B6ECE" w:rsidRPr="00C70272" w:rsidRDefault="001B6ECE" w:rsidP="005D0C8C">
            <w:pPr>
              <w:pStyle w:val="SingleTxtG"/>
              <w:ind w:left="0"/>
              <w:rPr>
                <w:b/>
                <w:bCs/>
              </w:rPr>
            </w:pPr>
            <w:r w:rsidRPr="00441DA3">
              <w:t>Дополнить СПС соответствующими положениями.</w:t>
            </w:r>
          </w:p>
        </w:tc>
      </w:tr>
      <w:tr w:rsidR="001B6ECE" w14:paraId="11B83404" w14:textId="77777777" w:rsidTr="005D0C8C">
        <w:trPr>
          <w:jc w:val="center"/>
        </w:trPr>
        <w:tc>
          <w:tcPr>
            <w:tcW w:w="2830" w:type="dxa"/>
            <w:shd w:val="clear" w:color="auto" w:fill="auto"/>
          </w:tcPr>
          <w:p w14:paraId="5D90B954" w14:textId="77777777" w:rsidR="001B6ECE" w:rsidRPr="00C70272" w:rsidRDefault="001B6ECE" w:rsidP="005D0C8C">
            <w:pPr>
              <w:pStyle w:val="SingleTxtG"/>
              <w:ind w:left="255" w:right="0"/>
              <w:rPr>
                <w:b/>
                <w:bCs/>
              </w:rPr>
            </w:pPr>
            <w:r w:rsidRPr="00221480">
              <w:rPr>
                <w:b/>
                <w:bCs/>
              </w:rPr>
              <w:t>Справочн</w:t>
            </w:r>
            <w:r>
              <w:rPr>
                <w:b/>
                <w:bCs/>
              </w:rPr>
              <w:t>ая</w:t>
            </w:r>
            <w:r w:rsidRPr="002214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информация</w:t>
            </w:r>
            <w:r w:rsidRPr="00755CE6">
              <w:t>:</w:t>
            </w:r>
          </w:p>
        </w:tc>
        <w:tc>
          <w:tcPr>
            <w:tcW w:w="6798" w:type="dxa"/>
          </w:tcPr>
          <w:p w14:paraId="1422AF9F" w14:textId="77777777" w:rsidR="001B6ECE" w:rsidRPr="00C70272" w:rsidRDefault="001B6ECE" w:rsidP="005D0C8C">
            <w:pPr>
              <w:pStyle w:val="SingleTxtG"/>
              <w:ind w:left="0"/>
              <w:rPr>
                <w:b/>
                <w:bCs/>
              </w:rPr>
            </w:pPr>
            <w:r w:rsidRPr="0067719A">
              <w:t>Отсутствует.</w:t>
            </w:r>
          </w:p>
        </w:tc>
      </w:tr>
      <w:tr w:rsidR="001B6ECE" w14:paraId="6E182C8A" w14:textId="77777777" w:rsidTr="005D0C8C">
        <w:trPr>
          <w:jc w:val="center"/>
        </w:trPr>
        <w:tc>
          <w:tcPr>
            <w:tcW w:w="2830" w:type="dxa"/>
            <w:shd w:val="clear" w:color="auto" w:fill="auto"/>
          </w:tcPr>
          <w:p w14:paraId="62B03B58" w14:textId="77777777" w:rsidR="001B6ECE" w:rsidRDefault="001B6ECE" w:rsidP="005D0C8C">
            <w:pPr>
              <w:rPr>
                <w:lang w:val="en-GB"/>
              </w:rPr>
            </w:pPr>
          </w:p>
        </w:tc>
        <w:tc>
          <w:tcPr>
            <w:tcW w:w="6798" w:type="dxa"/>
          </w:tcPr>
          <w:p w14:paraId="1DE17A29" w14:textId="77777777" w:rsidR="001B6ECE" w:rsidRDefault="001B6ECE" w:rsidP="005D0C8C">
            <w:pPr>
              <w:rPr>
                <w:lang w:val="en-GB"/>
              </w:rPr>
            </w:pPr>
          </w:p>
        </w:tc>
      </w:tr>
    </w:tbl>
    <w:p w14:paraId="72F21A83" w14:textId="77777777" w:rsidR="001B6ECE" w:rsidRDefault="001B6ECE" w:rsidP="001B6ECE"/>
    <w:p w14:paraId="210E2584" w14:textId="4606DB1E" w:rsidR="001B6ECE" w:rsidRDefault="001B6ECE" w:rsidP="001B6ECE">
      <w:r>
        <w:br w:type="page"/>
      </w:r>
    </w:p>
    <w:p w14:paraId="36C20349" w14:textId="7BB194F2" w:rsidR="001B6ECE" w:rsidRDefault="001B6ECE" w:rsidP="001B6ECE">
      <w:pPr>
        <w:pStyle w:val="HChG"/>
      </w:pPr>
      <w:r>
        <w:lastRenderedPageBreak/>
        <w:tab/>
      </w:r>
      <w:r>
        <w:tab/>
        <w:t>Введение</w:t>
      </w:r>
    </w:p>
    <w:p w14:paraId="4C04CDB1" w14:textId="675C38A0" w:rsidR="001B6ECE" w:rsidRDefault="001B6ECE" w:rsidP="001B6ECE">
      <w:pPr>
        <w:pStyle w:val="SingleTxtG"/>
      </w:pPr>
      <w:r>
        <w:rPr>
          <w:rFonts w:eastAsiaTheme="minorHAnsi"/>
        </w:rPr>
        <w:t>1.</w:t>
      </w:r>
      <w:r>
        <w:rPr>
          <w:rFonts w:eastAsiaTheme="minorHAnsi"/>
        </w:rPr>
        <w:tab/>
        <w:t>В пункте 1 приложения 1, добавления 1 к СПС упоминается о том, что испытательные станции назначаются или уполномочиваются компетентным органом страны по СПС.</w:t>
      </w:r>
    </w:p>
    <w:p w14:paraId="6F53CA14" w14:textId="021B99D3" w:rsidR="001B6ECE" w:rsidRDefault="001B6ECE" w:rsidP="001B6ECE">
      <w:pPr>
        <w:pStyle w:val="SingleTxtG"/>
      </w:pPr>
      <w:r>
        <w:rPr>
          <w:rFonts w:eastAsiaTheme="minorHAnsi"/>
        </w:rPr>
        <w:t>2.</w:t>
      </w:r>
      <w:r>
        <w:rPr>
          <w:rFonts w:eastAsiaTheme="minorHAnsi"/>
        </w:rPr>
        <w:tab/>
        <w:t xml:space="preserve">В пунктах 5 и 6 приложения 1, добавления 2 к СПС указано, что компетентный орган может назначить экспертов, </w:t>
      </w:r>
      <w:r>
        <w:rPr>
          <w:color w:val="231F1F"/>
        </w:rPr>
        <w:t>возложив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на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них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задачу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по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решению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вопроса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о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том,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может ли данное транспортное средство оставаться в той или иной категории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изотермических транспортных средств.</w:t>
      </w:r>
    </w:p>
    <w:p w14:paraId="7C7C45BE" w14:textId="77777777" w:rsidR="001B6ECE" w:rsidRDefault="001B6ECE" w:rsidP="001B6ECE">
      <w:pPr>
        <w:pStyle w:val="SingleTxtG"/>
      </w:pPr>
      <w:r>
        <w:rPr>
          <w:rFonts w:eastAsiaTheme="minorHAnsi"/>
        </w:rPr>
        <w:t>3.</w:t>
      </w:r>
      <w:r>
        <w:rPr>
          <w:rFonts w:eastAsiaTheme="minorHAnsi"/>
        </w:rPr>
        <w:tab/>
        <w:t>Требования к испытательным станциям и экспертам СПС не установлены.</w:t>
      </w:r>
    </w:p>
    <w:p w14:paraId="468C7A31" w14:textId="3BE97AD2" w:rsidR="001B6ECE" w:rsidRDefault="001B6ECE" w:rsidP="001B6ECE">
      <w:pPr>
        <w:pStyle w:val="SingleTxtG"/>
      </w:pPr>
      <w:r>
        <w:rPr>
          <w:rFonts w:eastAsiaTheme="minorHAnsi"/>
        </w:rPr>
        <w:t>4.</w:t>
      </w:r>
      <w:r>
        <w:rPr>
          <w:rFonts w:eastAsiaTheme="minorHAnsi"/>
        </w:rPr>
        <w:tab/>
        <w:t>Порядок осуществления контроля и надзора за деятельностью испытательных станций и экспертов в СПС не прописан.</w:t>
      </w:r>
    </w:p>
    <w:p w14:paraId="1638807F" w14:textId="77777777" w:rsidR="001B6ECE" w:rsidRDefault="001B6ECE" w:rsidP="001B6ECE">
      <w:pPr>
        <w:pStyle w:val="SingleTxtG"/>
      </w:pPr>
      <w:r>
        <w:rPr>
          <w:rFonts w:eastAsiaTheme="minorHAnsi"/>
        </w:rPr>
        <w:t>5.</w:t>
      </w:r>
      <w:r>
        <w:rPr>
          <w:rFonts w:eastAsiaTheme="minorHAnsi"/>
        </w:rPr>
        <w:tab/>
        <w:t>Санкции (ответственность) за нарушение (несоблюдение) методов и порядка проведения измерений и контроля изотермических свойств и эффективности оборудования для охлаждения или для обогрева специальных транспортных средств, предназначенных для перевозки скоропортящихся пищевых продуктов (далее – методика) отсутствуют.</w:t>
      </w:r>
    </w:p>
    <w:p w14:paraId="10A641AF" w14:textId="77777777" w:rsidR="001B6ECE" w:rsidRDefault="001B6ECE" w:rsidP="001B6ECE">
      <w:pPr>
        <w:pStyle w:val="SingleTxtG"/>
      </w:pPr>
      <w:r>
        <w:rPr>
          <w:rFonts w:eastAsiaTheme="minorHAnsi"/>
        </w:rPr>
        <w:t>6.</w:t>
      </w:r>
      <w:r>
        <w:rPr>
          <w:rFonts w:eastAsiaTheme="minorHAnsi"/>
        </w:rPr>
        <w:tab/>
        <w:t>Является очевидным, что отсутствие какого-либо контроля деятельности испытательных станций и экспертов может оказать отрицательное влияние на качество и эффективность их работы, заключения, сделанные ими, могут оказаться некорректными, что может повлечь ухудшение условий сохранения качества скоропортящихся пищевых продуктов во время их перевозки.</w:t>
      </w:r>
    </w:p>
    <w:p w14:paraId="55329D3B" w14:textId="77777777" w:rsidR="001B6ECE" w:rsidRDefault="001B6ECE" w:rsidP="001B6ECE">
      <w:pPr>
        <w:pStyle w:val="SingleTxtG"/>
      </w:pPr>
      <w:r>
        <w:rPr>
          <w:rFonts w:eastAsiaTheme="minorHAnsi"/>
        </w:rPr>
        <w:t>7.</w:t>
      </w:r>
      <w:r>
        <w:rPr>
          <w:rFonts w:eastAsiaTheme="minorHAnsi"/>
        </w:rPr>
        <w:tab/>
        <w:t xml:space="preserve">Вместе с тем необходимо определить и закрепить в СПС список критериев, которым должны соответствовать организации для назначения или уполномочивания их в качестве испытательных станций и экспертов. </w:t>
      </w:r>
    </w:p>
    <w:p w14:paraId="11C6C54A" w14:textId="77777777" w:rsidR="001B6ECE" w:rsidRDefault="001B6ECE" w:rsidP="001B6ECE">
      <w:pPr>
        <w:pStyle w:val="SingleTxtG"/>
      </w:pPr>
      <w:r>
        <w:rPr>
          <w:rFonts w:eastAsiaTheme="minorHAnsi"/>
        </w:rPr>
        <w:t>8.</w:t>
      </w:r>
      <w:r>
        <w:rPr>
          <w:rFonts w:eastAsiaTheme="minorHAnsi"/>
        </w:rPr>
        <w:tab/>
        <w:t>В целях гармонизации требований к испытательным станциям и экспертам договаривающихся сторон Российская Федерация подготовила предложение по внесению изменений в СПС, в части включения дополнительного приложения.</w:t>
      </w:r>
    </w:p>
    <w:p w14:paraId="118B6E18" w14:textId="5A6CFBCC" w:rsidR="001B6ECE" w:rsidRDefault="001B6ECE" w:rsidP="001B6ECE">
      <w:pPr>
        <w:pStyle w:val="SingleTxtG"/>
      </w:pPr>
      <w:r>
        <w:rPr>
          <w:rFonts w:eastAsiaTheme="minorHAnsi"/>
        </w:rPr>
        <w:t>9.</w:t>
      </w:r>
      <w:r>
        <w:rPr>
          <w:rFonts w:eastAsiaTheme="minorHAnsi"/>
        </w:rPr>
        <w:tab/>
        <w:t xml:space="preserve">На </w:t>
      </w:r>
      <w:r w:rsidR="00CC19D5">
        <w:rPr>
          <w:rFonts w:eastAsiaTheme="minorHAnsi"/>
        </w:rPr>
        <w:t>семьдесят восьмой</w:t>
      </w:r>
      <w:r>
        <w:rPr>
          <w:rFonts w:eastAsiaTheme="minorHAnsi"/>
        </w:rPr>
        <w:t xml:space="preserve"> сессии рабочей группы по перевозкам скоропортящихся пищевых продуктов делегацией Российской Федерации было представлено предложение по поправкам к СПС (официальный документ </w:t>
      </w:r>
      <w:r>
        <w:t>ECE/TRANS/WP.11/2022/1), предложение не было принято по следующим причинам:</w:t>
      </w:r>
    </w:p>
    <w:p w14:paraId="2D0B49C4" w14:textId="70B72DAC" w:rsidR="001B6ECE" w:rsidRDefault="00CC19D5" w:rsidP="001B6ECE">
      <w:pPr>
        <w:pStyle w:val="SingleTxtG"/>
      </w:pPr>
      <w:r>
        <w:rPr>
          <w:rFonts w:eastAsiaTheme="minorHAnsi"/>
        </w:rPr>
        <w:tab/>
        <w:t>а)</w:t>
      </w:r>
      <w:r w:rsidR="001B6ECE">
        <w:rPr>
          <w:rFonts w:eastAsiaTheme="minorHAnsi"/>
        </w:rPr>
        <w:tab/>
        <w:t>делегация Дании сообщила, что по политическим мотивам не может обсуждать или голосовать за предложение Российской Федерации;</w:t>
      </w:r>
    </w:p>
    <w:p w14:paraId="25199CC7" w14:textId="3E601559" w:rsidR="001B6ECE" w:rsidRDefault="00CC19D5" w:rsidP="001B6ECE">
      <w:pPr>
        <w:pStyle w:val="SingleTxtG"/>
      </w:pPr>
      <w:r>
        <w:rPr>
          <w:rFonts w:eastAsiaTheme="minorHAnsi"/>
        </w:rPr>
        <w:tab/>
        <w:t>б)</w:t>
      </w:r>
      <w:r>
        <w:rPr>
          <w:rFonts w:eastAsiaTheme="minorHAnsi"/>
        </w:rPr>
        <w:tab/>
      </w:r>
      <w:r w:rsidR="001B6ECE">
        <w:rPr>
          <w:rFonts w:eastAsiaTheme="minorHAnsi"/>
        </w:rPr>
        <w:t>некоторые делегации отметили, что в их странах существуют национальные процедуры для проверки работы испытательных станций СПС и, что эти национальные процедуры могут отличаться от предложенных в документе. По конкретным пунктам предложения были получены следующие замечания:</w:t>
      </w:r>
    </w:p>
    <w:p w14:paraId="62A03716" w14:textId="77777777" w:rsidR="001B6ECE" w:rsidRDefault="001B6ECE" w:rsidP="00A4325E">
      <w:pPr>
        <w:pStyle w:val="Bullet1G"/>
      </w:pPr>
      <w:r>
        <w:rPr>
          <w:rFonts w:eastAsiaTheme="minorHAnsi"/>
        </w:rPr>
        <w:tab/>
        <w:t>пункт i):</w:t>
      </w:r>
      <w:r>
        <w:rPr>
          <w:rFonts w:eastAsiaTheme="minorHAnsi"/>
        </w:rPr>
        <w:tab/>
        <w:t>Срок действия допущения (3 года) можно считать слишком коротким с точки зрения возможности для испытательных станций вернуть вложенные средства.</w:t>
      </w:r>
      <w:r>
        <w:rPr>
          <w:rFonts w:eastAsiaTheme="minorHAnsi"/>
        </w:rPr>
        <w:br/>
        <w:t>Российская Федерация пояснила, что предполагалось, что допущения для испытательных станций будут продлеваться каждые 3 года в целях продолжения работы.</w:t>
      </w:r>
    </w:p>
    <w:p w14:paraId="376E3B0F" w14:textId="77777777" w:rsidR="001B6ECE" w:rsidRDefault="001B6ECE" w:rsidP="00A4325E">
      <w:pPr>
        <w:pStyle w:val="Bullet1G"/>
      </w:pPr>
      <w:r>
        <w:rPr>
          <w:rFonts w:eastAsiaTheme="minorHAnsi"/>
        </w:rPr>
        <w:tab/>
        <w:t>пункт iii):</w:t>
      </w:r>
      <w:r>
        <w:rPr>
          <w:rFonts w:eastAsiaTheme="minorHAnsi"/>
        </w:rPr>
        <w:tab/>
        <w:t>Некоторые делегации не увидели необходимости в том, чтобы испытательные станции имели калориметрическую камеру.</w:t>
      </w:r>
    </w:p>
    <w:p w14:paraId="1ADC6FCA" w14:textId="77777777" w:rsidR="001B6ECE" w:rsidRDefault="001B6ECE" w:rsidP="00A4325E">
      <w:pPr>
        <w:pStyle w:val="Bullet1G"/>
      </w:pPr>
      <w:r>
        <w:rPr>
          <w:rFonts w:eastAsiaTheme="minorHAnsi"/>
        </w:rPr>
        <w:tab/>
        <w:t>пункт v):</w:t>
      </w:r>
      <w:r>
        <w:rPr>
          <w:rFonts w:eastAsiaTheme="minorHAnsi"/>
        </w:rPr>
        <w:tab/>
        <w:t>В то время, как некоторые делегации вообще не поддержали проведение сертификации качества, другие придерживались мнения, что при необходимости сертификация качества должна проводиться в соответствии со стандартом ISO 17025.</w:t>
      </w:r>
    </w:p>
    <w:p w14:paraId="15B95AD9" w14:textId="77777777" w:rsidR="001B6ECE" w:rsidRDefault="001B6ECE" w:rsidP="00A4325E">
      <w:pPr>
        <w:pStyle w:val="Bullet1G"/>
      </w:pPr>
      <w:r>
        <w:rPr>
          <w:rFonts w:eastAsiaTheme="minorHAnsi"/>
        </w:rPr>
        <w:tab/>
        <w:t>пункт vi):</w:t>
      </w:r>
      <w:r>
        <w:rPr>
          <w:rFonts w:eastAsiaTheme="minorHAnsi"/>
        </w:rPr>
        <w:tab/>
        <w:t>Соответствующие положения могут быть труднодостижимы на практике.</w:t>
      </w:r>
    </w:p>
    <w:p w14:paraId="02DEEEBC" w14:textId="77777777" w:rsidR="001B6ECE" w:rsidRDefault="001B6ECE" w:rsidP="00A4325E">
      <w:pPr>
        <w:pStyle w:val="Bullet1G"/>
      </w:pPr>
      <w:r>
        <w:rPr>
          <w:rFonts w:eastAsiaTheme="minorHAnsi"/>
        </w:rPr>
        <w:lastRenderedPageBreak/>
        <w:tab/>
        <w:t>пункт x):</w:t>
      </w:r>
      <w:r>
        <w:rPr>
          <w:rFonts w:eastAsiaTheme="minorHAnsi"/>
        </w:rPr>
        <w:tab/>
        <w:t>Такая необходимость отсутствует, поскольку после включения в СПС соответствующие требования становятся обязательными для всех Договаривающихся сторон.</w:t>
      </w:r>
    </w:p>
    <w:p w14:paraId="3D7942BE" w14:textId="2A658979" w:rsidR="001B6ECE" w:rsidRDefault="001B6ECE" w:rsidP="001B6ECE">
      <w:pPr>
        <w:pStyle w:val="SingleTxtG"/>
      </w:pPr>
      <w:r>
        <w:rPr>
          <w:rFonts w:eastAsiaTheme="minorHAnsi"/>
        </w:rPr>
        <w:t>10.</w:t>
      </w:r>
      <w:r>
        <w:rPr>
          <w:rFonts w:eastAsiaTheme="minorHAnsi"/>
        </w:rPr>
        <w:tab/>
        <w:t>Российская Федерация поблагодарила Рабочую группу за высказанные замечания</w:t>
      </w:r>
      <w:r w:rsidR="00CC19D5">
        <w:rPr>
          <w:rFonts w:eastAsiaTheme="minorHAnsi"/>
        </w:rPr>
        <w:t xml:space="preserve"> </w:t>
      </w:r>
      <w:r>
        <w:rPr>
          <w:rFonts w:eastAsiaTheme="minorHAnsi"/>
        </w:rPr>
        <w:t>и подготовила пересмотренное предложение.</w:t>
      </w:r>
    </w:p>
    <w:p w14:paraId="6FDC651A" w14:textId="5C53D2A9" w:rsidR="001B6ECE" w:rsidRDefault="00CC19D5" w:rsidP="00CC19D5">
      <w:pPr>
        <w:pStyle w:val="HChG"/>
      </w:pPr>
      <w:r>
        <w:tab/>
      </w:r>
      <w:r w:rsidRPr="00B10498">
        <w:tab/>
      </w:r>
      <w:r>
        <w:rPr>
          <w:lang w:val="en-US"/>
        </w:rPr>
        <w:t>I</w:t>
      </w:r>
      <w:r w:rsidRPr="00B10498">
        <w:t>.</w:t>
      </w:r>
      <w:r w:rsidRPr="00B10498">
        <w:tab/>
      </w:r>
      <w:r w:rsidR="001B6ECE">
        <w:t>Предложение для голосования</w:t>
      </w:r>
    </w:p>
    <w:p w14:paraId="751F881C" w14:textId="139E9695" w:rsidR="001B6ECE" w:rsidRDefault="00CC19D5" w:rsidP="001B6ECE">
      <w:pPr>
        <w:pStyle w:val="SingleTxtG"/>
      </w:pPr>
      <w:r w:rsidRPr="00B10498">
        <w:t>11.</w:t>
      </w:r>
      <w:r w:rsidRPr="00B10498">
        <w:tab/>
      </w:r>
      <w:r w:rsidR="001B6ECE">
        <w:t>Включить в СПС приложение 4 следующего содержания:</w:t>
      </w:r>
    </w:p>
    <w:p w14:paraId="305B045E" w14:textId="797BFD03" w:rsidR="001B6ECE" w:rsidRDefault="00CC19D5" w:rsidP="001B6ECE">
      <w:pPr>
        <w:pStyle w:val="SingleTxtG"/>
      </w:pPr>
      <w:r>
        <w:t>«</w:t>
      </w:r>
      <w:r w:rsidR="001B6ECE">
        <w:t>Положения, касающиеся уполномочивании или назначения испытательных станций</w:t>
      </w:r>
      <w:r w:rsidR="001B6ECE">
        <w:br/>
        <w:t>и экспертных организаций (далее – эксперт), контроля за их деятельностью и ответственности за несоблюдение указанных положений</w:t>
      </w:r>
      <w:r>
        <w:t>:</w:t>
      </w:r>
    </w:p>
    <w:p w14:paraId="182A9ABB" w14:textId="071FC689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Испытательной станцией или экспертом может быть назначена организация, не имеющая какой-либо заинтересованности в результатах испытаний и заключениях экспертов. Отношения, которые угрожают беспристрастности испытательной станции или эксперта, могут основываться на праве собственности, управлении, руководстве, персонале, общих ресурсах, финансах, договорах, маркетинге (включая брэндинг) и комиссионных выплатах или на других видах стимулирования в отношении новых заказчиков и т.п.</w:t>
      </w:r>
    </w:p>
    <w:p w14:paraId="357EC868" w14:textId="69102905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2.</w:t>
      </w:r>
      <w:r w:rsidR="001B6ECE">
        <w:tab/>
        <w:t>Испытательная станция должна располагать помещением изотермической</w:t>
      </w:r>
      <w:r w:rsidR="001B6ECE">
        <w:br/>
        <w:t>камеры, оборудованием и средствами измерения, отвечающих требованиям СПС, обеспечивающими выполнение работ со всеми типами транспортных средств, использующихся для перевозки скоропортящихся продуктов.</w:t>
      </w:r>
    </w:p>
    <w:p w14:paraId="5BDB1AC4" w14:textId="2C0287F3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Испытательная станция или эксперт должны иметь в штате не менее двух работников,</w:t>
      </w:r>
      <w:r w:rsidR="001B6ECE">
        <w:br/>
        <w:t>в обязанности которых входит проведение работ по контролю соответствия транспортных средств требованиям СПС. Работники должны иметь образование и опыт работы в соответствующей сфере.</w:t>
      </w:r>
    </w:p>
    <w:p w14:paraId="7F9EBB00" w14:textId="6438684C" w:rsidR="001B6ECE" w:rsidRDefault="00581438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Испытательная станция или эксперт должны иметь руководство по менеджменту качества, разработанное в соответствии с ИСО 17025 2019.</w:t>
      </w:r>
    </w:p>
    <w:p w14:paraId="0778DB20" w14:textId="782634AA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Эксперт должен располагать помещением для проведения контроля транспортных средств,</w:t>
      </w:r>
      <w:r w:rsidR="001B6ECE">
        <w:br/>
        <w:t>в котором уровень искусственной освещенности должен составлять не менее 2000 лк</w:t>
      </w:r>
      <w:r w:rsidR="001B6ECE">
        <w:rPr>
          <w:vertAlign w:val="superscript"/>
        </w:rPr>
        <w:t> </w:t>
      </w:r>
      <w:hyperlink w:anchor="sub_1000005">
        <w:r w:rsidR="001B6ECE">
          <w:rPr>
            <w:vertAlign w:val="superscript"/>
          </w:rPr>
          <w:t xml:space="preserve"> </w:t>
        </w:r>
      </w:hyperlink>
      <w:r w:rsidR="001B6ECE">
        <w:t>(ярко освещенная зона), измерительными приборами и оборудованием, которые должны применяться при проведении контроля транспортных средств в соответствии с положениями СПС, а также оборудованием, обеспечивающим поддержание постоянной температуры воздуха в помещении</w:t>
      </w:r>
      <w:r w:rsidR="001B6ECE">
        <w:br/>
        <w:t>от +15 до +30 градусов Цельсия в течении проведения мероприятий по контролю транспортных средств, в соответствии с положениями СПС.</w:t>
      </w:r>
    </w:p>
    <w:p w14:paraId="427B124C" w14:textId="6CBF5138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Порядок назначения и уполномочивания испытательной станции или эксперта, а также проведения мероприятий по контролю за деятельностью испытательной станции или эксперта определяется компетентным органом страны по СПС.</w:t>
      </w:r>
    </w:p>
    <w:p w14:paraId="0679C5E1" w14:textId="029BCE1A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В случае выявления несоответствия положениям СПС деятельность испытательной станции или эксперта приостанавливается до устранения замечаний.</w:t>
      </w:r>
    </w:p>
    <w:p w14:paraId="08A8FB2B" w14:textId="2E3E7F8E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 xml:space="preserve">В случае повторного выявления в течение 1 года с момента предыдущего нарушения несоответствия положениям СПС деятельность испытательной станции или эксперта прекращается, при этом право на повторную подачу заявления об уполномочивании или назначении испытательной станции или </w:t>
      </w:r>
      <w:r w:rsidR="001B6ECE">
        <w:lastRenderedPageBreak/>
        <w:t xml:space="preserve">эксперта возникнет у заявителя не менее чем через 1 год после прекращения деятельности. </w:t>
      </w:r>
    </w:p>
    <w:p w14:paraId="55B85D76" w14:textId="2EB048B3" w:rsidR="001B6ECE" w:rsidRDefault="0096142F" w:rsidP="000320DA">
      <w:pPr>
        <w:pStyle w:val="SingleTxtG"/>
        <w:numPr>
          <w:ilvl w:val="0"/>
          <w:numId w:val="31"/>
        </w:numPr>
        <w:ind w:left="1985" w:hanging="425"/>
      </w:pPr>
      <w:r>
        <w:tab/>
      </w:r>
      <w:r w:rsidR="001B6ECE">
        <w:t>Каждая договаривающаяся сторона может издавать локальные нормативные акты уточняющие, конкретизирующие и расширяющие требования положений, указанных в настоящем положении.</w:t>
      </w:r>
    </w:p>
    <w:p w14:paraId="4DADBDD6" w14:textId="1D0842E2" w:rsidR="001B6ECE" w:rsidRDefault="000320DA" w:rsidP="000320DA">
      <w:pPr>
        <w:pStyle w:val="HChG"/>
      </w:pPr>
      <w:r>
        <w:tab/>
      </w:r>
      <w:r>
        <w:rPr>
          <w:lang w:val="en-US"/>
        </w:rPr>
        <w:t>II</w:t>
      </w:r>
      <w:r w:rsidRPr="00B10498">
        <w:t>.</w:t>
      </w:r>
      <w:r w:rsidRPr="00B10498">
        <w:tab/>
      </w:r>
      <w:r w:rsidR="001B6ECE">
        <w:t>Издержки</w:t>
      </w:r>
    </w:p>
    <w:p w14:paraId="1D589170" w14:textId="7201F3A9" w:rsidR="001B6ECE" w:rsidRDefault="000320DA" w:rsidP="001B6ECE">
      <w:pPr>
        <w:pStyle w:val="SingleTxtG"/>
      </w:pPr>
      <w:r w:rsidRPr="00B10498">
        <w:t>12.</w:t>
      </w:r>
      <w:r w:rsidRPr="00B10498">
        <w:tab/>
      </w:r>
      <w:r w:rsidR="001B6ECE">
        <w:t>Возможны дополнительные расходы для Компетентного органа.</w:t>
      </w:r>
    </w:p>
    <w:p w14:paraId="054661FF" w14:textId="07E92B13" w:rsidR="001B6ECE" w:rsidRDefault="000320DA" w:rsidP="000320DA">
      <w:pPr>
        <w:pStyle w:val="HChG"/>
      </w:pPr>
      <w:r>
        <w:tab/>
      </w:r>
      <w:r>
        <w:rPr>
          <w:lang w:val="en-US"/>
        </w:rPr>
        <w:t>III</w:t>
      </w:r>
      <w:r w:rsidRPr="00B10498">
        <w:t>.</w:t>
      </w:r>
      <w:r w:rsidRPr="00B10498">
        <w:tab/>
      </w:r>
      <w:r w:rsidR="001B6ECE">
        <w:t>Возможность обеспечения применения</w:t>
      </w:r>
    </w:p>
    <w:p w14:paraId="782A39FE" w14:textId="28531CC7" w:rsidR="001B6ECE" w:rsidRDefault="000320DA" w:rsidP="001B6ECE">
      <w:pPr>
        <w:pStyle w:val="SingleTxtG"/>
      </w:pPr>
      <w:r w:rsidRPr="00B10498">
        <w:t>13.</w:t>
      </w:r>
      <w:r w:rsidRPr="00B10498">
        <w:tab/>
      </w:r>
      <w:r w:rsidR="001B6ECE">
        <w:t xml:space="preserve">Не предвидится проблем с реализацией предложений. </w:t>
      </w:r>
    </w:p>
    <w:p w14:paraId="3C1E3521" w14:textId="37B5F4BC" w:rsidR="001B6ECE" w:rsidRPr="00B10498" w:rsidRDefault="000320DA" w:rsidP="000320DA">
      <w:pPr>
        <w:spacing w:before="240"/>
        <w:jc w:val="center"/>
        <w:rPr>
          <w:u w:val="single"/>
        </w:rPr>
      </w:pPr>
      <w:r w:rsidRPr="00B10498">
        <w:rPr>
          <w:u w:val="single"/>
        </w:rPr>
        <w:tab/>
      </w:r>
      <w:r w:rsidRPr="00B10498">
        <w:rPr>
          <w:u w:val="single"/>
        </w:rPr>
        <w:tab/>
      </w:r>
      <w:r w:rsidRPr="00B10498">
        <w:rPr>
          <w:u w:val="single"/>
        </w:rPr>
        <w:tab/>
      </w:r>
    </w:p>
    <w:sectPr w:rsidR="001B6ECE" w:rsidRPr="00B10498" w:rsidSect="001B6EC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EDBB" w14:textId="77777777" w:rsidR="008A1959" w:rsidRPr="00A312BC" w:rsidRDefault="008A1959" w:rsidP="00A312BC"/>
  </w:endnote>
  <w:endnote w:type="continuationSeparator" w:id="0">
    <w:p w14:paraId="777EF1F8" w14:textId="77777777" w:rsidR="008A1959" w:rsidRPr="00A312BC" w:rsidRDefault="008A19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02E" w14:textId="77777777" w:rsidR="001B6ECE" w:rsidRPr="001B6ECE" w:rsidRDefault="001B6ECE">
    <w:pPr>
      <w:pStyle w:val="aa"/>
      <w:rPr>
        <w:sz w:val="18"/>
      </w:rPr>
    </w:pPr>
    <w:r w:rsidRPr="001B6ECE">
      <w:rPr>
        <w:b/>
        <w:sz w:val="18"/>
      </w:rPr>
      <w:fldChar w:fldCharType="begin"/>
    </w:r>
    <w:r w:rsidRPr="001B6ECE">
      <w:rPr>
        <w:b/>
        <w:sz w:val="18"/>
      </w:rPr>
      <w:instrText xml:space="preserve"> PAGE  \* MERGEFORMAT </w:instrText>
    </w:r>
    <w:r w:rsidRPr="001B6ECE">
      <w:rPr>
        <w:b/>
        <w:sz w:val="18"/>
      </w:rPr>
      <w:fldChar w:fldCharType="separate"/>
    </w:r>
    <w:r w:rsidRPr="001B6ECE">
      <w:rPr>
        <w:b/>
        <w:noProof/>
        <w:sz w:val="18"/>
      </w:rPr>
      <w:t>2</w:t>
    </w:r>
    <w:r w:rsidRPr="001B6E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411E" w14:textId="77777777" w:rsidR="001B6ECE" w:rsidRPr="001B6ECE" w:rsidRDefault="001B6ECE">
    <w:pPr>
      <w:pStyle w:val="aa"/>
      <w:rPr>
        <w:b/>
        <w:sz w:val="18"/>
      </w:rPr>
    </w:pPr>
    <w:r>
      <w:tab/>
    </w:r>
    <w:r w:rsidRPr="001B6ECE">
      <w:rPr>
        <w:b/>
        <w:sz w:val="18"/>
      </w:rPr>
      <w:fldChar w:fldCharType="begin"/>
    </w:r>
    <w:r w:rsidRPr="001B6ECE">
      <w:rPr>
        <w:b/>
        <w:sz w:val="18"/>
      </w:rPr>
      <w:instrText xml:space="preserve"> PAGE  \* MERGEFORMAT </w:instrText>
    </w:r>
    <w:r w:rsidRPr="001B6ECE">
      <w:rPr>
        <w:b/>
        <w:sz w:val="18"/>
      </w:rPr>
      <w:fldChar w:fldCharType="separate"/>
    </w:r>
    <w:r w:rsidRPr="001B6ECE">
      <w:rPr>
        <w:b/>
        <w:noProof/>
        <w:sz w:val="18"/>
      </w:rPr>
      <w:t>3</w:t>
    </w:r>
    <w:r w:rsidRPr="001B6E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ED4C" w14:textId="105AA8BD" w:rsidR="00042B72" w:rsidRPr="00F5396A" w:rsidRDefault="00F5396A" w:rsidP="00F5396A">
    <w:pPr>
      <w:pStyle w:val="aa"/>
      <w:tabs>
        <w:tab w:val="left" w:pos="3969"/>
      </w:tabs>
      <w:spacing w:before="120" w:line="240" w:lineRule="auto"/>
      <w:rPr>
        <w:sz w:val="20"/>
      </w:rPr>
    </w:pPr>
    <w:r>
      <w:rPr>
        <w:sz w:val="20"/>
      </w:rPr>
      <w:t>GE.22-12571  (R)</w:t>
    </w:r>
    <w:r>
      <w:rPr>
        <w:sz w:val="20"/>
      </w:rPr>
      <w:tab/>
    </w:r>
    <w:r w:rsidRPr="00F5396A">
      <w:rPr>
        <w:b/>
        <w:noProof/>
        <w:sz w:val="20"/>
        <w:lang w:val="fr-CH" w:eastAsia="fr-CH"/>
      </w:rPr>
      <w:drawing>
        <wp:inline distT="0" distB="0" distL="0" distR="0" wp14:anchorId="462D6866" wp14:editId="570AE4F9">
          <wp:extent cx="2707200" cy="234000"/>
          <wp:effectExtent l="0" t="0" r="0" b="0"/>
          <wp:docPr id="1" name="Рисунок 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6318FA0D" wp14:editId="5548108B">
          <wp:extent cx="641350" cy="641350"/>
          <wp:effectExtent l="0" t="0" r="635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B5EB" w14:textId="77777777" w:rsidR="008A1959" w:rsidRPr="001075E9" w:rsidRDefault="008A19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0441B9" w14:textId="77777777" w:rsidR="008A1959" w:rsidRDefault="008A19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290" w14:textId="72D40842" w:rsidR="001B6ECE" w:rsidRPr="001B6ECE" w:rsidRDefault="00326057">
    <w:pPr>
      <w:pStyle w:val="a5"/>
    </w:pPr>
    <w:fldSimple w:instr=" TITLE  \* MERGEFORMAT ">
      <w:r w:rsidR="00C94B8D">
        <w:t>ECE/TRANS/WP.11/2022/21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73D1" w14:textId="034E2A7F" w:rsidR="001B6ECE" w:rsidRPr="001B6ECE" w:rsidRDefault="00326057" w:rsidP="001B6ECE">
    <w:pPr>
      <w:pStyle w:val="a5"/>
      <w:jc w:val="right"/>
    </w:pPr>
    <w:fldSimple w:instr=" TITLE  \* MERGEFORMAT ">
      <w:r w:rsidR="00C94B8D">
        <w:t>ECE/TRANS/WP.11/2022/21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4108A6"/>
    <w:multiLevelType w:val="hybridMultilevel"/>
    <w:tmpl w:val="EBD0373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02F"/>
    <w:multiLevelType w:val="hybridMultilevel"/>
    <w:tmpl w:val="792E4B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5C5"/>
    <w:multiLevelType w:val="multilevel"/>
    <w:tmpl w:val="D9C6103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003D9B"/>
    <w:multiLevelType w:val="hybridMultilevel"/>
    <w:tmpl w:val="4FE454FE"/>
    <w:lvl w:ilvl="0" w:tplc="43940EB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8"/>
  </w:num>
  <w:num w:numId="23">
    <w:abstractNumId w:val="14"/>
  </w:num>
  <w:num w:numId="24">
    <w:abstractNumId w:val="17"/>
  </w:num>
  <w:num w:numId="25">
    <w:abstractNumId w:val="18"/>
  </w:num>
  <w:num w:numId="26">
    <w:abstractNumId w:val="14"/>
  </w:num>
  <w:num w:numId="27">
    <w:abstractNumId w:val="17"/>
  </w:num>
  <w:num w:numId="28">
    <w:abstractNumId w:val="15"/>
  </w:num>
  <w:num w:numId="29">
    <w:abstractNumId w:val="11"/>
  </w:num>
  <w:num w:numId="30">
    <w:abstractNumId w:val="21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CE"/>
    <w:rsid w:val="000320DA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B6ECE"/>
    <w:rsid w:val="001C76F8"/>
    <w:rsid w:val="001C7A89"/>
    <w:rsid w:val="001D5C5A"/>
    <w:rsid w:val="00203065"/>
    <w:rsid w:val="00231E3C"/>
    <w:rsid w:val="002979E2"/>
    <w:rsid w:val="002A2EFC"/>
    <w:rsid w:val="002B5F3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26057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D34EB"/>
    <w:rsid w:val="004E444D"/>
    <w:rsid w:val="0050108D"/>
    <w:rsid w:val="00513081"/>
    <w:rsid w:val="00517901"/>
    <w:rsid w:val="00526683"/>
    <w:rsid w:val="00532CE2"/>
    <w:rsid w:val="00567148"/>
    <w:rsid w:val="005709E0"/>
    <w:rsid w:val="00572E19"/>
    <w:rsid w:val="00581438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089C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A08D7"/>
    <w:rsid w:val="008A1959"/>
    <w:rsid w:val="008B6909"/>
    <w:rsid w:val="008C30BC"/>
    <w:rsid w:val="00906890"/>
    <w:rsid w:val="00911BE4"/>
    <w:rsid w:val="00951972"/>
    <w:rsid w:val="009608F3"/>
    <w:rsid w:val="0096142F"/>
    <w:rsid w:val="009A24AC"/>
    <w:rsid w:val="00A14DA8"/>
    <w:rsid w:val="00A21F00"/>
    <w:rsid w:val="00A2461B"/>
    <w:rsid w:val="00A312BC"/>
    <w:rsid w:val="00A37D7A"/>
    <w:rsid w:val="00A4325E"/>
    <w:rsid w:val="00A47F26"/>
    <w:rsid w:val="00A84021"/>
    <w:rsid w:val="00A84D35"/>
    <w:rsid w:val="00A917B3"/>
    <w:rsid w:val="00AB2DBD"/>
    <w:rsid w:val="00AB4B51"/>
    <w:rsid w:val="00AB6EED"/>
    <w:rsid w:val="00AC3430"/>
    <w:rsid w:val="00B10498"/>
    <w:rsid w:val="00B10CC7"/>
    <w:rsid w:val="00B2555C"/>
    <w:rsid w:val="00B36DF7"/>
    <w:rsid w:val="00B539E7"/>
    <w:rsid w:val="00B62458"/>
    <w:rsid w:val="00BC18B2"/>
    <w:rsid w:val="00BD33EE"/>
    <w:rsid w:val="00BF21E1"/>
    <w:rsid w:val="00C03408"/>
    <w:rsid w:val="00C106D6"/>
    <w:rsid w:val="00C47756"/>
    <w:rsid w:val="00C60F0C"/>
    <w:rsid w:val="00C805C9"/>
    <w:rsid w:val="00C92939"/>
    <w:rsid w:val="00C94B8D"/>
    <w:rsid w:val="00CA1679"/>
    <w:rsid w:val="00CB151C"/>
    <w:rsid w:val="00CC19D5"/>
    <w:rsid w:val="00CE5A1A"/>
    <w:rsid w:val="00CF55F6"/>
    <w:rsid w:val="00D202A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40F48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5396A"/>
    <w:rsid w:val="00F94155"/>
    <w:rsid w:val="00F9783F"/>
    <w:rsid w:val="00FB24A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2C131"/>
  <w15:docId w15:val="{161B077D-4AF3-45CA-B7B4-99BF776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F48"/>
    <w:pPr>
      <w:suppressAutoHyphens/>
      <w:spacing w:line="240" w:lineRule="atLeast"/>
    </w:pPr>
    <w:rPr>
      <w:lang w:val="ru-RU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ParaNoG">
    <w:name w:val="_ParaNo._G"/>
    <w:basedOn w:val="a"/>
    <w:qFormat/>
    <w:rsid w:val="00881771"/>
    <w:pPr>
      <w:numPr>
        <w:numId w:val="27"/>
      </w:numPr>
      <w:tabs>
        <w:tab w:val="clear" w:pos="1491"/>
        <w:tab w:val="left" w:pos="1701"/>
        <w:tab w:val="left" w:pos="2268"/>
        <w:tab w:val="left" w:pos="2835"/>
      </w:tabs>
      <w:spacing w:after="120"/>
      <w:ind w:right="1134"/>
      <w:jc w:val="both"/>
      <w:outlineLvl w:val="0"/>
    </w:pPr>
    <w:rPr>
      <w:rFonts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AB6EED"/>
    <w:rPr>
      <w:color w:val="0000FF"/>
      <w:u w:val="none"/>
    </w:rPr>
  </w:style>
  <w:style w:type="table" w:styleId="ae">
    <w:name w:val="Table Grid"/>
    <w:basedOn w:val="a1"/>
    <w:rsid w:val="00E40F48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E40F48"/>
    <w:rPr>
      <w:rFonts w:cs="Times New Roman"/>
      <w:szCs w:val="20"/>
      <w:lang w:val="ru-RU"/>
    </w:rPr>
  </w:style>
  <w:style w:type="paragraph" w:customStyle="1" w:styleId="af3">
    <w:name w:val="Название документа"/>
    <w:basedOn w:val="a"/>
    <w:qFormat/>
    <w:rsid w:val="001B6ECE"/>
    <w:pPr>
      <w:spacing w:line="240" w:lineRule="auto"/>
      <w:ind w:left="567" w:hanging="567"/>
      <w:jc w:val="center"/>
    </w:pPr>
    <w:rPr>
      <w:rFonts w:eastAsia="Calibri" w:cs="Times New Roman"/>
      <w:b/>
      <w:sz w:val="28"/>
      <w:lang w:eastAsia="en-US"/>
    </w:rPr>
  </w:style>
  <w:style w:type="paragraph" w:customStyle="1" w:styleId="af4">
    <w:name w:val="Представлено кем"/>
    <w:basedOn w:val="a"/>
    <w:qFormat/>
    <w:rsid w:val="001B6ECE"/>
    <w:pPr>
      <w:spacing w:line="240" w:lineRule="auto"/>
      <w:ind w:left="567" w:hanging="567"/>
      <w:jc w:val="center"/>
    </w:pPr>
    <w:rPr>
      <w:rFonts w:eastAsia="Calibri" w:cs="Times New Roman"/>
      <w:b/>
      <w:sz w:val="28"/>
      <w:lang w:eastAsia="en-US"/>
    </w:rPr>
  </w:style>
  <w:style w:type="paragraph" w:customStyle="1" w:styleId="af5">
    <w:name w:val="Резюме"/>
    <w:basedOn w:val="a"/>
    <w:qFormat/>
    <w:rsid w:val="001B6ECE"/>
    <w:pPr>
      <w:spacing w:line="240" w:lineRule="auto"/>
      <w:ind w:left="567" w:hanging="567"/>
      <w:jc w:val="center"/>
    </w:pPr>
    <w:rPr>
      <w:rFonts w:cs="Times New Roman"/>
      <w:b/>
      <w:caps/>
      <w:sz w:val="24"/>
      <w:szCs w:val="24"/>
      <w:lang w:eastAsia="en-US"/>
    </w:rPr>
  </w:style>
  <w:style w:type="paragraph" w:customStyle="1" w:styleId="af6">
    <w:name w:val="Резюме: разделы"/>
    <w:basedOn w:val="a"/>
    <w:qFormat/>
    <w:rsid w:val="001B6ECE"/>
    <w:pPr>
      <w:spacing w:line="240" w:lineRule="auto"/>
      <w:ind w:left="567" w:hanging="567"/>
    </w:pPr>
    <w:rPr>
      <w:rFonts w:cs="Times New Roman"/>
      <w:b/>
      <w:sz w:val="24"/>
      <w:szCs w:val="24"/>
      <w:lang w:eastAsia="en-US"/>
    </w:rPr>
  </w:style>
  <w:style w:type="paragraph" w:customStyle="1" w:styleId="af7">
    <w:name w:val="Раздел"/>
    <w:basedOn w:val="a"/>
    <w:qFormat/>
    <w:rsid w:val="001B6ECE"/>
    <w:pPr>
      <w:spacing w:line="240" w:lineRule="auto"/>
      <w:ind w:left="567" w:hanging="567"/>
    </w:pPr>
    <w:rPr>
      <w:rFonts w:eastAsia="Calibri" w:cs="Times New Roman"/>
      <w:b/>
      <w:sz w:val="24"/>
      <w:szCs w:val="24"/>
      <w:lang w:eastAsia="en-US"/>
    </w:rPr>
  </w:style>
  <w:style w:type="character" w:styleId="af8">
    <w:name w:val="annotation reference"/>
    <w:basedOn w:val="a0"/>
    <w:semiHidden/>
    <w:unhideWhenUsed/>
    <w:rsid w:val="001B6ECE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1B6ECE"/>
    <w:pPr>
      <w:spacing w:line="240" w:lineRule="auto"/>
    </w:pPr>
    <w:rPr>
      <w:szCs w:val="20"/>
    </w:rPr>
  </w:style>
  <w:style w:type="character" w:customStyle="1" w:styleId="afa">
    <w:name w:val="Текст примечания Знак"/>
    <w:basedOn w:val="a0"/>
    <w:link w:val="af9"/>
    <w:semiHidden/>
    <w:rsid w:val="001B6ECE"/>
    <w:rPr>
      <w:szCs w:val="20"/>
      <w:lang w:val="ru-RU"/>
    </w:rPr>
  </w:style>
  <w:style w:type="paragraph" w:styleId="afb">
    <w:name w:val="annotation subject"/>
    <w:basedOn w:val="af9"/>
    <w:next w:val="af9"/>
    <w:link w:val="afc"/>
    <w:semiHidden/>
    <w:unhideWhenUsed/>
    <w:rsid w:val="001B6EC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1B6ECE"/>
    <w:rPr>
      <w:b/>
      <w:bCs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5940CF-A65E-47AB-9151-68B841182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A7E3E-7FDC-4F17-9BA3-C66363EA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03FE6-6F2F-42CE-899C-43220A2EAC2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7000</Characters>
  <Application>Microsoft Office Word</Application>
  <DocSecurity>0</DocSecurity>
  <Lines>159</Lines>
  <Paragraphs>60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ECE/TRANS/WP.11/2022/21</vt:lpstr>
      <vt:lpstr>A/</vt:lpstr>
      <vt:lpstr>A/</vt:lpstr>
      <vt:lpstr>A/</vt:lpstr>
    </vt:vector>
  </TitlesOfParts>
  <Company>DCM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ECE/TRANS/WP.11/2022/21</dc:title>
  <dc:subject/>
  <dc:creator>ND</dc:creator>
  <cp:keywords/>
  <cp:lastModifiedBy>Ioulia Goussarova</cp:lastModifiedBy>
  <cp:revision>3</cp:revision>
  <cp:lastPrinted>2022-08-12T12:46:00Z</cp:lastPrinted>
  <dcterms:created xsi:type="dcterms:W3CDTF">2022-08-12T12:46:00Z</dcterms:created>
  <dcterms:modified xsi:type="dcterms:W3CDTF">2022-08-12T12:46:00Z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ffice_x0020_of_x0020_Origin">
    <vt:lpwstr/>
  </property>
  <property fmtid="{D5CDD505-2E9C-101B-9397-08002B2CF9AE}" pid="16" name="MediaServiceImageTags">
    <vt:lpwstr/>
  </property>
  <property fmtid="{D5CDD505-2E9C-101B-9397-08002B2CF9AE}" pid="17" name="gba66df640194346a5267c50f24d4797">
    <vt:lpwstr/>
  </property>
  <property fmtid="{D5CDD505-2E9C-101B-9397-08002B2CF9AE}" pid="18" name="Office of Origin">
    <vt:lpwstr/>
  </property>
</Properties>
</file>