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6604B7">
        <w:trPr>
          <w:cantSplit/>
          <w:trHeight w:hRule="exact" w:val="851"/>
        </w:trPr>
        <w:tc>
          <w:tcPr>
            <w:tcW w:w="9781" w:type="dxa"/>
            <w:tcBorders>
              <w:bottom w:val="single" w:sz="4" w:space="0" w:color="auto"/>
            </w:tcBorders>
            <w:vAlign w:val="bottom"/>
          </w:tcPr>
          <w:p w14:paraId="146774F5" w14:textId="31B9921B" w:rsidR="000C2B80" w:rsidRPr="00A92B1E" w:rsidRDefault="000C2B80" w:rsidP="000C2B80">
            <w:pPr>
              <w:ind w:firstLine="284"/>
              <w:jc w:val="right"/>
              <w:rPr>
                <w:color w:val="000000"/>
                <w:spacing w:val="-3"/>
              </w:rPr>
            </w:pPr>
            <w:r w:rsidRPr="00A92B1E">
              <w:rPr>
                <w:b/>
                <w:color w:val="000000"/>
                <w:spacing w:val="-3"/>
                <w:sz w:val="40"/>
                <w:szCs w:val="40"/>
              </w:rPr>
              <w:t>INF.</w:t>
            </w:r>
            <w:r w:rsidR="00FE2442">
              <w:rPr>
                <w:b/>
                <w:color w:val="000000"/>
                <w:spacing w:val="-3"/>
                <w:sz w:val="40"/>
                <w:szCs w:val="40"/>
              </w:rPr>
              <w:t>5</w:t>
            </w:r>
          </w:p>
        </w:tc>
      </w:tr>
      <w:tr w:rsidR="000C2B80" w:rsidRPr="00A92B1E" w14:paraId="4C011641" w14:textId="77777777" w:rsidTr="006604B7">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A753AA">
              <w:trPr>
                <w:cantSplit/>
                <w:trHeight w:val="2977"/>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11CB2DE2" w:rsidR="00B11CBD" w:rsidRPr="00B11CBD" w:rsidRDefault="00B11CBD" w:rsidP="00B11CBD">
                  <w:pPr>
                    <w:spacing w:before="120"/>
                    <w:rPr>
                      <w:b/>
                      <w:lang w:eastAsia="fr-FR"/>
                    </w:rPr>
                  </w:pPr>
                  <w:r w:rsidRPr="00B11CBD">
                    <w:rPr>
                      <w:b/>
                      <w:lang w:eastAsia="fr-FR"/>
                    </w:rPr>
                    <w:t>Seventy-</w:t>
                  </w:r>
                  <w:r w:rsidR="00CC2E0B">
                    <w:rPr>
                      <w:b/>
                      <w:lang w:eastAsia="fr-FR"/>
                    </w:rPr>
                    <w:t>nin</w:t>
                  </w:r>
                  <w:r w:rsidRPr="00B11CBD">
                    <w:rPr>
                      <w:b/>
                      <w:lang w:eastAsia="fr-FR"/>
                    </w:rPr>
                    <w:t>th session</w:t>
                  </w:r>
                </w:p>
                <w:p w14:paraId="7F27C3C4" w14:textId="524A27D6" w:rsidR="00B11CBD" w:rsidRPr="00B11CBD" w:rsidRDefault="00B11CBD" w:rsidP="00B11CBD">
                  <w:pPr>
                    <w:rPr>
                      <w:lang w:eastAsia="fr-FR"/>
                    </w:rPr>
                  </w:pPr>
                  <w:r w:rsidRPr="00B11CBD">
                    <w:rPr>
                      <w:lang w:eastAsia="fr-FR"/>
                    </w:rPr>
                    <w:t xml:space="preserve">Geneva, </w:t>
                  </w:r>
                  <w:r w:rsidR="00CC2E0B">
                    <w:rPr>
                      <w:lang w:eastAsia="fr-FR"/>
                    </w:rPr>
                    <w:t>25</w:t>
                  </w:r>
                  <w:r w:rsidRPr="00B11CBD">
                    <w:rPr>
                      <w:lang w:eastAsia="fr-FR"/>
                    </w:rPr>
                    <w:t>-</w:t>
                  </w:r>
                  <w:r w:rsidR="00CC2E0B">
                    <w:rPr>
                      <w:lang w:eastAsia="fr-FR"/>
                    </w:rPr>
                    <w:t>28</w:t>
                  </w:r>
                  <w:r w:rsidRPr="00B11CBD">
                    <w:rPr>
                      <w:lang w:eastAsia="fr-FR"/>
                    </w:rPr>
                    <w:t xml:space="preserve"> </w:t>
                  </w:r>
                  <w:r w:rsidR="00CC2E0B">
                    <w:rPr>
                      <w:lang w:eastAsia="fr-FR"/>
                    </w:rPr>
                    <w:t>October</w:t>
                  </w:r>
                  <w:r w:rsidRPr="00B11CBD">
                    <w:rPr>
                      <w:lang w:eastAsia="fr-FR"/>
                    </w:rPr>
                    <w:t xml:space="preserve"> 202</w:t>
                  </w:r>
                  <w:r w:rsidR="00552466">
                    <w:rPr>
                      <w:lang w:eastAsia="fr-FR"/>
                    </w:rPr>
                    <w:t>2</w:t>
                  </w:r>
                </w:p>
                <w:p w14:paraId="248DC402" w14:textId="5BC7E549" w:rsidR="00FB7F41" w:rsidRPr="007062EE" w:rsidRDefault="00B11CBD" w:rsidP="00B11CBD">
                  <w:pPr>
                    <w:rPr>
                      <w:lang w:eastAsia="fr-FR"/>
                    </w:rPr>
                  </w:pPr>
                  <w:r w:rsidRPr="007062EE">
                    <w:rPr>
                      <w:lang w:eastAsia="fr-FR"/>
                    </w:rPr>
                    <w:t xml:space="preserve">Item </w:t>
                  </w:r>
                  <w:r w:rsidR="00F6207A">
                    <w:rPr>
                      <w:lang w:eastAsia="fr-FR"/>
                    </w:rPr>
                    <w:t>3 (</w:t>
                  </w:r>
                  <w:r w:rsidR="00A753AA">
                    <w:rPr>
                      <w:lang w:eastAsia="fr-FR"/>
                    </w:rPr>
                    <w:t>b</w:t>
                  </w:r>
                  <w:r w:rsidR="00F6207A">
                    <w:rPr>
                      <w:lang w:eastAsia="fr-FR"/>
                    </w:rPr>
                    <w:t>)</w:t>
                  </w:r>
                  <w:r w:rsidRPr="007062EE">
                    <w:rPr>
                      <w:lang w:eastAsia="fr-FR"/>
                    </w:rPr>
                    <w:t xml:space="preserve"> </w:t>
                  </w:r>
                  <w:r w:rsidR="00CB78BA" w:rsidRPr="007062EE">
                    <w:rPr>
                      <w:lang w:eastAsia="fr-FR"/>
                    </w:rPr>
                    <w:t>of the provisional agenda</w:t>
                  </w:r>
                </w:p>
                <w:p w14:paraId="40613D29" w14:textId="77777777" w:rsidR="000C2B80" w:rsidRPr="00E229A7" w:rsidRDefault="000A1B63" w:rsidP="00FB7F41">
                  <w:pPr>
                    <w:rPr>
                      <w:b/>
                      <w:bCs/>
                    </w:rPr>
                  </w:pPr>
                  <w:r w:rsidRPr="00E229A7">
                    <w:rPr>
                      <w:b/>
                      <w:bCs/>
                    </w:rPr>
                    <w:t xml:space="preserve">Activities of other international organizations dealing </w:t>
                  </w:r>
                  <w:r w:rsidRPr="00E229A7">
                    <w:rPr>
                      <w:b/>
                      <w:bCs/>
                    </w:rPr>
                    <w:br/>
                    <w:t>with issues of interest to the Working Party:</w:t>
                  </w:r>
                </w:p>
                <w:p w14:paraId="4AF4284B" w14:textId="338423B2" w:rsidR="000A1B63" w:rsidRPr="00A92B1E" w:rsidRDefault="00A753AA" w:rsidP="00FB7F41">
                  <w:pPr>
                    <w:rPr>
                      <w:b/>
                    </w:rPr>
                  </w:pPr>
                  <w:proofErr w:type="spellStart"/>
                  <w:r w:rsidRPr="00A753AA">
                    <w:rPr>
                      <w:b/>
                    </w:rPr>
                    <w:t>Transfrigoroute</w:t>
                  </w:r>
                  <w:proofErr w:type="spellEnd"/>
                  <w:r w:rsidRPr="00A753AA">
                    <w:rPr>
                      <w:b/>
                    </w:rPr>
                    <w:t xml:space="preserve"> International</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07F3A3CB" w:rsidR="000C2B80" w:rsidRPr="00A92B1E" w:rsidRDefault="00CC2E0B" w:rsidP="000C2B80">
                  <w:pPr>
                    <w:spacing w:after="120"/>
                    <w:rPr>
                      <w:bCs/>
                    </w:rPr>
                  </w:pPr>
                  <w:r>
                    <w:t>19</w:t>
                  </w:r>
                  <w:r w:rsidR="00E7067E">
                    <w:t xml:space="preserve"> </w:t>
                  </w:r>
                  <w:r>
                    <w:t>October</w:t>
                  </w:r>
                  <w:r w:rsidR="00E7067E">
                    <w:t xml:space="preserve"> </w:t>
                  </w:r>
                  <w:r w:rsidR="000C2B80" w:rsidRPr="00A92B1E">
                    <w:rPr>
                      <w:bCs/>
                    </w:rPr>
                    <w:t>202</w:t>
                  </w:r>
                  <w:r w:rsidR="00813AC3">
                    <w:rPr>
                      <w:bCs/>
                    </w:rPr>
                    <w:t>2</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451BDD43" w14:textId="35D4FE2D" w:rsidR="007E1279" w:rsidRDefault="007E1279" w:rsidP="00414664">
      <w:pPr>
        <w:pStyle w:val="HChG"/>
      </w:pPr>
      <w:r>
        <w:tab/>
      </w:r>
      <w:r>
        <w:tab/>
      </w:r>
      <w:r w:rsidRPr="00414664">
        <w:t>Report</w:t>
      </w:r>
      <w:r>
        <w:t xml:space="preserve"> of year 2022 </w:t>
      </w:r>
    </w:p>
    <w:p w14:paraId="59041E58" w14:textId="77777777" w:rsidR="007E1279" w:rsidRDefault="007E1279" w:rsidP="00414664">
      <w:pPr>
        <w:pStyle w:val="H1G"/>
      </w:pPr>
      <w:r>
        <w:tab/>
      </w:r>
      <w:r>
        <w:tab/>
      </w:r>
      <w:r w:rsidRPr="00414664">
        <w:t>Transmitted</w:t>
      </w:r>
      <w:r>
        <w:t xml:space="preserve"> by </w:t>
      </w:r>
      <w:proofErr w:type="spellStart"/>
      <w:r>
        <w:t>Transfrigoroute</w:t>
      </w:r>
      <w:proofErr w:type="spellEnd"/>
      <w:r>
        <w:t xml:space="preserve"> International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7E1279" w14:paraId="23C58DF0" w14:textId="77777777" w:rsidTr="00E0060F">
        <w:trPr>
          <w:jc w:val="center"/>
        </w:trPr>
        <w:tc>
          <w:tcPr>
            <w:tcW w:w="9637" w:type="dxa"/>
            <w:shd w:val="clear" w:color="auto" w:fill="auto"/>
          </w:tcPr>
          <w:p w14:paraId="0E0CFFFF" w14:textId="77777777" w:rsidR="007E1279" w:rsidRPr="0026588E" w:rsidRDefault="007E1279" w:rsidP="00E0060F">
            <w:pPr>
              <w:spacing w:before="240" w:after="120"/>
              <w:ind w:left="255"/>
              <w:rPr>
                <w:i/>
                <w:sz w:val="24"/>
              </w:rPr>
            </w:pPr>
            <w:r w:rsidRPr="0026588E">
              <w:rPr>
                <w:i/>
                <w:sz w:val="24"/>
              </w:rPr>
              <w:t>Summary</w:t>
            </w:r>
          </w:p>
        </w:tc>
      </w:tr>
      <w:tr w:rsidR="007E1279" w:rsidRPr="00155F12" w14:paraId="036C6F70" w14:textId="77777777" w:rsidTr="00E0060F">
        <w:trPr>
          <w:jc w:val="center"/>
        </w:trPr>
        <w:tc>
          <w:tcPr>
            <w:tcW w:w="9637" w:type="dxa"/>
            <w:shd w:val="clear" w:color="auto" w:fill="auto"/>
          </w:tcPr>
          <w:p w14:paraId="6CE301C8" w14:textId="77777777" w:rsidR="007E1279" w:rsidRDefault="007E1279" w:rsidP="00E0060F">
            <w:pPr>
              <w:pStyle w:val="SingleTxtG"/>
              <w:ind w:left="1418" w:hanging="1134"/>
            </w:pPr>
            <w:r w:rsidRPr="0026588E">
              <w:rPr>
                <w:b/>
                <w:iCs/>
              </w:rPr>
              <w:t>Executive summary</w:t>
            </w:r>
            <w:r w:rsidRPr="0026588E">
              <w:rPr>
                <w:bCs/>
              </w:rPr>
              <w:t>:</w:t>
            </w:r>
            <w:r w:rsidRPr="0026588E">
              <w:rPr>
                <w:bCs/>
              </w:rPr>
              <w:tab/>
            </w:r>
            <w:r>
              <w:t xml:space="preserve">Report of year 2022 from </w:t>
            </w:r>
            <w:proofErr w:type="spellStart"/>
            <w:r>
              <w:t>Transfrigoroute</w:t>
            </w:r>
            <w:proofErr w:type="spellEnd"/>
            <w:r>
              <w:t xml:space="preserve"> International</w:t>
            </w:r>
          </w:p>
          <w:p w14:paraId="5BC84E70" w14:textId="77777777" w:rsidR="007E1279" w:rsidRPr="00A60C03" w:rsidRDefault="007E1279" w:rsidP="00E0060F">
            <w:pPr>
              <w:pStyle w:val="SingleTxtG"/>
              <w:ind w:left="1418" w:hanging="1134"/>
              <w:rPr>
                <w:bCs/>
              </w:rPr>
            </w:pPr>
            <w:r w:rsidRPr="0026588E">
              <w:rPr>
                <w:b/>
                <w:iCs/>
              </w:rPr>
              <w:t xml:space="preserve">Action to be </w:t>
            </w:r>
            <w:proofErr w:type="gramStart"/>
            <w:r w:rsidRPr="0026588E">
              <w:rPr>
                <w:b/>
                <w:iCs/>
              </w:rPr>
              <w:t>taken</w:t>
            </w:r>
            <w:r w:rsidRPr="0026588E">
              <w:rPr>
                <w:b/>
              </w:rPr>
              <w:t>:</w:t>
            </w:r>
            <w:proofErr w:type="gramEnd"/>
            <w:r w:rsidRPr="0026588E">
              <w:rPr>
                <w:b/>
              </w:rPr>
              <w:tab/>
            </w:r>
            <w:r w:rsidRPr="00A60C03">
              <w:rPr>
                <w:bCs/>
              </w:rPr>
              <w:t>Information &amp; support for discussion</w:t>
            </w:r>
          </w:p>
          <w:p w14:paraId="2E761766" w14:textId="77777777" w:rsidR="007E1279" w:rsidRPr="00155F12" w:rsidRDefault="007E1279" w:rsidP="00E0060F">
            <w:pPr>
              <w:pStyle w:val="SingleTxtG"/>
              <w:ind w:left="1418" w:hanging="1134"/>
              <w:rPr>
                <w:lang w:val="en-US"/>
              </w:rPr>
            </w:pPr>
            <w:r w:rsidRPr="009C0C41">
              <w:rPr>
                <w:b/>
                <w:iCs/>
                <w:lang w:val="en-US"/>
              </w:rPr>
              <w:t>Related documents</w:t>
            </w:r>
            <w:r w:rsidRPr="009C0C41">
              <w:rPr>
                <w:bCs/>
                <w:lang w:val="en-US"/>
              </w:rPr>
              <w:t>:</w:t>
            </w:r>
            <w:r w:rsidRPr="009C0C41">
              <w:rPr>
                <w:lang w:val="en-US"/>
              </w:rPr>
              <w:tab/>
            </w:r>
            <w:r>
              <w:rPr>
                <w:lang w:val="en-US"/>
              </w:rPr>
              <w:t>NA</w:t>
            </w:r>
          </w:p>
        </w:tc>
      </w:tr>
      <w:tr w:rsidR="007E1279" w:rsidRPr="00155F12" w14:paraId="62BAA1C6" w14:textId="77777777" w:rsidTr="00E0060F">
        <w:trPr>
          <w:trHeight w:val="64"/>
          <w:jc w:val="center"/>
        </w:trPr>
        <w:tc>
          <w:tcPr>
            <w:tcW w:w="9637" w:type="dxa"/>
            <w:shd w:val="clear" w:color="auto" w:fill="auto"/>
          </w:tcPr>
          <w:p w14:paraId="71FBC4D2" w14:textId="77777777" w:rsidR="007E1279" w:rsidRPr="00155F12" w:rsidRDefault="007E1279" w:rsidP="00E0060F">
            <w:pPr>
              <w:rPr>
                <w:lang w:val="en-US"/>
              </w:rPr>
            </w:pPr>
          </w:p>
        </w:tc>
      </w:tr>
    </w:tbl>
    <w:p w14:paraId="2CDD21F1" w14:textId="77777777" w:rsidR="007E1279" w:rsidRPr="00F740B0" w:rsidRDefault="007E1279" w:rsidP="00FE140C">
      <w:pPr>
        <w:pStyle w:val="H1G"/>
        <w:rPr>
          <w:lang w:val="en-US"/>
        </w:rPr>
      </w:pPr>
      <w:r w:rsidRPr="00B45CFD">
        <w:rPr>
          <w:lang w:val="en-US"/>
        </w:rPr>
        <w:tab/>
        <w:t>A</w:t>
      </w:r>
      <w:r>
        <w:rPr>
          <w:lang w:val="en-US"/>
        </w:rPr>
        <w:t>.</w:t>
      </w:r>
      <w:r>
        <w:rPr>
          <w:lang w:val="en-US"/>
        </w:rPr>
        <w:tab/>
      </w:r>
      <w:proofErr w:type="gramStart"/>
      <w:r>
        <w:rPr>
          <w:lang w:val="en-US"/>
        </w:rPr>
        <w:t>Crisis</w:t>
      </w:r>
      <w:r w:rsidRPr="00F740B0">
        <w:rPr>
          <w:lang w:val="en-US"/>
        </w:rPr>
        <w:t xml:space="preserve"> situation</w:t>
      </w:r>
      <w:proofErr w:type="gramEnd"/>
    </w:p>
    <w:p w14:paraId="3A6BDB70" w14:textId="277800C0" w:rsidR="007E1279" w:rsidRPr="00AC101B" w:rsidRDefault="0078268B" w:rsidP="00AC101B">
      <w:pPr>
        <w:pStyle w:val="SingleTxtG"/>
      </w:pPr>
      <w:r>
        <w:t>1.</w:t>
      </w:r>
      <w:r>
        <w:tab/>
      </w:r>
      <w:r w:rsidR="007E1279" w:rsidRPr="00AC101B">
        <w:t>After 2 years of severe impact by the consequences of COVID-19 and the successive blanket lockdown which occurred throughout the world, our sector benefitted from a strong recovery started in 2021.</w:t>
      </w:r>
    </w:p>
    <w:p w14:paraId="56CE3D10" w14:textId="2C1E7172" w:rsidR="007E1279" w:rsidRPr="00AC101B" w:rsidRDefault="00450195" w:rsidP="00AC101B">
      <w:pPr>
        <w:pStyle w:val="SingleTxtG"/>
      </w:pPr>
      <w:r>
        <w:t>2.</w:t>
      </w:r>
      <w:r>
        <w:tab/>
      </w:r>
      <w:r w:rsidR="007E1279" w:rsidRPr="00AC101B">
        <w:t>Nevertheless, the repercussions of the COVID-19 crisis were still responsible for perturbation both in sea transport and component shortage in 2022 (</w:t>
      </w:r>
      <w:proofErr w:type="gramStart"/>
      <w:r w:rsidR="007E1279" w:rsidRPr="00AC101B">
        <w:t>i.e.</w:t>
      </w:r>
      <w:proofErr w:type="gramEnd"/>
      <w:r w:rsidR="007E1279" w:rsidRPr="00AC101B">
        <w:t xml:space="preserve"> several lockdown in Asia in 2022).</w:t>
      </w:r>
    </w:p>
    <w:p w14:paraId="410985CD" w14:textId="34D63BD8" w:rsidR="007E1279" w:rsidRPr="00AC101B" w:rsidRDefault="00450195" w:rsidP="00AC101B">
      <w:pPr>
        <w:pStyle w:val="SingleTxtG"/>
      </w:pPr>
      <w:r>
        <w:t>3.</w:t>
      </w:r>
      <w:r>
        <w:tab/>
      </w:r>
      <w:r w:rsidR="007E1279" w:rsidRPr="00AC101B">
        <w:t xml:space="preserve">Starting February 2022, a new crisis has started with conflict Ukraine-Russia. </w:t>
      </w:r>
    </w:p>
    <w:p w14:paraId="255ECE09" w14:textId="2C2C6B26" w:rsidR="007E1279" w:rsidRPr="00AC101B" w:rsidRDefault="00450195" w:rsidP="00AC101B">
      <w:pPr>
        <w:pStyle w:val="SingleTxtG"/>
      </w:pPr>
      <w:r>
        <w:t>4.</w:t>
      </w:r>
      <w:r>
        <w:tab/>
      </w:r>
      <w:r w:rsidR="007E1279" w:rsidRPr="00AC101B">
        <w:t>Transportation and logistics, including all suppliers from this business sector (OEM, equipment manufacturer…) are being particularly hard hit by the conflict. Our sector is not only suffering from the rise in raw material and energy prices, but also suffer from shortage of components, sometimes paralyzing entire production lines.</w:t>
      </w:r>
    </w:p>
    <w:p w14:paraId="4112EA77" w14:textId="77777777" w:rsidR="007E1279" w:rsidRPr="00F740B0" w:rsidRDefault="007E1279" w:rsidP="00FE140C">
      <w:pPr>
        <w:pStyle w:val="H1G"/>
        <w:rPr>
          <w:lang w:val="en-US"/>
        </w:rPr>
      </w:pPr>
      <w:r>
        <w:rPr>
          <w:lang w:val="en-US"/>
        </w:rPr>
        <w:tab/>
        <w:t>B.</w:t>
      </w:r>
      <w:r>
        <w:rPr>
          <w:lang w:val="en-US"/>
        </w:rPr>
        <w:tab/>
      </w:r>
      <w:r w:rsidRPr="00F740B0">
        <w:rPr>
          <w:lang w:val="en-US"/>
        </w:rPr>
        <w:t>Context and challenges</w:t>
      </w:r>
    </w:p>
    <w:p w14:paraId="0DB99DBE" w14:textId="77777777" w:rsidR="007E1279" w:rsidRPr="00F740B0" w:rsidRDefault="007E1279" w:rsidP="007E1279">
      <w:pPr>
        <w:spacing w:line="240" w:lineRule="auto"/>
        <w:rPr>
          <w:rFonts w:ascii="Calibri" w:hAnsi="Calibri" w:cs="Calibri"/>
          <w:color w:val="000000"/>
          <w:kern w:val="24"/>
          <w:sz w:val="6"/>
          <w:szCs w:val="6"/>
          <w:lang w:val="en-US"/>
        </w:rPr>
      </w:pPr>
    </w:p>
    <w:p w14:paraId="24E53294" w14:textId="773938DF" w:rsidR="007E1279" w:rsidRDefault="00450195" w:rsidP="007E1279">
      <w:pPr>
        <w:pStyle w:val="SingleTxtG"/>
        <w:rPr>
          <w:lang w:val="en-US"/>
        </w:rPr>
      </w:pPr>
      <w:r>
        <w:rPr>
          <w:lang w:val="en-US"/>
        </w:rPr>
        <w:t>5.</w:t>
      </w:r>
      <w:r>
        <w:rPr>
          <w:lang w:val="en-US"/>
        </w:rPr>
        <w:tab/>
      </w:r>
      <w:r w:rsidR="007E1279">
        <w:rPr>
          <w:lang w:val="en-US"/>
        </w:rPr>
        <w:t xml:space="preserve">Despite </w:t>
      </w:r>
      <w:r w:rsidR="007E1279" w:rsidRPr="00E75F53">
        <w:rPr>
          <w:lang w:val="en-US"/>
        </w:rPr>
        <w:t>previously mentioned crisis</w:t>
      </w:r>
      <w:r w:rsidR="007E1279">
        <w:rPr>
          <w:lang w:val="en-US"/>
        </w:rPr>
        <w:t>, political agenda, and strong ambition from EU regarding climate change are still ongoing.</w:t>
      </w:r>
    </w:p>
    <w:p w14:paraId="07D22638" w14:textId="6CEE69EA" w:rsidR="007E1279" w:rsidRDefault="00450195" w:rsidP="007E1279">
      <w:pPr>
        <w:pStyle w:val="SingleTxtG"/>
        <w:rPr>
          <w:lang w:val="en-US"/>
        </w:rPr>
      </w:pPr>
      <w:r>
        <w:rPr>
          <w:lang w:val="en-US"/>
        </w:rPr>
        <w:t>6.</w:t>
      </w:r>
      <w:r>
        <w:rPr>
          <w:lang w:val="en-US"/>
        </w:rPr>
        <w:tab/>
      </w:r>
      <w:proofErr w:type="spellStart"/>
      <w:r w:rsidR="007E1279" w:rsidRPr="00F740B0">
        <w:rPr>
          <w:lang w:val="en-US"/>
        </w:rPr>
        <w:t>Transfrigoroute</w:t>
      </w:r>
      <w:proofErr w:type="spellEnd"/>
      <w:r w:rsidR="007E1279" w:rsidRPr="00F740B0">
        <w:rPr>
          <w:lang w:val="en-US"/>
        </w:rPr>
        <w:t xml:space="preserve"> International is at the crossroad of two revolutions: decarbonizing all transport segments to contribute to the global, European, and national emissions reduction targets, but also transforming the refrigerant used by for our operations to render them more sustainable. </w:t>
      </w:r>
    </w:p>
    <w:p w14:paraId="2410ECA4" w14:textId="2B77B5E5" w:rsidR="007E1279" w:rsidRDefault="00450195" w:rsidP="007E1279">
      <w:pPr>
        <w:pStyle w:val="SingleTxtG"/>
        <w:rPr>
          <w:lang w:val="en-US"/>
        </w:rPr>
      </w:pPr>
      <w:r>
        <w:rPr>
          <w:lang w:val="en-US"/>
        </w:rPr>
        <w:t>7.</w:t>
      </w:r>
      <w:r>
        <w:rPr>
          <w:lang w:val="en-US"/>
        </w:rPr>
        <w:tab/>
      </w:r>
      <w:r w:rsidR="007E1279">
        <w:rPr>
          <w:lang w:val="en-US"/>
        </w:rPr>
        <w:t xml:space="preserve">Regarding transport decarbonization, development of alternative power train vehicle and alternative power source for thermal appliances is accelerating but there are still no clear rules in </w:t>
      </w:r>
      <w:r w:rsidR="007E1279" w:rsidRPr="00F740B0">
        <w:rPr>
          <w:lang w:val="en-US"/>
        </w:rPr>
        <w:t xml:space="preserve">ATP which currently does not considers the multiplicity of solutions to power thermal appliances. </w:t>
      </w:r>
    </w:p>
    <w:p w14:paraId="38530F31" w14:textId="5EF2D346" w:rsidR="007E1279" w:rsidRDefault="00FE140C" w:rsidP="007E1279">
      <w:pPr>
        <w:pStyle w:val="SingleTxtG"/>
        <w:rPr>
          <w:lang w:val="en-US"/>
        </w:rPr>
      </w:pPr>
      <w:r>
        <w:rPr>
          <w:lang w:val="en-US"/>
        </w:rPr>
        <w:lastRenderedPageBreak/>
        <w:t>8.</w:t>
      </w:r>
      <w:r>
        <w:rPr>
          <w:lang w:val="en-US"/>
        </w:rPr>
        <w:tab/>
      </w:r>
      <w:r w:rsidR="007E1279">
        <w:rPr>
          <w:lang w:val="en-US"/>
        </w:rPr>
        <w:t>This topic has been discussed intensively within different forum (</w:t>
      </w:r>
      <w:proofErr w:type="spellStart"/>
      <w:r w:rsidR="007E1279">
        <w:rPr>
          <w:lang w:val="en-US"/>
        </w:rPr>
        <w:t>Transfrigoroute</w:t>
      </w:r>
      <w:proofErr w:type="spellEnd"/>
      <w:r w:rsidR="007E1279">
        <w:rPr>
          <w:lang w:val="en-US"/>
        </w:rPr>
        <w:t xml:space="preserve"> International, IIR CERTE and WP11 IWG) but remain problematic as there are </w:t>
      </w:r>
      <w:r w:rsidR="007E1279" w:rsidRPr="001012F6">
        <w:rPr>
          <w:lang w:val="en-US"/>
        </w:rPr>
        <w:t xml:space="preserve">different views on the interpretation of the scope of the </w:t>
      </w:r>
      <w:r w:rsidR="007E1279">
        <w:rPr>
          <w:lang w:val="en-US"/>
        </w:rPr>
        <w:t>ATP.</w:t>
      </w:r>
    </w:p>
    <w:p w14:paraId="657AACCE" w14:textId="18BE99D4" w:rsidR="007E1279" w:rsidRDefault="00FE140C" w:rsidP="007E1279">
      <w:pPr>
        <w:pStyle w:val="SingleTxtG"/>
        <w:rPr>
          <w:lang w:val="en-US"/>
        </w:rPr>
      </w:pPr>
      <w:r>
        <w:rPr>
          <w:lang w:val="en-US"/>
        </w:rPr>
        <w:t>9.</w:t>
      </w:r>
      <w:r>
        <w:rPr>
          <w:lang w:val="en-US"/>
        </w:rPr>
        <w:tab/>
      </w:r>
      <w:r w:rsidR="007E1279">
        <w:rPr>
          <w:lang w:val="en-US"/>
        </w:rPr>
        <w:t xml:space="preserve">In order to clarify this, a face-to-face meeting has been held in Brussels on </w:t>
      </w:r>
      <w:r w:rsidR="004A09FA">
        <w:rPr>
          <w:lang w:val="en-US"/>
        </w:rPr>
        <w:t xml:space="preserve">7 </w:t>
      </w:r>
      <w:proofErr w:type="gramStart"/>
      <w:r w:rsidR="007E1279">
        <w:rPr>
          <w:lang w:val="en-US"/>
        </w:rPr>
        <w:t>September,</w:t>
      </w:r>
      <w:proofErr w:type="gramEnd"/>
      <w:r w:rsidR="007E1279">
        <w:rPr>
          <w:lang w:val="en-US"/>
        </w:rPr>
        <w:t xml:space="preserve"> 2022 with 10 experts from different organization (TI-CCT, TÜV Süd, CRT, </w:t>
      </w:r>
      <w:proofErr w:type="spellStart"/>
      <w:r w:rsidR="007E1279">
        <w:rPr>
          <w:lang w:val="en-US"/>
        </w:rPr>
        <w:t>Cemafroid</w:t>
      </w:r>
      <w:proofErr w:type="spellEnd"/>
      <w:r w:rsidR="007E1279">
        <w:rPr>
          <w:lang w:val="en-US"/>
        </w:rPr>
        <w:t xml:space="preserve"> Competent authority) and you can find minutes of this meeting here after.</w:t>
      </w:r>
    </w:p>
    <w:p w14:paraId="2E444B28" w14:textId="77777777" w:rsidR="007E1279" w:rsidRPr="00F740B0" w:rsidRDefault="007E1279" w:rsidP="00FE140C">
      <w:pPr>
        <w:pStyle w:val="H1G"/>
        <w:rPr>
          <w:lang w:val="en-US"/>
        </w:rPr>
      </w:pPr>
      <w:r>
        <w:rPr>
          <w:lang w:val="en-US"/>
        </w:rPr>
        <w:tab/>
        <w:t>C.</w:t>
      </w:r>
      <w:r>
        <w:rPr>
          <w:lang w:val="en-US"/>
        </w:rPr>
        <w:tab/>
        <w:t xml:space="preserve">Scope of </w:t>
      </w:r>
      <w:r w:rsidRPr="00F740B0">
        <w:rPr>
          <w:lang w:val="en-US"/>
        </w:rPr>
        <w:t>ATP</w:t>
      </w:r>
    </w:p>
    <w:p w14:paraId="0D03FBBA" w14:textId="77777777" w:rsidR="007E1279" w:rsidRPr="00F740B0" w:rsidRDefault="007E1279" w:rsidP="007E1279">
      <w:pPr>
        <w:spacing w:line="240" w:lineRule="auto"/>
        <w:jc w:val="both"/>
        <w:rPr>
          <w:rFonts w:ascii="Calibri" w:hAnsi="Calibri" w:cs="Calibri"/>
          <w:color w:val="000000"/>
          <w:kern w:val="24"/>
          <w:sz w:val="8"/>
          <w:szCs w:val="8"/>
          <w:lang w:val="en-US"/>
        </w:rPr>
      </w:pPr>
    </w:p>
    <w:p w14:paraId="6CDCB8E7" w14:textId="3FC751D5" w:rsidR="007E1279" w:rsidRPr="0030127D" w:rsidRDefault="00C5163E" w:rsidP="007E1279">
      <w:pPr>
        <w:pStyle w:val="SingleTxtG"/>
        <w:rPr>
          <w:lang w:val="en-US"/>
        </w:rPr>
      </w:pPr>
      <w:r>
        <w:rPr>
          <w:lang w:val="en-US"/>
        </w:rPr>
        <w:t>10.</w:t>
      </w:r>
      <w:r>
        <w:rPr>
          <w:lang w:val="en-US"/>
        </w:rPr>
        <w:tab/>
      </w:r>
      <w:r w:rsidR="007E1279" w:rsidRPr="0030127D">
        <w:rPr>
          <w:lang w:val="en-US"/>
        </w:rPr>
        <w:t xml:space="preserve">In the run-up to the next meeting of WP11 (25-28 October 2022), </w:t>
      </w:r>
      <w:r w:rsidR="007E1279">
        <w:rPr>
          <w:lang w:val="en-US"/>
        </w:rPr>
        <w:t xml:space="preserve">around 10 experts </w:t>
      </w:r>
      <w:r w:rsidR="007E1279" w:rsidRPr="0030127D">
        <w:rPr>
          <w:lang w:val="en-US"/>
        </w:rPr>
        <w:t>representing different organization</w:t>
      </w:r>
      <w:r w:rsidR="007E1279">
        <w:rPr>
          <w:lang w:val="en-US"/>
        </w:rPr>
        <w:t xml:space="preserve"> (TI-CCT, TÜV Süd, CRT, </w:t>
      </w:r>
      <w:proofErr w:type="spellStart"/>
      <w:r w:rsidR="007E1279">
        <w:rPr>
          <w:lang w:val="en-US"/>
        </w:rPr>
        <w:t>Cemafroid</w:t>
      </w:r>
      <w:proofErr w:type="spellEnd"/>
      <w:r w:rsidR="007E1279">
        <w:rPr>
          <w:lang w:val="en-US"/>
        </w:rPr>
        <w:t xml:space="preserve"> Competent authority)</w:t>
      </w:r>
      <w:r w:rsidR="007E1279" w:rsidRPr="0030127D">
        <w:rPr>
          <w:lang w:val="en-US"/>
        </w:rPr>
        <w:t xml:space="preserve"> met in Brussels to discuss outstanding issues on the ATP.</w:t>
      </w:r>
    </w:p>
    <w:p w14:paraId="6AAE67CF" w14:textId="71B276BA" w:rsidR="007E1279" w:rsidRPr="0030127D" w:rsidRDefault="00C5163E" w:rsidP="007E1279">
      <w:pPr>
        <w:pStyle w:val="SingleTxtG"/>
        <w:rPr>
          <w:lang w:val="en-US"/>
        </w:rPr>
      </w:pPr>
      <w:r>
        <w:rPr>
          <w:lang w:val="en-US"/>
        </w:rPr>
        <w:t>11.</w:t>
      </w:r>
      <w:r>
        <w:rPr>
          <w:lang w:val="en-US"/>
        </w:rPr>
        <w:tab/>
      </w:r>
      <w:r w:rsidR="007E1279" w:rsidRPr="0030127D">
        <w:rPr>
          <w:lang w:val="en-US"/>
        </w:rPr>
        <w:t xml:space="preserve">Overall, there was agreement that progress on the ATP has been very slow and that contentious issues remain even after years of discussion. </w:t>
      </w:r>
    </w:p>
    <w:p w14:paraId="3FD14DA3" w14:textId="243F3A6A" w:rsidR="007E1279" w:rsidRPr="0030127D" w:rsidRDefault="00C5163E" w:rsidP="007E1279">
      <w:pPr>
        <w:pStyle w:val="SingleTxtG"/>
        <w:rPr>
          <w:lang w:val="en-US"/>
        </w:rPr>
      </w:pPr>
      <w:r>
        <w:rPr>
          <w:lang w:val="en-US"/>
        </w:rPr>
        <w:t>12</w:t>
      </w:r>
      <w:r w:rsidR="00027540">
        <w:rPr>
          <w:lang w:val="en-US"/>
        </w:rPr>
        <w:t>.</w:t>
      </w:r>
      <w:r w:rsidR="00027540">
        <w:rPr>
          <w:lang w:val="en-US"/>
        </w:rPr>
        <w:tab/>
      </w:r>
      <w:r w:rsidR="007E1279" w:rsidRPr="0030127D">
        <w:rPr>
          <w:lang w:val="en-US"/>
        </w:rPr>
        <w:t>The discussion initially centered on the scope that the ATP should cover, but also raised few other topics.</w:t>
      </w:r>
    </w:p>
    <w:p w14:paraId="5B9C2D18" w14:textId="6407FA86" w:rsidR="007E1279" w:rsidRPr="00D15209" w:rsidRDefault="00FE140C" w:rsidP="00FE140C">
      <w:pPr>
        <w:pStyle w:val="H23G"/>
        <w:rPr>
          <w:lang w:val="en-US"/>
        </w:rPr>
      </w:pPr>
      <w:r>
        <w:rPr>
          <w:lang w:val="en-US"/>
        </w:rPr>
        <w:tab/>
      </w:r>
      <w:r>
        <w:rPr>
          <w:lang w:val="en-US"/>
        </w:rPr>
        <w:tab/>
      </w:r>
      <w:r w:rsidR="007E1279" w:rsidRPr="00D15209">
        <w:rPr>
          <w:lang w:val="en-US"/>
        </w:rPr>
        <w:t>Open point mention during discussion</w:t>
      </w:r>
    </w:p>
    <w:p w14:paraId="117AEB7B" w14:textId="3C0191FC" w:rsidR="007E1279" w:rsidRPr="0030127D" w:rsidRDefault="007E1279" w:rsidP="00AC101B">
      <w:pPr>
        <w:pStyle w:val="Bullet1G"/>
        <w:rPr>
          <w:lang w:val="en-US"/>
        </w:rPr>
      </w:pPr>
      <w:r w:rsidRPr="0030127D">
        <w:rPr>
          <w:lang w:val="en-US"/>
        </w:rPr>
        <w:t xml:space="preserve">ATP = international and international is associated to long haul </w:t>
      </w:r>
      <w:proofErr w:type="gramStart"/>
      <w:r w:rsidRPr="0030127D">
        <w:rPr>
          <w:lang w:val="en-US"/>
        </w:rPr>
        <w:t>but in reality, cross</w:t>
      </w:r>
      <w:proofErr w:type="gramEnd"/>
      <w:r w:rsidRPr="0030127D">
        <w:rPr>
          <w:lang w:val="en-US"/>
        </w:rPr>
        <w:t xml:space="preserve"> border region could also be covered by ATP with regional transport and even distribution activities.</w:t>
      </w:r>
    </w:p>
    <w:p w14:paraId="33A88788" w14:textId="7448474E" w:rsidR="007E1279" w:rsidRPr="0030127D" w:rsidRDefault="007E1279" w:rsidP="00AC101B">
      <w:pPr>
        <w:pStyle w:val="Bullet1G"/>
        <w:rPr>
          <w:lang w:val="en-US"/>
        </w:rPr>
      </w:pPr>
      <w:r w:rsidRPr="0030127D">
        <w:rPr>
          <w:lang w:val="en-US"/>
        </w:rPr>
        <w:t>A limited number of countries apply ATP as national legislation while the majority apply ATP only to equipment used for international transport.</w:t>
      </w:r>
    </w:p>
    <w:p w14:paraId="63642892" w14:textId="3FB4AB42" w:rsidR="007E1279" w:rsidRPr="0030127D" w:rsidRDefault="007E1279" w:rsidP="00AC101B">
      <w:pPr>
        <w:pStyle w:val="Bullet2G"/>
        <w:rPr>
          <w:lang w:val="en-US"/>
        </w:rPr>
      </w:pPr>
      <w:r w:rsidRPr="0030127D">
        <w:rPr>
          <w:lang w:val="en-US"/>
        </w:rPr>
        <w:t>The question of harmonizing the practice and having all countries applying ATP for national transport (</w:t>
      </w:r>
      <w:proofErr w:type="gramStart"/>
      <w:r w:rsidRPr="0030127D">
        <w:rPr>
          <w:lang w:val="en-US"/>
        </w:rPr>
        <w:t>in order to</w:t>
      </w:r>
      <w:proofErr w:type="gramEnd"/>
      <w:r w:rsidRPr="0030127D">
        <w:rPr>
          <w:lang w:val="en-US"/>
        </w:rPr>
        <w:t xml:space="preserve"> guarantee food safety and also transport equipment energy efficiency) was debated</w:t>
      </w:r>
    </w:p>
    <w:p w14:paraId="147563C6" w14:textId="111AE30A" w:rsidR="007E1279" w:rsidRPr="0030127D" w:rsidRDefault="007E1279" w:rsidP="00AC101B">
      <w:pPr>
        <w:pStyle w:val="Bullet2G"/>
        <w:rPr>
          <w:lang w:val="en-US"/>
        </w:rPr>
      </w:pPr>
      <w:r w:rsidRPr="0030127D">
        <w:rPr>
          <w:lang w:val="en-US"/>
        </w:rPr>
        <w:tab/>
      </w:r>
      <w:proofErr w:type="gramStart"/>
      <w:r w:rsidRPr="0030127D">
        <w:rPr>
          <w:lang w:val="en-US"/>
        </w:rPr>
        <w:t>However</w:t>
      </w:r>
      <w:proofErr w:type="gramEnd"/>
      <w:r w:rsidRPr="0030127D">
        <w:rPr>
          <w:lang w:val="en-US"/>
        </w:rPr>
        <w:t xml:space="preserve"> it was admitted that:</w:t>
      </w:r>
    </w:p>
    <w:p w14:paraId="76816AA2" w14:textId="108F64B8" w:rsidR="007E1279" w:rsidRPr="0030127D" w:rsidRDefault="007E1279" w:rsidP="00F553CC">
      <w:pPr>
        <w:pStyle w:val="Bullet2G"/>
        <w:tabs>
          <w:tab w:val="clear" w:pos="2268"/>
          <w:tab w:val="num" w:pos="2835"/>
        </w:tabs>
        <w:ind w:left="2694" w:hanging="142"/>
        <w:rPr>
          <w:lang w:val="en-US"/>
        </w:rPr>
      </w:pPr>
      <w:r w:rsidRPr="0030127D">
        <w:rPr>
          <w:lang w:val="en-US"/>
        </w:rPr>
        <w:t>as no short-term changes should be expected vs. current situation, any modification or addition in ATP rules will impact either all national or only international refrigerated transport’s activities, depending on the country</w:t>
      </w:r>
    </w:p>
    <w:p w14:paraId="5DE4C289" w14:textId="68179825" w:rsidR="007E1279" w:rsidRPr="0030127D" w:rsidRDefault="007E1279" w:rsidP="00F553CC">
      <w:pPr>
        <w:pStyle w:val="Bullet2G"/>
        <w:tabs>
          <w:tab w:val="clear" w:pos="2268"/>
          <w:tab w:val="num" w:pos="2835"/>
          <w:tab w:val="num" w:pos="2977"/>
        </w:tabs>
        <w:ind w:left="2694" w:hanging="142"/>
        <w:rPr>
          <w:lang w:val="en-US"/>
        </w:rPr>
      </w:pPr>
      <w:r w:rsidRPr="0030127D">
        <w:rPr>
          <w:lang w:val="en-US"/>
        </w:rPr>
        <w:t xml:space="preserve">this does not </w:t>
      </w:r>
      <w:proofErr w:type="gramStart"/>
      <w:r w:rsidRPr="0030127D">
        <w:rPr>
          <w:lang w:val="en-US"/>
        </w:rPr>
        <w:t>impact directly</w:t>
      </w:r>
      <w:proofErr w:type="gramEnd"/>
      <w:r w:rsidRPr="0030127D">
        <w:rPr>
          <w:lang w:val="en-US"/>
        </w:rPr>
        <w:t xml:space="preserve"> the scope of the discussions which needs to happen about the implementation of future technologies.       </w:t>
      </w:r>
    </w:p>
    <w:p w14:paraId="2C07DB03" w14:textId="55424ACD" w:rsidR="007E1279" w:rsidRPr="0030127D" w:rsidRDefault="007E1279" w:rsidP="0010664D">
      <w:pPr>
        <w:pStyle w:val="Bullet1G"/>
        <w:rPr>
          <w:lang w:val="en-US"/>
        </w:rPr>
      </w:pPr>
      <w:r w:rsidRPr="0030127D">
        <w:rPr>
          <w:lang w:val="en-US"/>
        </w:rPr>
        <w:t>There is not much quality performance indicator for ATP regulation.</w:t>
      </w:r>
    </w:p>
    <w:p w14:paraId="4469C261" w14:textId="47CAD0EC" w:rsidR="007E1279" w:rsidRPr="0030127D" w:rsidRDefault="00027540" w:rsidP="007E1279">
      <w:pPr>
        <w:pStyle w:val="SingleTxtG"/>
        <w:rPr>
          <w:lang w:val="en-US"/>
        </w:rPr>
      </w:pPr>
      <w:r>
        <w:rPr>
          <w:lang w:val="en-US"/>
        </w:rPr>
        <w:t>13.</w:t>
      </w:r>
      <w:r>
        <w:rPr>
          <w:lang w:val="en-US"/>
        </w:rPr>
        <w:tab/>
      </w:r>
      <w:r w:rsidR="007E1279" w:rsidRPr="0030127D">
        <w:rPr>
          <w:lang w:val="en-US"/>
        </w:rPr>
        <w:t>This lack of factual metrics does not help a proper evaluation of amendment proposals. (</w:t>
      </w:r>
      <w:proofErr w:type="gramStart"/>
      <w:r w:rsidR="007E1279" w:rsidRPr="0030127D">
        <w:rPr>
          <w:lang w:val="en-US"/>
        </w:rPr>
        <w:t>i.e.</w:t>
      </w:r>
      <w:proofErr w:type="gramEnd"/>
      <w:r w:rsidR="007E1279" w:rsidRPr="0030127D">
        <w:rPr>
          <w:lang w:val="en-US"/>
        </w:rPr>
        <w:t xml:space="preserve"> when proposals are made, they should quantify an improvement in some metric)</w:t>
      </w:r>
    </w:p>
    <w:p w14:paraId="2852D73C" w14:textId="097AB069" w:rsidR="007E1279" w:rsidRPr="0030127D" w:rsidRDefault="007E1279" w:rsidP="0010664D">
      <w:pPr>
        <w:pStyle w:val="Bullet1G"/>
        <w:rPr>
          <w:lang w:val="en-US"/>
        </w:rPr>
      </w:pPr>
      <w:r w:rsidRPr="0030127D">
        <w:rPr>
          <w:lang w:val="en-US"/>
        </w:rPr>
        <w:t>Definition of equipment is not clear and different interpretation are suggested</w:t>
      </w:r>
    </w:p>
    <w:p w14:paraId="0D17E407" w14:textId="0287A4D1" w:rsidR="007E1279" w:rsidRPr="0030127D" w:rsidRDefault="007E1279" w:rsidP="0010664D">
      <w:pPr>
        <w:pStyle w:val="Bullet2G"/>
        <w:rPr>
          <w:lang w:val="en-US"/>
        </w:rPr>
      </w:pPr>
      <w:r w:rsidRPr="0030127D">
        <w:rPr>
          <w:lang w:val="en-US"/>
        </w:rPr>
        <w:t xml:space="preserve">Interpretation 1- Equipment = </w:t>
      </w:r>
      <w:r w:rsidRPr="0030127D">
        <w:rPr>
          <w:lang w:val="en-US"/>
        </w:rPr>
        <w:tab/>
        <w:t>complete vehicle, including vehicle powertrain and associated energy storage + supportive structure (chassis) + insulated box + thermal appliance</w:t>
      </w:r>
    </w:p>
    <w:p w14:paraId="6893A21A" w14:textId="28CA98A7" w:rsidR="007E1279" w:rsidRPr="0030127D" w:rsidRDefault="007E1279" w:rsidP="0010664D">
      <w:pPr>
        <w:pStyle w:val="Bullet2G"/>
        <w:rPr>
          <w:lang w:val="en-US"/>
        </w:rPr>
      </w:pPr>
      <w:r w:rsidRPr="0030127D">
        <w:rPr>
          <w:lang w:val="en-US"/>
        </w:rPr>
        <w:tab/>
        <w:t>Interpretation 2- Equipment = supportive structure (chassis) + insulated box + thermal appliance</w:t>
      </w:r>
    </w:p>
    <w:p w14:paraId="02BEBD2E" w14:textId="0E4E0EA7" w:rsidR="007E1279" w:rsidRPr="0030127D" w:rsidRDefault="007E1279" w:rsidP="008C6447">
      <w:pPr>
        <w:pStyle w:val="Bullet1G"/>
        <w:rPr>
          <w:lang w:val="en-US"/>
        </w:rPr>
      </w:pPr>
      <w:r w:rsidRPr="0030127D">
        <w:rPr>
          <w:lang w:val="en-US"/>
        </w:rPr>
        <w:t xml:space="preserve">Differences in interpretation lead to difference of application of ATP rules between contracting parties. This could lead to distortion of competitions. </w:t>
      </w:r>
    </w:p>
    <w:p w14:paraId="6A6C393E" w14:textId="3757B1A4" w:rsidR="007E1279" w:rsidRPr="0030127D" w:rsidRDefault="007E1279" w:rsidP="008C6447">
      <w:pPr>
        <w:pStyle w:val="Bullet1G"/>
        <w:rPr>
          <w:lang w:val="en-US"/>
        </w:rPr>
      </w:pPr>
      <w:r w:rsidRPr="0030127D">
        <w:rPr>
          <w:lang w:val="en-US"/>
        </w:rPr>
        <w:t>There are divergences between the French and English languages when it comes to definitions (</w:t>
      </w:r>
      <w:proofErr w:type="gramStart"/>
      <w:r w:rsidRPr="0030127D">
        <w:rPr>
          <w:lang w:val="en-US"/>
        </w:rPr>
        <w:t>i.e.</w:t>
      </w:r>
      <w:proofErr w:type="gramEnd"/>
      <w:r w:rsidRPr="0030127D">
        <w:rPr>
          <w:lang w:val="en-US"/>
        </w:rPr>
        <w:t xml:space="preserve"> Autonomous vs Independent)</w:t>
      </w:r>
      <w:r w:rsidR="00D76CF1">
        <w:rPr>
          <w:lang w:val="en-US"/>
        </w:rPr>
        <w:t>.</w:t>
      </w:r>
    </w:p>
    <w:p w14:paraId="3A9C6A28" w14:textId="5042DD54" w:rsidR="007E1279" w:rsidRPr="00D15209" w:rsidRDefault="00FE140C" w:rsidP="00FE140C">
      <w:pPr>
        <w:pStyle w:val="H23G"/>
        <w:rPr>
          <w:lang w:val="en-US"/>
        </w:rPr>
      </w:pPr>
      <w:r>
        <w:rPr>
          <w:lang w:val="en-US"/>
        </w:rPr>
        <w:lastRenderedPageBreak/>
        <w:tab/>
      </w:r>
      <w:r>
        <w:rPr>
          <w:lang w:val="en-US"/>
        </w:rPr>
        <w:tab/>
      </w:r>
      <w:r w:rsidR="007E1279" w:rsidRPr="00D15209">
        <w:rPr>
          <w:lang w:val="en-US"/>
        </w:rPr>
        <w:t>Requirement for minimum run time</w:t>
      </w:r>
    </w:p>
    <w:p w14:paraId="1DA14458" w14:textId="43CF8A8C" w:rsidR="007E1279" w:rsidRPr="0030127D" w:rsidRDefault="007E1279" w:rsidP="00D76CF1">
      <w:pPr>
        <w:pStyle w:val="Bullet1G"/>
        <w:rPr>
          <w:lang w:val="en-US"/>
        </w:rPr>
      </w:pPr>
      <w:r w:rsidRPr="0030127D">
        <w:rPr>
          <w:lang w:val="en-US"/>
        </w:rPr>
        <w:t xml:space="preserve">A clear question has been debated whether a requirement on a minimum duration of operations should be included in the ATP. </w:t>
      </w:r>
    </w:p>
    <w:p w14:paraId="4EC7A634" w14:textId="683AC8A5" w:rsidR="007E1279" w:rsidRPr="0030127D" w:rsidRDefault="007E1279" w:rsidP="00D76CF1">
      <w:pPr>
        <w:pStyle w:val="Bullet1G"/>
        <w:rPr>
          <w:lang w:val="en-US"/>
        </w:rPr>
      </w:pPr>
      <w:r w:rsidRPr="0030127D">
        <w:rPr>
          <w:lang w:val="en-US"/>
        </w:rPr>
        <w:t>This was considered by most to be a non-ATP requirement.</w:t>
      </w:r>
    </w:p>
    <w:p w14:paraId="5C40089B" w14:textId="08C36D1D" w:rsidR="007E1279" w:rsidRDefault="007E1279" w:rsidP="00D76CF1">
      <w:pPr>
        <w:pStyle w:val="Bullet1G"/>
        <w:rPr>
          <w:lang w:val="en-US"/>
        </w:rPr>
      </w:pPr>
      <w:r w:rsidRPr="0030127D">
        <w:rPr>
          <w:lang w:val="en-US"/>
        </w:rPr>
        <w:t>The majority do not believe a minimum duration requirement is necessary in the ATP</w:t>
      </w:r>
      <w:r>
        <w:rPr>
          <w:lang w:val="en-US"/>
        </w:rPr>
        <w:t xml:space="preserve"> for the following reasons</w:t>
      </w:r>
      <w:r w:rsidR="000C7B0E">
        <w:rPr>
          <w:lang w:val="en-US"/>
        </w:rPr>
        <w:t>:</w:t>
      </w:r>
    </w:p>
    <w:p w14:paraId="1F971BD8" w14:textId="5EB7B74E" w:rsidR="007E1279" w:rsidRDefault="007E1279" w:rsidP="00E528F2">
      <w:pPr>
        <w:pStyle w:val="SingleTxtG"/>
        <w:numPr>
          <w:ilvl w:val="0"/>
          <w:numId w:val="34"/>
        </w:numPr>
        <w:ind w:left="2127" w:hanging="284"/>
        <w:rPr>
          <w:lang w:val="en-US"/>
        </w:rPr>
      </w:pPr>
      <w:r>
        <w:rPr>
          <w:lang w:val="en-US"/>
        </w:rPr>
        <w:t>This is not the case today (</w:t>
      </w:r>
      <w:proofErr w:type="gramStart"/>
      <w:r>
        <w:rPr>
          <w:lang w:val="en-US"/>
        </w:rPr>
        <w:t>i.e.</w:t>
      </w:r>
      <w:proofErr w:type="gramEnd"/>
      <w:r>
        <w:rPr>
          <w:lang w:val="en-US"/>
        </w:rPr>
        <w:t xml:space="preserve"> no requirement on minimum fuel tank size)</w:t>
      </w:r>
      <w:r w:rsidR="00EE0542">
        <w:rPr>
          <w:lang w:val="en-US"/>
        </w:rPr>
        <w:t>.</w:t>
      </w:r>
    </w:p>
    <w:p w14:paraId="0313F8C7" w14:textId="77777777" w:rsidR="007E1279" w:rsidRDefault="007E1279" w:rsidP="00E528F2">
      <w:pPr>
        <w:pStyle w:val="SingleTxtG"/>
        <w:numPr>
          <w:ilvl w:val="0"/>
          <w:numId w:val="34"/>
        </w:numPr>
        <w:ind w:left="2127" w:hanging="284"/>
        <w:rPr>
          <w:lang w:val="en-US"/>
        </w:rPr>
      </w:pPr>
      <w:r>
        <w:rPr>
          <w:lang w:val="en-US"/>
        </w:rPr>
        <w:t>This notion is covered by Article 4 – “</w:t>
      </w:r>
      <w:r w:rsidRPr="00283A41">
        <w:rPr>
          <w:lang w:val="en-US"/>
        </w:rPr>
        <w:t>The equipment shall be so</w:t>
      </w:r>
      <w:r>
        <w:rPr>
          <w:lang w:val="en-US"/>
        </w:rPr>
        <w:t xml:space="preserve"> </w:t>
      </w:r>
      <w:r w:rsidRPr="00283A41">
        <w:rPr>
          <w:lang w:val="en-US"/>
        </w:rPr>
        <w:t>selected and used that the temperature conditions prescribed in the said annexes can be complied with</w:t>
      </w:r>
      <w:r>
        <w:rPr>
          <w:lang w:val="en-US"/>
        </w:rPr>
        <w:t xml:space="preserve"> </w:t>
      </w:r>
      <w:r w:rsidRPr="00283A41">
        <w:rPr>
          <w:lang w:val="en-US"/>
        </w:rPr>
        <w:t>throughout carriage. Furthermore, all appropriate measures shall be taken, more particularly as regards</w:t>
      </w:r>
      <w:r>
        <w:rPr>
          <w:lang w:val="en-US"/>
        </w:rPr>
        <w:t xml:space="preserve"> </w:t>
      </w:r>
      <w:r w:rsidRPr="00283A41">
        <w:rPr>
          <w:lang w:val="en-US"/>
        </w:rPr>
        <w:t>the temperature of the foodstuffs at the time of loading and as regards icing or re-icing during the</w:t>
      </w:r>
      <w:r>
        <w:rPr>
          <w:lang w:val="en-US"/>
        </w:rPr>
        <w:t xml:space="preserve"> </w:t>
      </w:r>
      <w:r w:rsidRPr="00283A41">
        <w:rPr>
          <w:lang w:val="en-US"/>
        </w:rPr>
        <w:t>journey or other necessary operations.</w:t>
      </w:r>
      <w:r>
        <w:rPr>
          <w:lang w:val="en-US"/>
        </w:rPr>
        <w:t>”</w:t>
      </w:r>
    </w:p>
    <w:p w14:paraId="303B8C76" w14:textId="77777777" w:rsidR="007E1279" w:rsidRPr="0030127D" w:rsidRDefault="007E1279" w:rsidP="00E528F2">
      <w:pPr>
        <w:pStyle w:val="SingleTxtG"/>
        <w:numPr>
          <w:ilvl w:val="0"/>
          <w:numId w:val="34"/>
        </w:numPr>
        <w:ind w:left="2127" w:hanging="284"/>
        <w:rPr>
          <w:lang w:val="en-US"/>
        </w:rPr>
      </w:pPr>
      <w:r>
        <w:rPr>
          <w:lang w:val="en-US"/>
        </w:rPr>
        <w:t>Transformation of power train (vehicle &amp; thermal appliance) will lead to logistics adjustment and logistics scheme will adapt to new technical constraint (and not the reverse).</w:t>
      </w:r>
      <w:r>
        <w:rPr>
          <w:lang w:val="en-US"/>
        </w:rPr>
        <w:tab/>
      </w:r>
    </w:p>
    <w:p w14:paraId="77885E1D" w14:textId="206BE5AD" w:rsidR="007E1279" w:rsidRPr="0030127D" w:rsidRDefault="007E1279" w:rsidP="00EE0542">
      <w:pPr>
        <w:pStyle w:val="Bullet1G"/>
        <w:rPr>
          <w:lang w:val="en-US"/>
        </w:rPr>
      </w:pPr>
      <w:r w:rsidRPr="0030127D">
        <w:rPr>
          <w:lang w:val="en-US"/>
        </w:rPr>
        <w:t>In consequence of this point of view, some definitions (Annex 1) should be modified</w:t>
      </w:r>
    </w:p>
    <w:p w14:paraId="458F67CF" w14:textId="3094362E" w:rsidR="007E1279" w:rsidRPr="0030127D" w:rsidRDefault="007E1279" w:rsidP="00EE0542">
      <w:pPr>
        <w:pStyle w:val="Bullet1G"/>
        <w:rPr>
          <w:lang w:val="en-US"/>
        </w:rPr>
      </w:pPr>
      <w:r w:rsidRPr="0030127D">
        <w:rPr>
          <w:lang w:val="en-US"/>
        </w:rPr>
        <w:t>Definitions of “Refrigerated equipment” and “Mechanically refrigerated equipment” does not mention any requirement for a minimum duration of operation.</w:t>
      </w:r>
    </w:p>
    <w:p w14:paraId="298E51FB" w14:textId="39626309" w:rsidR="007E1279" w:rsidRPr="0030127D" w:rsidRDefault="007E1279" w:rsidP="00EE0542">
      <w:pPr>
        <w:pStyle w:val="Bullet1G"/>
        <w:rPr>
          <w:lang w:val="en-US"/>
        </w:rPr>
      </w:pPr>
      <w:r w:rsidRPr="0030127D">
        <w:rPr>
          <w:lang w:val="en-US"/>
        </w:rPr>
        <w:t>Definitions of “Heated equipment” and “Mechanically refrigerated and heated equipment” does mention a requirement for a minimum duration of operation (“not less than 12 hours without renewal of supply at a practically constant value”)</w:t>
      </w:r>
    </w:p>
    <w:p w14:paraId="53EBE598" w14:textId="15D52BDE" w:rsidR="007E1279" w:rsidRPr="0030127D" w:rsidRDefault="007E1279" w:rsidP="00EE0542">
      <w:pPr>
        <w:pStyle w:val="Bullet1G"/>
        <w:rPr>
          <w:lang w:val="en-US"/>
        </w:rPr>
      </w:pPr>
      <w:r w:rsidRPr="0030127D">
        <w:rPr>
          <w:lang w:val="en-US"/>
        </w:rPr>
        <w:t>This is not coherent and should be corrected as it creates confusion</w:t>
      </w:r>
    </w:p>
    <w:p w14:paraId="1BD3E923" w14:textId="6AF9D288" w:rsidR="007E1279" w:rsidRPr="0030127D" w:rsidRDefault="007E1279" w:rsidP="00EE0542">
      <w:pPr>
        <w:pStyle w:val="Bullet1G"/>
        <w:rPr>
          <w:lang w:val="en-US"/>
        </w:rPr>
      </w:pPr>
      <w:r w:rsidRPr="0030127D">
        <w:rPr>
          <w:lang w:val="en-US"/>
        </w:rPr>
        <w:t>ATP text should clearly distinguished requirement for testing and requirement for normal operation.</w:t>
      </w:r>
    </w:p>
    <w:p w14:paraId="2BA3B34A" w14:textId="04ACAA83" w:rsidR="007E1279" w:rsidRPr="0030127D" w:rsidRDefault="007E1279" w:rsidP="00EE0542">
      <w:pPr>
        <w:pStyle w:val="Bullet1G"/>
        <w:rPr>
          <w:lang w:val="en-US"/>
        </w:rPr>
      </w:pPr>
      <w:r w:rsidRPr="0030127D">
        <w:rPr>
          <w:lang w:val="en-US"/>
        </w:rPr>
        <w:t xml:space="preserve">Another consequence is that </w:t>
      </w:r>
      <w:r>
        <w:rPr>
          <w:lang w:val="en-US"/>
        </w:rPr>
        <w:t>participants</w:t>
      </w:r>
      <w:r w:rsidRPr="0030127D">
        <w:rPr>
          <w:lang w:val="en-US"/>
        </w:rPr>
        <w:t xml:space="preserve"> did not agree on the need to include a definition of autonomy (as a duration of operation).</w:t>
      </w:r>
    </w:p>
    <w:p w14:paraId="2B998C59" w14:textId="232467D2" w:rsidR="007E1279" w:rsidRPr="003931C6" w:rsidRDefault="00EE0542" w:rsidP="00EE0542">
      <w:pPr>
        <w:pStyle w:val="H23G"/>
        <w:rPr>
          <w:lang w:val="en-US"/>
        </w:rPr>
      </w:pPr>
      <w:r>
        <w:rPr>
          <w:lang w:val="en-US"/>
        </w:rPr>
        <w:tab/>
      </w:r>
      <w:r>
        <w:rPr>
          <w:lang w:val="en-US"/>
        </w:rPr>
        <w:tab/>
      </w:r>
      <w:r w:rsidR="007E1279" w:rsidRPr="003931C6">
        <w:rPr>
          <w:lang w:val="en-US"/>
        </w:rPr>
        <w:t>Scope of certification</w:t>
      </w:r>
    </w:p>
    <w:p w14:paraId="3CA9F398" w14:textId="76F2AE02" w:rsidR="007E1279" w:rsidRPr="0030127D" w:rsidRDefault="007E1279" w:rsidP="00EB628F">
      <w:pPr>
        <w:pStyle w:val="Bullet1G"/>
        <w:rPr>
          <w:lang w:val="en-US"/>
        </w:rPr>
      </w:pPr>
      <w:r w:rsidRPr="0030127D">
        <w:rPr>
          <w:lang w:val="en-US"/>
        </w:rPr>
        <w:t xml:space="preserve">It was reiterated that the purpose of the ATP is to set the rules for equipment and does not include certification of fuels. </w:t>
      </w:r>
    </w:p>
    <w:p w14:paraId="5EF2F013" w14:textId="488D1ECC" w:rsidR="007E1279" w:rsidRPr="0030127D" w:rsidRDefault="007E1279" w:rsidP="00EB628F">
      <w:pPr>
        <w:pStyle w:val="Bullet1G"/>
        <w:rPr>
          <w:lang w:val="en-US"/>
        </w:rPr>
      </w:pPr>
      <w:proofErr w:type="spellStart"/>
      <w:r w:rsidRPr="001A2A17">
        <w:rPr>
          <w:lang w:val="en-US"/>
        </w:rPr>
        <w:t>Cemafroid</w:t>
      </w:r>
      <w:proofErr w:type="spellEnd"/>
      <w:r w:rsidRPr="001A2A17">
        <w:rPr>
          <w:lang w:val="en-US"/>
        </w:rPr>
        <w:t xml:space="preserve"> Competent authority </w:t>
      </w:r>
      <w:r w:rsidRPr="0030127D">
        <w:rPr>
          <w:lang w:val="en-US"/>
        </w:rPr>
        <w:t xml:space="preserve">believes that energy and power source should be part of the certification – everyone except </w:t>
      </w:r>
      <w:proofErr w:type="spellStart"/>
      <w:r>
        <w:rPr>
          <w:lang w:val="en-US"/>
        </w:rPr>
        <w:t>Cemafroid</w:t>
      </w:r>
      <w:proofErr w:type="spellEnd"/>
      <w:r>
        <w:rPr>
          <w:lang w:val="en-US"/>
        </w:rPr>
        <w:t xml:space="preserve"> Competent authority </w:t>
      </w:r>
      <w:r w:rsidRPr="0030127D">
        <w:rPr>
          <w:lang w:val="en-US"/>
        </w:rPr>
        <w:t>disagreed with this.</w:t>
      </w:r>
    </w:p>
    <w:p w14:paraId="28F0EB49" w14:textId="74DCBCA9" w:rsidR="007E1279" w:rsidRPr="0030127D" w:rsidRDefault="007E1279" w:rsidP="00EB628F">
      <w:pPr>
        <w:pStyle w:val="Bullet1G"/>
        <w:rPr>
          <w:lang w:val="en-US"/>
        </w:rPr>
      </w:pPr>
      <w:r w:rsidRPr="0030127D">
        <w:rPr>
          <w:lang w:val="en-US"/>
        </w:rPr>
        <w:t xml:space="preserve">The issue of batteries was also raised because with the new laws pushing for electric vehicles (AFIR in the EU), battery life and dependence on them will play a role in deliveries and therefore food safety. Not everyone agrees that this falls within the scope of the ATP. </w:t>
      </w:r>
    </w:p>
    <w:p w14:paraId="3D7F15F4" w14:textId="233E709C" w:rsidR="007E1279" w:rsidRPr="0030127D" w:rsidRDefault="007E1279" w:rsidP="00EB628F">
      <w:pPr>
        <w:pStyle w:val="Bullet1G"/>
        <w:rPr>
          <w:lang w:val="en-US"/>
        </w:rPr>
      </w:pPr>
      <w:r w:rsidRPr="0030127D">
        <w:rPr>
          <w:lang w:val="en-US"/>
        </w:rPr>
        <w:t xml:space="preserve">A long debate occurs on energy source and power source be part of ATP certification (in the mechanical system only)? </w:t>
      </w:r>
    </w:p>
    <w:p w14:paraId="4F7A0197" w14:textId="1EC6EA30" w:rsidR="007E1279" w:rsidRPr="0030127D" w:rsidRDefault="00EB628F" w:rsidP="007E1279">
      <w:pPr>
        <w:pStyle w:val="SingleTxtG"/>
        <w:rPr>
          <w:lang w:val="en-US"/>
        </w:rPr>
      </w:pPr>
      <w:r>
        <w:rPr>
          <w:lang w:val="en-US"/>
        </w:rPr>
        <w:t>14.</w:t>
      </w:r>
      <w:r>
        <w:rPr>
          <w:lang w:val="en-US"/>
        </w:rPr>
        <w:tab/>
      </w:r>
      <w:r w:rsidR="007E1279" w:rsidRPr="0030127D">
        <w:rPr>
          <w:lang w:val="en-US"/>
        </w:rPr>
        <w:t>This debate ends up with a diagram representing different option of scope (see below)</w:t>
      </w:r>
      <w:r w:rsidR="00505F77">
        <w:rPr>
          <w:lang w:val="en-US"/>
        </w:rPr>
        <w:t>.</w:t>
      </w:r>
    </w:p>
    <w:p w14:paraId="169BD06E" w14:textId="77777777" w:rsidR="007E1279" w:rsidRDefault="007E1279" w:rsidP="007E1279">
      <w:pPr>
        <w:pStyle w:val="SingleTxtG"/>
        <w:rPr>
          <w:lang w:val="en-US"/>
        </w:rPr>
      </w:pPr>
      <w:r w:rsidRPr="0030127D">
        <w:rPr>
          <w:lang w:val="en-US"/>
        </w:rPr>
        <w:lastRenderedPageBreak/>
        <w:t xml:space="preserve"> </w:t>
      </w:r>
      <w:r w:rsidRPr="00DD70FF">
        <w:rPr>
          <w:noProof/>
        </w:rPr>
        <w:drawing>
          <wp:inline distT="0" distB="0" distL="0" distR="0" wp14:anchorId="707D6D7C" wp14:editId="16DE1BAB">
            <wp:extent cx="5648179" cy="305584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3550" cy="3058747"/>
                    </a:xfrm>
                    <a:prstGeom prst="rect">
                      <a:avLst/>
                    </a:prstGeom>
                  </pic:spPr>
                </pic:pic>
              </a:graphicData>
            </a:graphic>
          </wp:inline>
        </w:drawing>
      </w:r>
    </w:p>
    <w:p w14:paraId="7297C5E1" w14:textId="77777777" w:rsidR="007E1279" w:rsidRPr="0030127D" w:rsidRDefault="007E1279" w:rsidP="007E1279">
      <w:pPr>
        <w:pStyle w:val="SingleTxtG"/>
        <w:rPr>
          <w:lang w:val="en-US"/>
        </w:rPr>
      </w:pPr>
    </w:p>
    <w:p w14:paraId="438F323D" w14:textId="0D22B9D7" w:rsidR="007E1279" w:rsidRPr="0030127D" w:rsidRDefault="007E1279" w:rsidP="00C91E5D">
      <w:pPr>
        <w:pStyle w:val="Bullet1G"/>
        <w:rPr>
          <w:lang w:val="en-US"/>
        </w:rPr>
      </w:pPr>
      <w:r w:rsidRPr="0030127D">
        <w:rPr>
          <w:lang w:val="en-US"/>
        </w:rPr>
        <w:t xml:space="preserve">In </w:t>
      </w:r>
      <w:r w:rsidRPr="00C91E5D">
        <w:t>addition</w:t>
      </w:r>
      <w:r w:rsidRPr="0030127D">
        <w:rPr>
          <w:lang w:val="en-US"/>
        </w:rPr>
        <w:t xml:space="preserve"> to the diagram, find below clarification on the 3 listed scopes</w:t>
      </w:r>
    </w:p>
    <w:p w14:paraId="67871E68" w14:textId="77777777" w:rsidR="007E1279" w:rsidRPr="0030127D" w:rsidRDefault="007E1279" w:rsidP="00C91E5D">
      <w:pPr>
        <w:pStyle w:val="SingleTxtG"/>
        <w:ind w:left="2552" w:hanging="851"/>
        <w:rPr>
          <w:lang w:val="en-US"/>
        </w:rPr>
      </w:pPr>
      <w:r w:rsidRPr="0030127D">
        <w:rPr>
          <w:lang w:val="en-US"/>
        </w:rPr>
        <w:t>Scope 1</w:t>
      </w:r>
      <w:r w:rsidRPr="0030127D">
        <w:rPr>
          <w:lang w:val="en-US"/>
        </w:rPr>
        <w:tab/>
        <w:t>Power input specification for the refrigeration system is declared by TRU (Transport Refrigeration Unit) manufacturer or measured by ATP Test Station.</w:t>
      </w:r>
    </w:p>
    <w:p w14:paraId="45A66A3A" w14:textId="66EB4AA6" w:rsidR="007E1279" w:rsidRPr="0030127D" w:rsidRDefault="00C91E5D" w:rsidP="00C91E5D">
      <w:pPr>
        <w:pStyle w:val="SingleTxtG"/>
        <w:ind w:left="2552" w:hanging="851"/>
        <w:rPr>
          <w:lang w:val="en-US"/>
        </w:rPr>
      </w:pPr>
      <w:r>
        <w:rPr>
          <w:lang w:val="en-US"/>
        </w:rPr>
        <w:tab/>
      </w:r>
      <w:r w:rsidR="007E1279" w:rsidRPr="0030127D">
        <w:rPr>
          <w:lang w:val="en-US"/>
        </w:rPr>
        <w:t>The source of this power input is not validated nor tested by ATP test station (vehicle ICE, vehicle alternator…).</w:t>
      </w:r>
    </w:p>
    <w:p w14:paraId="1C4602DF" w14:textId="77777777" w:rsidR="007E1279" w:rsidRPr="0030127D" w:rsidRDefault="007E1279" w:rsidP="00C91E5D">
      <w:pPr>
        <w:pStyle w:val="SingleTxtG"/>
        <w:ind w:left="2552" w:hanging="851"/>
        <w:rPr>
          <w:lang w:val="en-US"/>
        </w:rPr>
      </w:pPr>
      <w:r w:rsidRPr="0030127D">
        <w:rPr>
          <w:lang w:val="en-US"/>
        </w:rPr>
        <w:tab/>
      </w:r>
      <w:r>
        <w:rPr>
          <w:lang w:val="en-US"/>
        </w:rPr>
        <w:tab/>
      </w:r>
      <w:r w:rsidRPr="0030127D">
        <w:rPr>
          <w:lang w:val="en-US"/>
        </w:rPr>
        <w:t>This is the case today for all direct drive &amp; alternator driven TRU</w:t>
      </w:r>
    </w:p>
    <w:p w14:paraId="44E8E9A5" w14:textId="77777777" w:rsidR="007E1279" w:rsidRPr="0030127D" w:rsidRDefault="007E1279" w:rsidP="00C91E5D">
      <w:pPr>
        <w:pStyle w:val="SingleTxtG"/>
        <w:ind w:left="2552" w:hanging="851"/>
        <w:rPr>
          <w:lang w:val="en-US"/>
        </w:rPr>
      </w:pPr>
      <w:r w:rsidRPr="0030127D">
        <w:rPr>
          <w:lang w:val="en-US"/>
        </w:rPr>
        <w:t>Scope 2</w:t>
      </w:r>
      <w:r w:rsidRPr="0030127D">
        <w:rPr>
          <w:lang w:val="en-US"/>
        </w:rPr>
        <w:tab/>
        <w:t>Power source (ICE) is embedded within the TRU</w:t>
      </w:r>
    </w:p>
    <w:p w14:paraId="36584778" w14:textId="19C5C431" w:rsidR="007E1279" w:rsidRPr="0030127D" w:rsidRDefault="007E1279" w:rsidP="00C91E5D">
      <w:pPr>
        <w:pStyle w:val="SingleTxtG"/>
        <w:ind w:left="2552" w:hanging="851"/>
        <w:rPr>
          <w:lang w:val="en-US"/>
        </w:rPr>
      </w:pPr>
      <w:r w:rsidRPr="0030127D">
        <w:rPr>
          <w:lang w:val="en-US"/>
        </w:rPr>
        <w:tab/>
        <w:t>The full TRU, including ICE is tested and validated by ATP test station</w:t>
      </w:r>
    </w:p>
    <w:p w14:paraId="73BA88FA" w14:textId="71C7A821" w:rsidR="007E1279" w:rsidRPr="0030127D" w:rsidRDefault="007E1279" w:rsidP="00C91E5D">
      <w:pPr>
        <w:pStyle w:val="SingleTxtG"/>
        <w:ind w:left="2552" w:hanging="851"/>
        <w:rPr>
          <w:lang w:val="en-US"/>
        </w:rPr>
      </w:pPr>
      <w:r w:rsidRPr="0030127D">
        <w:rPr>
          <w:lang w:val="en-US"/>
        </w:rPr>
        <w:tab/>
        <w:t>This is the case today for conventional ICE powered TRU</w:t>
      </w:r>
    </w:p>
    <w:p w14:paraId="5625DC79" w14:textId="77777777" w:rsidR="007E1279" w:rsidRPr="0030127D" w:rsidRDefault="007E1279" w:rsidP="00C91E5D">
      <w:pPr>
        <w:pStyle w:val="SingleTxtG"/>
        <w:ind w:left="2552" w:hanging="851"/>
        <w:rPr>
          <w:lang w:val="en-US"/>
        </w:rPr>
      </w:pPr>
      <w:r w:rsidRPr="0030127D">
        <w:rPr>
          <w:lang w:val="en-US"/>
        </w:rPr>
        <w:t>Scope 3</w:t>
      </w:r>
      <w:r w:rsidRPr="0030127D">
        <w:rPr>
          <w:lang w:val="en-US"/>
        </w:rPr>
        <w:tab/>
        <w:t>this scope does include the test and/or validation of storage capacity by ATP test station</w:t>
      </w:r>
    </w:p>
    <w:p w14:paraId="0587FF54" w14:textId="1A537A28" w:rsidR="007E1279" w:rsidRPr="0030127D" w:rsidRDefault="007E1279" w:rsidP="0031647D">
      <w:pPr>
        <w:pStyle w:val="SingleTxtG"/>
        <w:ind w:left="2552" w:hanging="851"/>
        <w:rPr>
          <w:lang w:val="en-US"/>
        </w:rPr>
      </w:pPr>
      <w:r w:rsidRPr="0030127D">
        <w:rPr>
          <w:lang w:val="en-US"/>
        </w:rPr>
        <w:tab/>
        <w:t>This never apply today with existing TRU technologies.</w:t>
      </w:r>
    </w:p>
    <w:p w14:paraId="4D5AE62C" w14:textId="4A3C9461" w:rsidR="007E1279" w:rsidRPr="0030127D" w:rsidRDefault="007E1279" w:rsidP="00C91E5D">
      <w:pPr>
        <w:pStyle w:val="Bullet1G"/>
        <w:rPr>
          <w:lang w:val="en-US"/>
        </w:rPr>
      </w:pPr>
      <w:r w:rsidRPr="0030127D">
        <w:rPr>
          <w:lang w:val="en-US"/>
        </w:rPr>
        <w:t>A remark is made that scope 1, 2 and 3 describe the minimum amount of testing, meaning which tests should be mandatory for ATP, but we should also consider that some checks – not necessarily lab tests in an ATP test station - might be needed for these systems as well.</w:t>
      </w:r>
    </w:p>
    <w:p w14:paraId="333D09B7" w14:textId="76D0562C" w:rsidR="007E1279" w:rsidRDefault="007E1279" w:rsidP="00C91E5D">
      <w:pPr>
        <w:pStyle w:val="Bullet1G"/>
        <w:rPr>
          <w:lang w:val="en-US"/>
        </w:rPr>
      </w:pPr>
      <w:r w:rsidRPr="0030127D">
        <w:rPr>
          <w:lang w:val="en-US"/>
        </w:rPr>
        <w:t xml:space="preserve">Below is the summary of different recommendation </w:t>
      </w:r>
    </w:p>
    <w:p w14:paraId="0D16AD6A" w14:textId="77777777" w:rsidR="0031647D" w:rsidRDefault="0031647D" w:rsidP="0031647D">
      <w:pPr>
        <w:pStyle w:val="Bullet1G"/>
        <w:numPr>
          <w:ilvl w:val="0"/>
          <w:numId w:val="0"/>
        </w:numPr>
        <w:ind w:left="1701"/>
        <w:rPr>
          <w:lang w:val="en-US"/>
        </w:rPr>
      </w:pPr>
    </w:p>
    <w:p w14:paraId="47AA8241" w14:textId="77777777" w:rsidR="007E1279" w:rsidRDefault="007E1279" w:rsidP="007E1279">
      <w:pPr>
        <w:pStyle w:val="SingleTxtG"/>
        <w:rPr>
          <w:lang w:val="en-US"/>
        </w:rPr>
      </w:pPr>
      <w:r w:rsidRPr="00816EDF">
        <w:rPr>
          <w:noProof/>
        </w:rPr>
        <w:drawing>
          <wp:inline distT="0" distB="0" distL="0" distR="0" wp14:anchorId="61D83F11" wp14:editId="3FF8681C">
            <wp:extent cx="5614328" cy="1035031"/>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5691" cy="1042657"/>
                    </a:xfrm>
                    <a:prstGeom prst="rect">
                      <a:avLst/>
                    </a:prstGeom>
                    <a:noFill/>
                    <a:ln>
                      <a:noFill/>
                    </a:ln>
                  </pic:spPr>
                </pic:pic>
              </a:graphicData>
            </a:graphic>
          </wp:inline>
        </w:drawing>
      </w:r>
    </w:p>
    <w:p w14:paraId="4BC079A1" w14:textId="77777777" w:rsidR="0031647D" w:rsidRPr="0030127D" w:rsidRDefault="0031647D" w:rsidP="007E1279">
      <w:pPr>
        <w:pStyle w:val="SingleTxtG"/>
        <w:rPr>
          <w:lang w:val="en-US"/>
        </w:rPr>
      </w:pPr>
    </w:p>
    <w:p w14:paraId="7353CA1B" w14:textId="77777777" w:rsidR="007E1279" w:rsidRPr="00CF36F8" w:rsidRDefault="007E1279" w:rsidP="007E1279">
      <w:pPr>
        <w:spacing w:before="240"/>
        <w:jc w:val="center"/>
        <w:rPr>
          <w:rFonts w:asciiTheme="majorBidi" w:hAnsiTheme="majorBidi" w:cstheme="majorBidi"/>
          <w:u w:val="single"/>
          <w:lang w:val="en-US"/>
        </w:rPr>
      </w:pPr>
      <w:r>
        <w:rPr>
          <w:u w:val="single"/>
          <w:lang w:val="en-US"/>
        </w:rPr>
        <w:tab/>
      </w:r>
      <w:r>
        <w:rPr>
          <w:u w:val="single"/>
          <w:lang w:val="en-US"/>
        </w:rPr>
        <w:tab/>
      </w:r>
      <w:r>
        <w:rPr>
          <w:u w:val="single"/>
          <w:lang w:val="en-US"/>
        </w:rPr>
        <w:tab/>
      </w:r>
    </w:p>
    <w:sectPr w:rsidR="007E1279" w:rsidRPr="00CF36F8" w:rsidSect="00C83B36">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9656" w14:textId="77777777" w:rsidR="00666D5C" w:rsidRPr="00FB1744" w:rsidRDefault="00666D5C" w:rsidP="00FB1744">
      <w:pPr>
        <w:pStyle w:val="Footer"/>
      </w:pPr>
    </w:p>
  </w:endnote>
  <w:endnote w:type="continuationSeparator" w:id="0">
    <w:p w14:paraId="2DBBC167" w14:textId="77777777" w:rsidR="00666D5C" w:rsidRPr="00FB1744" w:rsidRDefault="00666D5C" w:rsidP="00FB1744">
      <w:pPr>
        <w:pStyle w:val="Footer"/>
      </w:pPr>
    </w:p>
  </w:endnote>
  <w:endnote w:type="continuationNotice" w:id="1">
    <w:p w14:paraId="2C909E59" w14:textId="77777777" w:rsidR="00666D5C" w:rsidRDefault="00666D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6722" w14:textId="77777777" w:rsidR="00666D5C" w:rsidRPr="00FB1744" w:rsidRDefault="00666D5C" w:rsidP="00FB1744">
      <w:pPr>
        <w:tabs>
          <w:tab w:val="right" w:pos="2155"/>
        </w:tabs>
        <w:spacing w:after="80" w:line="240" w:lineRule="auto"/>
        <w:ind w:left="680"/>
      </w:pPr>
      <w:r>
        <w:rPr>
          <w:u w:val="single"/>
        </w:rPr>
        <w:tab/>
      </w:r>
    </w:p>
  </w:footnote>
  <w:footnote w:type="continuationSeparator" w:id="0">
    <w:p w14:paraId="74DB9521" w14:textId="77777777" w:rsidR="00666D5C" w:rsidRPr="00FB1744" w:rsidRDefault="00666D5C" w:rsidP="00FB1744">
      <w:pPr>
        <w:tabs>
          <w:tab w:val="right" w:pos="2155"/>
        </w:tabs>
        <w:spacing w:after="80" w:line="240" w:lineRule="auto"/>
        <w:ind w:left="680"/>
      </w:pPr>
      <w:r>
        <w:rPr>
          <w:u w:val="single"/>
        </w:rPr>
        <w:tab/>
      </w:r>
    </w:p>
  </w:footnote>
  <w:footnote w:type="continuationNotice" w:id="1">
    <w:p w14:paraId="21A65F4B" w14:textId="77777777" w:rsidR="00666D5C" w:rsidRDefault="00666D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05834220" w:rsidR="002D18CF" w:rsidRPr="000C2B80" w:rsidRDefault="000C2B80" w:rsidP="002D18CF">
    <w:pPr>
      <w:pStyle w:val="Header"/>
      <w:rPr>
        <w:lang w:val="fr-CH"/>
      </w:rPr>
    </w:pPr>
    <w:r>
      <w:rPr>
        <w:lang w:val="fr-CH"/>
      </w:rPr>
      <w:t>INF.</w:t>
    </w:r>
    <w:r w:rsidR="007E1279">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054D9242" w:rsidR="002D18CF" w:rsidRPr="000C2B80" w:rsidRDefault="000C2B80" w:rsidP="002D18CF">
    <w:pPr>
      <w:pStyle w:val="Header"/>
      <w:jc w:val="right"/>
      <w:rPr>
        <w:lang w:val="fr-CH"/>
      </w:rPr>
    </w:pPr>
    <w:r>
      <w:rPr>
        <w:lang w:val="fr-CH"/>
      </w:rPr>
      <w:t>INF.</w:t>
    </w:r>
    <w:r w:rsidR="007E1279">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9D0F80"/>
    <w:multiLevelType w:val="hybridMultilevel"/>
    <w:tmpl w:val="8070D57C"/>
    <w:lvl w:ilvl="0" w:tplc="3DEA94B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8B218F"/>
    <w:multiLevelType w:val="hybridMultilevel"/>
    <w:tmpl w:val="5698725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 w15:restartNumberingAfterBreak="0">
    <w:nsid w:val="307112F5"/>
    <w:multiLevelType w:val="hybridMultilevel"/>
    <w:tmpl w:val="36BE763C"/>
    <w:lvl w:ilvl="0" w:tplc="CF9AF4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9"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8"/>
  </w:num>
  <w:num w:numId="3">
    <w:abstractNumId w:val="10"/>
  </w:num>
  <w:num w:numId="4">
    <w:abstractNumId w:val="25"/>
  </w:num>
  <w:num w:numId="5">
    <w:abstractNumId w:val="26"/>
  </w:num>
  <w:num w:numId="6">
    <w:abstractNumId w:val="33"/>
  </w:num>
  <w:num w:numId="7">
    <w:abstractNumId w:val="14"/>
  </w:num>
  <w:num w:numId="8">
    <w:abstractNumId w:val="19"/>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6"/>
  </w:num>
  <w:num w:numId="20">
    <w:abstractNumId w:val="22"/>
  </w:num>
  <w:num w:numId="21">
    <w:abstractNumId w:val="17"/>
  </w:num>
  <w:num w:numId="22">
    <w:abstractNumId w:val="27"/>
  </w:num>
  <w:num w:numId="23">
    <w:abstractNumId w:val="32"/>
  </w:num>
  <w:num w:numId="24">
    <w:abstractNumId w:val="12"/>
  </w:num>
  <w:num w:numId="25">
    <w:abstractNumId w:val="31"/>
  </w:num>
  <w:num w:numId="26">
    <w:abstractNumId w:val="24"/>
  </w:num>
  <w:num w:numId="27">
    <w:abstractNumId w:val="28"/>
  </w:num>
  <w:num w:numId="28">
    <w:abstractNumId w:val="11"/>
  </w:num>
  <w:num w:numId="29">
    <w:abstractNumId w:val="30"/>
  </w:num>
  <w:num w:numId="30">
    <w:abstractNumId w:val="23"/>
  </w:num>
  <w:num w:numId="31">
    <w:abstractNumId w:val="29"/>
  </w:num>
  <w:num w:numId="32">
    <w:abstractNumId w:val="13"/>
  </w:num>
  <w:num w:numId="33">
    <w:abstractNumId w:val="20"/>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27540"/>
    <w:rsid w:val="00046E92"/>
    <w:rsid w:val="00087AD8"/>
    <w:rsid w:val="00095A51"/>
    <w:rsid w:val="000A1B63"/>
    <w:rsid w:val="000B664C"/>
    <w:rsid w:val="000C29EF"/>
    <w:rsid w:val="000C2B80"/>
    <w:rsid w:val="000C7B0E"/>
    <w:rsid w:val="000D1B89"/>
    <w:rsid w:val="000D5091"/>
    <w:rsid w:val="000F3FDC"/>
    <w:rsid w:val="000F5CDF"/>
    <w:rsid w:val="001008CB"/>
    <w:rsid w:val="0010664D"/>
    <w:rsid w:val="0011479F"/>
    <w:rsid w:val="001170DC"/>
    <w:rsid w:val="00121E4B"/>
    <w:rsid w:val="00137BC0"/>
    <w:rsid w:val="0018353A"/>
    <w:rsid w:val="001A09F4"/>
    <w:rsid w:val="001C2868"/>
    <w:rsid w:val="001C4519"/>
    <w:rsid w:val="001C5536"/>
    <w:rsid w:val="001D3ADF"/>
    <w:rsid w:val="001E105A"/>
    <w:rsid w:val="001E391D"/>
    <w:rsid w:val="001E4853"/>
    <w:rsid w:val="00202A4B"/>
    <w:rsid w:val="002270AC"/>
    <w:rsid w:val="00231E6A"/>
    <w:rsid w:val="002340E4"/>
    <w:rsid w:val="002366EF"/>
    <w:rsid w:val="00247E2C"/>
    <w:rsid w:val="0025661E"/>
    <w:rsid w:val="00282508"/>
    <w:rsid w:val="00283D1E"/>
    <w:rsid w:val="0028427D"/>
    <w:rsid w:val="00294F09"/>
    <w:rsid w:val="00295CD8"/>
    <w:rsid w:val="00296B65"/>
    <w:rsid w:val="002C6C83"/>
    <w:rsid w:val="002D18CF"/>
    <w:rsid w:val="002D439F"/>
    <w:rsid w:val="002D6C53"/>
    <w:rsid w:val="002E17A8"/>
    <w:rsid w:val="002E6652"/>
    <w:rsid w:val="002F4031"/>
    <w:rsid w:val="002F5595"/>
    <w:rsid w:val="002F56B7"/>
    <w:rsid w:val="003079F0"/>
    <w:rsid w:val="0031647D"/>
    <w:rsid w:val="0032099E"/>
    <w:rsid w:val="00334F6A"/>
    <w:rsid w:val="00342AC8"/>
    <w:rsid w:val="003B4550"/>
    <w:rsid w:val="003C0A45"/>
    <w:rsid w:val="003F1DFF"/>
    <w:rsid w:val="00414664"/>
    <w:rsid w:val="00417397"/>
    <w:rsid w:val="0041767D"/>
    <w:rsid w:val="004255FE"/>
    <w:rsid w:val="00426FA2"/>
    <w:rsid w:val="004276BF"/>
    <w:rsid w:val="0043448D"/>
    <w:rsid w:val="00450195"/>
    <w:rsid w:val="00456087"/>
    <w:rsid w:val="00461253"/>
    <w:rsid w:val="00461F59"/>
    <w:rsid w:val="00462B40"/>
    <w:rsid w:val="00474925"/>
    <w:rsid w:val="004934C6"/>
    <w:rsid w:val="004A09FA"/>
    <w:rsid w:val="005042C2"/>
    <w:rsid w:val="00505F77"/>
    <w:rsid w:val="00506C12"/>
    <w:rsid w:val="00552466"/>
    <w:rsid w:val="0056599A"/>
    <w:rsid w:val="00587690"/>
    <w:rsid w:val="005A3345"/>
    <w:rsid w:val="005B08D1"/>
    <w:rsid w:val="005C1032"/>
    <w:rsid w:val="005C70FF"/>
    <w:rsid w:val="005D024A"/>
    <w:rsid w:val="005D4454"/>
    <w:rsid w:val="005F06F2"/>
    <w:rsid w:val="005F7003"/>
    <w:rsid w:val="0060012D"/>
    <w:rsid w:val="006079CB"/>
    <w:rsid w:val="00623CD9"/>
    <w:rsid w:val="00657B07"/>
    <w:rsid w:val="006604B7"/>
    <w:rsid w:val="00666D5C"/>
    <w:rsid w:val="00671529"/>
    <w:rsid w:val="00687DFE"/>
    <w:rsid w:val="006A6344"/>
    <w:rsid w:val="006B24B4"/>
    <w:rsid w:val="006C0D53"/>
    <w:rsid w:val="006E6D4D"/>
    <w:rsid w:val="006F0113"/>
    <w:rsid w:val="006F40C3"/>
    <w:rsid w:val="00703BBD"/>
    <w:rsid w:val="007062EE"/>
    <w:rsid w:val="00717266"/>
    <w:rsid w:val="007268F9"/>
    <w:rsid w:val="007456D8"/>
    <w:rsid w:val="00761D32"/>
    <w:rsid w:val="00765A25"/>
    <w:rsid w:val="00770E69"/>
    <w:rsid w:val="00780A81"/>
    <w:rsid w:val="0078268B"/>
    <w:rsid w:val="007C52B0"/>
    <w:rsid w:val="007E1279"/>
    <w:rsid w:val="007E3E3A"/>
    <w:rsid w:val="007F0335"/>
    <w:rsid w:val="00813AC3"/>
    <w:rsid w:val="00851F02"/>
    <w:rsid w:val="00856C4D"/>
    <w:rsid w:val="00863A7C"/>
    <w:rsid w:val="008B58EF"/>
    <w:rsid w:val="008C6447"/>
    <w:rsid w:val="008D060F"/>
    <w:rsid w:val="008E1EB4"/>
    <w:rsid w:val="00901D57"/>
    <w:rsid w:val="009411B4"/>
    <w:rsid w:val="00974820"/>
    <w:rsid w:val="00994049"/>
    <w:rsid w:val="009A1A36"/>
    <w:rsid w:val="009A407F"/>
    <w:rsid w:val="009A63F6"/>
    <w:rsid w:val="009D0139"/>
    <w:rsid w:val="009D6E44"/>
    <w:rsid w:val="009E4218"/>
    <w:rsid w:val="009E6429"/>
    <w:rsid w:val="009F5CDC"/>
    <w:rsid w:val="00A032EB"/>
    <w:rsid w:val="00A03F5A"/>
    <w:rsid w:val="00A068BC"/>
    <w:rsid w:val="00A10EF0"/>
    <w:rsid w:val="00A16820"/>
    <w:rsid w:val="00A429CD"/>
    <w:rsid w:val="00A56530"/>
    <w:rsid w:val="00A60C03"/>
    <w:rsid w:val="00A623BC"/>
    <w:rsid w:val="00A64C7A"/>
    <w:rsid w:val="00A7359C"/>
    <w:rsid w:val="00A753AA"/>
    <w:rsid w:val="00A775CF"/>
    <w:rsid w:val="00A80F59"/>
    <w:rsid w:val="00A93119"/>
    <w:rsid w:val="00AB3C7E"/>
    <w:rsid w:val="00AC101B"/>
    <w:rsid w:val="00AC33BC"/>
    <w:rsid w:val="00AE710D"/>
    <w:rsid w:val="00B06045"/>
    <w:rsid w:val="00B11CBD"/>
    <w:rsid w:val="00B36CBE"/>
    <w:rsid w:val="00B37C79"/>
    <w:rsid w:val="00B4553E"/>
    <w:rsid w:val="00B662C1"/>
    <w:rsid w:val="00B674B0"/>
    <w:rsid w:val="00B7096E"/>
    <w:rsid w:val="00B72FD7"/>
    <w:rsid w:val="00B768C2"/>
    <w:rsid w:val="00B90F85"/>
    <w:rsid w:val="00B95EF6"/>
    <w:rsid w:val="00BA6DE9"/>
    <w:rsid w:val="00BB16E9"/>
    <w:rsid w:val="00BF24A3"/>
    <w:rsid w:val="00BF7E2B"/>
    <w:rsid w:val="00C35A27"/>
    <w:rsid w:val="00C5163E"/>
    <w:rsid w:val="00C54041"/>
    <w:rsid w:val="00C80A37"/>
    <w:rsid w:val="00C83B36"/>
    <w:rsid w:val="00C91E5D"/>
    <w:rsid w:val="00C94CCC"/>
    <w:rsid w:val="00CB00E9"/>
    <w:rsid w:val="00CB78BA"/>
    <w:rsid w:val="00CC2E0B"/>
    <w:rsid w:val="00CC6247"/>
    <w:rsid w:val="00CD08A2"/>
    <w:rsid w:val="00CD5661"/>
    <w:rsid w:val="00CF36F8"/>
    <w:rsid w:val="00D058AC"/>
    <w:rsid w:val="00D56775"/>
    <w:rsid w:val="00D76CF1"/>
    <w:rsid w:val="00DA0C9F"/>
    <w:rsid w:val="00DB2AC0"/>
    <w:rsid w:val="00DE33BB"/>
    <w:rsid w:val="00DF2399"/>
    <w:rsid w:val="00E00163"/>
    <w:rsid w:val="00E02C2B"/>
    <w:rsid w:val="00E05DDE"/>
    <w:rsid w:val="00E155DA"/>
    <w:rsid w:val="00E17FF0"/>
    <w:rsid w:val="00E21119"/>
    <w:rsid w:val="00E229A7"/>
    <w:rsid w:val="00E528F2"/>
    <w:rsid w:val="00E7067E"/>
    <w:rsid w:val="00E720FE"/>
    <w:rsid w:val="00EA30C2"/>
    <w:rsid w:val="00EB3BEF"/>
    <w:rsid w:val="00EB4157"/>
    <w:rsid w:val="00EB628F"/>
    <w:rsid w:val="00EC3BE2"/>
    <w:rsid w:val="00ED6C48"/>
    <w:rsid w:val="00EE0542"/>
    <w:rsid w:val="00EF5F4B"/>
    <w:rsid w:val="00F553CC"/>
    <w:rsid w:val="00F6207A"/>
    <w:rsid w:val="00F65DAA"/>
    <w:rsid w:val="00F65F5D"/>
    <w:rsid w:val="00F86A3A"/>
    <w:rsid w:val="00F90144"/>
    <w:rsid w:val="00FB1744"/>
    <w:rsid w:val="00FB76D1"/>
    <w:rsid w:val="00FB7F41"/>
    <w:rsid w:val="00FC04AB"/>
    <w:rsid w:val="00FD2B7D"/>
    <w:rsid w:val="00FD3165"/>
    <w:rsid w:val="00FE140C"/>
    <w:rsid w:val="00FE2442"/>
    <w:rsid w:val="00FE4C2E"/>
    <w:rsid w:val="00FE70A2"/>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8D7E7F19-4ADA-4B87-BFA7-70EEAF2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2.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3.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B25486E6-2B4B-49B6-B4BF-471A48A7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1292</Words>
  <Characters>7369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ECE/TRANS/WP.11/2020/1/Rev.1</vt:lpstr>
      <vt:lpstr>ECE/TRANS/WP.11/2020/1/Rev.1</vt:lpstr>
    </vt:vector>
  </TitlesOfParts>
  <Company>DCM</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ECE/TRANS/WP.29/2018/22</cp:lastModifiedBy>
  <cp:revision>34</cp:revision>
  <dcterms:created xsi:type="dcterms:W3CDTF">2022-10-19T15:05:00Z</dcterms:created>
  <dcterms:modified xsi:type="dcterms:W3CDTF">2022-10-19T16:32:00Z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