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8EB1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C1E915" w14:textId="77777777" w:rsidR="002D5AAC" w:rsidRDefault="002D5AAC" w:rsidP="00E706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17CA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B1D03F" w14:textId="0AC8B7CA" w:rsidR="002D5AAC" w:rsidRDefault="00E70647" w:rsidP="00E70647">
            <w:pPr>
              <w:jc w:val="right"/>
            </w:pPr>
            <w:r w:rsidRPr="00E70647">
              <w:rPr>
                <w:sz w:val="40"/>
              </w:rPr>
              <w:t>ECE</w:t>
            </w:r>
            <w:r>
              <w:t>/TRANS/2023/20</w:t>
            </w:r>
          </w:p>
        </w:tc>
      </w:tr>
      <w:tr w:rsidR="002D5AAC" w:rsidRPr="00C1282B" w14:paraId="196552D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372A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5AA71C" wp14:editId="59C9C30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6B47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80AA46" w14:textId="77777777" w:rsidR="002D5AAC" w:rsidRDefault="00E7064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656D96" w14:textId="667EE4AA" w:rsidR="00E70647" w:rsidRDefault="00DF0C7B" w:rsidP="00E706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2022</w:t>
            </w:r>
          </w:p>
          <w:p w14:paraId="4B415B47" w14:textId="77777777" w:rsidR="00E70647" w:rsidRDefault="00E70647" w:rsidP="00E706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99E14E" w14:textId="2BD1C7FB" w:rsidR="00E70647" w:rsidRPr="008D53B6" w:rsidRDefault="00E70647" w:rsidP="00E706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356318" w14:textId="77777777" w:rsidR="00E70647" w:rsidRPr="000F6419" w:rsidRDefault="00E70647" w:rsidP="00E70647">
      <w:pPr>
        <w:spacing w:before="120"/>
        <w:rPr>
          <w:b/>
          <w:bCs/>
          <w:sz w:val="28"/>
          <w:szCs w:val="28"/>
        </w:rPr>
      </w:pPr>
      <w:r w:rsidRPr="000F6419">
        <w:rPr>
          <w:b/>
          <w:bCs/>
          <w:sz w:val="28"/>
          <w:szCs w:val="28"/>
        </w:rPr>
        <w:t>Европейская экономическая комиссия</w:t>
      </w:r>
    </w:p>
    <w:p w14:paraId="4F276570" w14:textId="77777777" w:rsidR="00E70647" w:rsidRPr="000F6419" w:rsidRDefault="00E70647" w:rsidP="00E70647">
      <w:pPr>
        <w:spacing w:before="120"/>
        <w:rPr>
          <w:sz w:val="28"/>
          <w:szCs w:val="28"/>
        </w:rPr>
      </w:pPr>
      <w:r w:rsidRPr="000F6419">
        <w:rPr>
          <w:sz w:val="28"/>
          <w:szCs w:val="28"/>
        </w:rPr>
        <w:t>Комитет по внутреннему транспорту</w:t>
      </w:r>
    </w:p>
    <w:p w14:paraId="356B62BD" w14:textId="77777777" w:rsidR="00E70647" w:rsidRPr="00121CB3" w:rsidRDefault="00E70647" w:rsidP="00E70647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73B7B975" w14:textId="4717C3EC" w:rsidR="00E70647" w:rsidRPr="00121CB3" w:rsidRDefault="00E70647" w:rsidP="00E70647">
      <w:pPr>
        <w:rPr>
          <w:b/>
        </w:rPr>
      </w:pPr>
      <w:r>
        <w:t>Женева, 21–24 февраля 2023 года</w:t>
      </w:r>
      <w:r w:rsidRPr="00B305EA">
        <w:br/>
      </w:r>
      <w:r>
        <w:t>Пункт 7 d) предварительной повестки дня</w:t>
      </w:r>
      <w:r w:rsidRPr="00FD5800">
        <w:br/>
      </w:r>
      <w:r>
        <w:rPr>
          <w:b/>
          <w:bCs/>
        </w:rPr>
        <w:t xml:space="preserve">Стратегические вопросы горизонтальной </w:t>
      </w:r>
      <w:r w:rsidR="00FC6402">
        <w:rPr>
          <w:b/>
          <w:bCs/>
        </w:rPr>
        <w:br/>
      </w:r>
      <w:r>
        <w:rPr>
          <w:b/>
          <w:bCs/>
        </w:rPr>
        <w:t xml:space="preserve">и межсекторальной политики </w:t>
      </w:r>
      <w:r w:rsidR="00FC6402">
        <w:rPr>
          <w:b/>
          <w:bCs/>
        </w:rPr>
        <w:br/>
      </w:r>
      <w:r>
        <w:rPr>
          <w:b/>
          <w:bCs/>
        </w:rPr>
        <w:t>или нормативного характера:</w:t>
      </w:r>
    </w:p>
    <w:p w14:paraId="6A52C4AC" w14:textId="77777777" w:rsidR="00E70647" w:rsidRPr="00121CB3" w:rsidRDefault="00E70647" w:rsidP="00E70647">
      <w:pPr>
        <w:rPr>
          <w:b/>
        </w:rPr>
      </w:pPr>
      <w:r>
        <w:rPr>
          <w:b/>
          <w:bCs/>
        </w:rPr>
        <w:t>Технологии информации и компьютеризации</w:t>
      </w:r>
      <w:r>
        <w:t xml:space="preserve"> </w:t>
      </w:r>
    </w:p>
    <w:p w14:paraId="044FEE67" w14:textId="77777777" w:rsidR="00E70647" w:rsidRPr="00121CB3" w:rsidRDefault="00E70647" w:rsidP="00E70647">
      <w:pPr>
        <w:rPr>
          <w:b/>
        </w:rPr>
      </w:pPr>
      <w:r>
        <w:rPr>
          <w:b/>
          <w:bCs/>
        </w:rPr>
        <w:t>и интеллектуальные транспортные системы</w:t>
      </w:r>
    </w:p>
    <w:p w14:paraId="097998D3" w14:textId="77777777" w:rsidR="00E70647" w:rsidRPr="00121CB3" w:rsidRDefault="00E70647" w:rsidP="00E70647">
      <w:pPr>
        <w:pStyle w:val="HChG"/>
      </w:pPr>
      <w:r>
        <w:tab/>
      </w:r>
      <w:r>
        <w:tab/>
      </w:r>
      <w:r>
        <w:rPr>
          <w:bCs/>
        </w:rPr>
        <w:t>Технологии информации и компьютеризации</w:t>
      </w:r>
      <w:r>
        <w:t xml:space="preserve"> </w:t>
      </w:r>
    </w:p>
    <w:p w14:paraId="18E87AFF" w14:textId="20D1C7A2" w:rsidR="00E70647" w:rsidRDefault="00E70647" w:rsidP="00E70647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70647" w:rsidRPr="00E70647" w14:paraId="3908EDDA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83309B9" w14:textId="77777777" w:rsidR="00E70647" w:rsidRPr="00E70647" w:rsidRDefault="00E7064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70647">
              <w:rPr>
                <w:rFonts w:cs="Times New Roman"/>
              </w:rPr>
              <w:tab/>
            </w:r>
            <w:r w:rsidRPr="00E7064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70647" w:rsidRPr="00E70647" w14:paraId="6C45687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6999066" w14:textId="71075405" w:rsidR="00E70647" w:rsidRPr="00E70647" w:rsidRDefault="00483218" w:rsidP="00E70647">
            <w:pPr>
              <w:pStyle w:val="SingleTxtG"/>
            </w:pPr>
            <w:r>
              <w:tab/>
            </w:r>
            <w:r w:rsidR="00E70647">
              <w:t>В соответствии с решением Комитета, принятым на его последней сессии (ECE/TRANS/316, пункт 47), в настоящем документе представлен обзор деятельности в области технологий информации и компьютеризации, осуществлявшейся в 2022</w:t>
            </w:r>
            <w:r>
              <w:rPr>
                <w:lang w:val="en-US"/>
              </w:rPr>
              <w:t> </w:t>
            </w:r>
            <w:r w:rsidR="00E70647">
              <w:t>году рабочими группами КВТ, в увязке при необходимости с центральной темой семидесятой сессии Европейской экономической комиссии (ЕЭК) в 2023 году, которая будет посвящена теме «Цифровые и “зеленыe” преобразования в интересах устойчивого развития в регионе ЕЭК ООН».</w:t>
            </w:r>
          </w:p>
        </w:tc>
      </w:tr>
      <w:tr w:rsidR="00E70647" w:rsidRPr="00E70647" w14:paraId="192BE77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7134431" w14:textId="53D7B8F8" w:rsidR="00E70647" w:rsidRPr="00E70647" w:rsidRDefault="00E70647" w:rsidP="00E70647">
            <w:pPr>
              <w:pStyle w:val="SingleTxtG"/>
            </w:pPr>
            <w:r>
              <w:t>Комитету предлагается рекомендовать продолжение:</w:t>
            </w:r>
          </w:p>
        </w:tc>
      </w:tr>
      <w:tr w:rsidR="00E70647" w:rsidRPr="00E70647" w14:paraId="44C55AA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DC64698" w14:textId="77777777" w:rsidR="00E70647" w:rsidRPr="00121CB3" w:rsidRDefault="00E70647" w:rsidP="00E70647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after="0"/>
              <w:ind w:left="1701" w:hanging="170"/>
            </w:pPr>
            <w:r w:rsidRPr="00D43650">
              <w:t>•</w:t>
            </w:r>
            <w:r>
              <w:tab/>
              <w:t>работы Рабочей группы по автомобильному транспорту (SC.1) по введению в действие eCMR</w:t>
            </w:r>
            <w:r w:rsidRPr="00FD2390">
              <w:t xml:space="preserve"> </w:t>
            </w:r>
            <w:r>
              <w:t xml:space="preserve">с обеспечением вовлечения всех заинтересованных сторон и регионов; </w:t>
            </w:r>
          </w:p>
          <w:p w14:paraId="5A8EFC79" w14:textId="77777777" w:rsidR="00E70647" w:rsidRPr="00121CB3" w:rsidRDefault="00E70647" w:rsidP="00E70647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after="0"/>
              <w:ind w:left="1701" w:hanging="170"/>
            </w:pPr>
            <w:r w:rsidRPr="00D43650">
              <w:t>•</w:t>
            </w:r>
            <w:r>
              <w:tab/>
              <w:t xml:space="preserve">работы Рабочей группы по таможенным вопросам, связанным с транспортом (WP.30), и Административного комитета МДП (AC.2) по применению международной системы eTIR и подключению национальных таможенных систем; </w:t>
            </w:r>
          </w:p>
          <w:p w14:paraId="3A78A432" w14:textId="5630BDB5" w:rsidR="00E70647" w:rsidRPr="00FE036C" w:rsidRDefault="00E70647" w:rsidP="00E70647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after="0"/>
              <w:ind w:left="1701" w:hanging="170"/>
            </w:pPr>
            <w:r w:rsidRPr="00D43650">
              <w:t>•</w:t>
            </w:r>
            <w:r>
              <w:tab/>
              <w:t>работы WP.30 по цифровизации конвенций о временном ввозе 1954</w:t>
            </w:r>
            <w:r w:rsidR="00483218">
              <w:rPr>
                <w:lang w:val="en-US"/>
              </w:rPr>
              <w:t> </w:t>
            </w:r>
            <w:r>
              <w:t>года (частные дорожные перевозочные средства) и 1956</w:t>
            </w:r>
            <w:r w:rsidR="00483218">
              <w:rPr>
                <w:lang w:val="en-US"/>
              </w:rPr>
              <w:t> </w:t>
            </w:r>
            <w:r>
              <w:t xml:space="preserve">года (коммерческие дорожные перевозочные средства), а также таможенных талонных книжек (eCPD); </w:t>
            </w:r>
          </w:p>
          <w:p w14:paraId="413FDDC4" w14:textId="77777777" w:rsidR="00E70647" w:rsidRPr="00121CB3" w:rsidRDefault="00E70647" w:rsidP="00E70647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after="0"/>
              <w:ind w:left="1701" w:hanging="170"/>
            </w:pPr>
            <w:r w:rsidRPr="00D43650">
              <w:t>•</w:t>
            </w:r>
            <w:r>
              <w:tab/>
              <w:t xml:space="preserve">работы Исполнительного совета МДП (ИСМДП)/WP.30, касающейся Международного банка данных МДП (МБДМДП), (веб-)портала eTIR для держателей книжек МДП и его мобильных приложений для сотрудников таможни и держателей; </w:t>
            </w:r>
          </w:p>
          <w:p w14:paraId="4A2B8C9B" w14:textId="77777777" w:rsidR="00E70647" w:rsidRPr="00121CB3" w:rsidRDefault="00E70647" w:rsidP="00E70647">
            <w:pPr>
              <w:pStyle w:val="Bullet1G"/>
              <w:pageBreakBefore/>
              <w:numPr>
                <w:ilvl w:val="0"/>
                <w:numId w:val="0"/>
              </w:numPr>
              <w:tabs>
                <w:tab w:val="left" w:pos="1701"/>
              </w:tabs>
              <w:spacing w:after="0"/>
              <w:ind w:left="1701" w:hanging="170"/>
            </w:pPr>
            <w:r w:rsidRPr="00D43650">
              <w:t>•</w:t>
            </w:r>
            <w:r>
              <w:tab/>
              <w:t xml:space="preserve">работы WP.30, касающейся Центра мониторинга ситуации с пересечением границ в связи с COVID-19; </w:t>
            </w:r>
          </w:p>
          <w:p w14:paraId="03BDFF70" w14:textId="77777777" w:rsidR="00E70647" w:rsidRPr="00121CB3" w:rsidRDefault="00E70647" w:rsidP="00E70647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after="0"/>
              <w:ind w:left="1701" w:hanging="170"/>
            </w:pPr>
            <w:r w:rsidRPr="00D43650">
              <w:lastRenderedPageBreak/>
              <w:t>•</w:t>
            </w:r>
            <w:r>
              <w:tab/>
              <w:t>работы Рабочей группы по тенденциям и экономике транспорта (WP.5), касающейся Международного центра мониторинга транспортной инфраструктуры, созданного на платформе географической информационной системы (ГИС);</w:t>
            </w:r>
          </w:p>
          <w:p w14:paraId="2AFD1918" w14:textId="77777777" w:rsidR="00E70647" w:rsidRPr="00121CB3" w:rsidRDefault="00E70647" w:rsidP="00E70647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after="0"/>
              <w:ind w:left="1701" w:hanging="170"/>
            </w:pPr>
            <w:r w:rsidRPr="00D43650">
              <w:t>•</w:t>
            </w:r>
            <w:r>
              <w:tab/>
              <w:t xml:space="preserve">работы WP.5 и использования данных/инструмента ГИС по последствиям изменения климата для транспортных сетей и адаптации к ним; </w:t>
            </w:r>
          </w:p>
          <w:p w14:paraId="26A28B43" w14:textId="4AB88A68" w:rsidR="00E70647" w:rsidRDefault="00E70647" w:rsidP="00E70647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after="0"/>
              <w:ind w:left="1701" w:hanging="170"/>
            </w:pPr>
            <w:r w:rsidRPr="00D43650">
              <w:t>•</w:t>
            </w:r>
            <w:r>
              <w:tab/>
              <w:t>работы WP.5, касающейся инструмента «Показатели устойчивой связанности внутреннего транспорта (ПУСВТ)»,</w:t>
            </w:r>
          </w:p>
        </w:tc>
      </w:tr>
      <w:tr w:rsidR="00E70647" w:rsidRPr="00E70647" w14:paraId="0A793AF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252B868" w14:textId="7CC57B76" w:rsidR="00E70647" w:rsidRPr="00E70647" w:rsidRDefault="00E70647" w:rsidP="00E70647">
            <w:pPr>
              <w:pStyle w:val="SingleTxtG"/>
            </w:pPr>
            <w:r>
              <w:lastRenderedPageBreak/>
              <w:t>в качестве конкретных приложений и инструментов, основанных на технологиях информации и компьютеризации, которые обеспечивают реализацию Стратегии Комитета по внутреннему транспорту (КВТ) на период до 2030 года и, в частности, его второго компонента, касающегося новых технологий и инноваций.</w:t>
            </w:r>
          </w:p>
        </w:tc>
      </w:tr>
      <w:tr w:rsidR="00E70647" w:rsidRPr="00E70647" w14:paraId="6FCE54F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DC5FED7" w14:textId="77777777" w:rsidR="00E70647" w:rsidRPr="00E70647" w:rsidRDefault="00E70647" w:rsidP="00850215">
            <w:pPr>
              <w:rPr>
                <w:rFonts w:cs="Times New Roman"/>
              </w:rPr>
            </w:pPr>
          </w:p>
        </w:tc>
      </w:tr>
    </w:tbl>
    <w:p w14:paraId="675E99CD" w14:textId="77777777" w:rsidR="00E70647" w:rsidRPr="00121CB3" w:rsidRDefault="00E70647" w:rsidP="00E70647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 и мандат</w:t>
      </w:r>
    </w:p>
    <w:p w14:paraId="333F3E77" w14:textId="77777777" w:rsidR="00E70647" w:rsidRPr="00121CB3" w:rsidRDefault="00E70647" w:rsidP="00E70647">
      <w:pPr>
        <w:pStyle w:val="SingleTxtG"/>
      </w:pPr>
      <w:r>
        <w:t>1.</w:t>
      </w:r>
      <w:r>
        <w:tab/>
        <w:t>Настоящий документ подготовлен в соответствии с программой работы КВТ на 2022 год (ECE/TRANS/316, пункт 33, и ECE/TRANS/2022/8). Он согласован со Cтратегией КВТ на период до 2030 года и содержит краткую информацию о деятельности в области технологий информации и компьютеризации, в рамках которой реализуется второй компонент его миссии, согласно которому КВТ должен стать платформой Организации Объединенных Наций для поддержки новых технологий и инноваций во внутреннем транспорте.</w:t>
      </w:r>
    </w:p>
    <w:p w14:paraId="1C4C3D3D" w14:textId="77777777" w:rsidR="00E70647" w:rsidRPr="00121CB3" w:rsidRDefault="00E70647" w:rsidP="00E70647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Описание инициатив в области технологий информации и компьютеризации</w:t>
      </w:r>
    </w:p>
    <w:p w14:paraId="33D6171E" w14:textId="4B9A9363" w:rsidR="00E70647" w:rsidRPr="00121CB3" w:rsidRDefault="00E70647" w:rsidP="00E7064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 xml:space="preserve">Международная система eTIR (Конвенция МДП) </w:t>
      </w:r>
      <w:r w:rsidRPr="00E70647">
        <w:rPr>
          <w:bCs/>
        </w:rPr>
        <w:t>—</w:t>
      </w:r>
      <w:r>
        <w:rPr>
          <w:bCs/>
        </w:rPr>
        <w:t xml:space="preserve"> WP.30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E70647" w:rsidRPr="00D43650" w14:paraId="6A747B0D" w14:textId="77777777" w:rsidTr="00FF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37419817" w14:textId="77777777" w:rsidR="00E70647" w:rsidRPr="009406FA" w:rsidRDefault="00E70647" w:rsidP="00A3231E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9406FA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E70647" w:rsidRPr="00D43650" w14:paraId="2C92A7D7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</w:tcBorders>
          </w:tcPr>
          <w:p w14:paraId="11A1939E" w14:textId="77777777" w:rsidR="00E70647" w:rsidRPr="009406FA" w:rsidRDefault="00E70647" w:rsidP="00A3231E">
            <w:pPr>
              <w:spacing w:before="40" w:after="120"/>
              <w:rPr>
                <w:color w:val="000000" w:themeColor="text1"/>
              </w:rPr>
            </w:pPr>
            <w:r w:rsidRPr="009406FA">
              <w:t>Название инструмента:</w:t>
            </w:r>
          </w:p>
        </w:tc>
        <w:tc>
          <w:tcPr>
            <w:tcW w:w="6498" w:type="dxa"/>
            <w:tcBorders>
              <w:top w:val="single" w:sz="12" w:space="0" w:color="auto"/>
            </w:tcBorders>
          </w:tcPr>
          <w:p w14:paraId="7EA8CB78" w14:textId="77777777" w:rsidR="00E70647" w:rsidRPr="009406FA" w:rsidRDefault="00E70647" w:rsidP="00A3231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06FA">
              <w:t>Международная система eTIR (приложение)</w:t>
            </w:r>
          </w:p>
        </w:tc>
      </w:tr>
      <w:tr w:rsidR="00E70647" w:rsidRPr="00D43650" w14:paraId="773FD210" w14:textId="77777777" w:rsidTr="002333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808080" w:themeColor="background1" w:themeShade="80"/>
            </w:tcBorders>
          </w:tcPr>
          <w:p w14:paraId="113DB6A7" w14:textId="77777777" w:rsidR="00E70647" w:rsidRPr="009406FA" w:rsidRDefault="00E70647" w:rsidP="00A3231E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9406FA">
              <w:t>Тип инструмента:</w:t>
            </w:r>
          </w:p>
        </w:tc>
        <w:tc>
          <w:tcPr>
            <w:tcW w:w="6498" w:type="dxa"/>
            <w:tcBorders>
              <w:bottom w:val="single" w:sz="4" w:space="0" w:color="808080" w:themeColor="background1" w:themeShade="80"/>
            </w:tcBorders>
          </w:tcPr>
          <w:p w14:paraId="0794EC74" w14:textId="16210837" w:rsidR="00E70647" w:rsidRPr="009406FA" w:rsidRDefault="00E70647" w:rsidP="00A3231E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06FA">
              <w:t xml:space="preserve">Онлайн-платформа </w:t>
            </w:r>
            <w:r w:rsidR="00483218">
              <w:rPr>
                <w:lang w:val="en-US"/>
              </w:rPr>
              <w:t>—</w:t>
            </w:r>
            <w:r w:rsidRPr="009406FA">
              <w:t xml:space="preserve"> приложение. </w:t>
            </w:r>
          </w:p>
        </w:tc>
      </w:tr>
      <w:tr w:rsidR="00E70647" w:rsidRPr="00FD5800" w14:paraId="5A292B73" w14:textId="77777777" w:rsidTr="00443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808080" w:themeColor="background1" w:themeShade="80"/>
              <w:bottom w:val="nil"/>
            </w:tcBorders>
          </w:tcPr>
          <w:p w14:paraId="666AAB4B" w14:textId="77777777" w:rsidR="00E70647" w:rsidRPr="009406FA" w:rsidRDefault="00E70647" w:rsidP="00A3231E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9406FA">
              <w:t>Описание инструмента:</w:t>
            </w:r>
          </w:p>
          <w:p w14:paraId="253A4346" w14:textId="77777777" w:rsidR="00E70647" w:rsidRPr="009406FA" w:rsidRDefault="00E70647" w:rsidP="00A3231E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9406FA">
              <w:rPr>
                <w:noProof/>
                <w:color w:val="000000" w:themeColor="text1"/>
              </w:rPr>
              <w:drawing>
                <wp:inline distT="0" distB="0" distL="0" distR="0" wp14:anchorId="6FD9D16B" wp14:editId="1243F2A1">
                  <wp:extent cx="1358900" cy="1358900"/>
                  <wp:effectExtent l="0" t="0" r="0" b="0"/>
                  <wp:docPr id="42" name="Picture 41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9E2696-C39D-4E7E-82A8-E2EF56B69F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A9E2696-C39D-4E7E-82A8-E2EF56B69F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60" cy="135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>
              <w:top w:val="single" w:sz="4" w:space="0" w:color="808080" w:themeColor="background1" w:themeShade="80"/>
              <w:bottom w:val="nil"/>
            </w:tcBorders>
          </w:tcPr>
          <w:p w14:paraId="4733A4E7" w14:textId="77777777" w:rsidR="00E70647" w:rsidRPr="009406FA" w:rsidRDefault="00E70647" w:rsidP="00A3231E">
            <w:pPr>
              <w:pStyle w:val="af3"/>
              <w:suppressAutoHyphens/>
              <w:spacing w:before="4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Цель международной системы eTIR заключается в обеспечении безопасного обмена между национальными таможенными системами информацией, касающейся международной транзитной перевозки грузов, транспортных средств и контейнеров в соответствии с положениями Конвенции МДП, а также в предоставлении таможенным органам возможности управлять данными по гарантиям, выданным гарантийными цепями держателям книжек МДП, уполномоченным использовать систему МДП. </w:t>
            </w:r>
          </w:p>
          <w:p w14:paraId="234A0EE8" w14:textId="727BB5B7" w:rsidR="00E70647" w:rsidRPr="009406FA" w:rsidRDefault="00E70647" w:rsidP="00A3231E">
            <w:pPr>
              <w:pStyle w:val="af3"/>
              <w:suppressAutoHyphens/>
              <w:spacing w:before="4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февраля 2020 года страны приняли положения, обеспечивающие правовую основу для безбумажного функционирования Конвенции МДП ООН (так называемой eTIR) </w:t>
            </w:r>
            <w:r w:rsidR="00A3231E" w:rsidRPr="00A323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единственной глобальной системы таможенного транзита, способствующей торговле и беспрепятственному и безопасному перемещению грузов через границы.</w:t>
            </w:r>
          </w:p>
          <w:p w14:paraId="333A2EFB" w14:textId="127D535E" w:rsidR="00E70647" w:rsidRPr="009406FA" w:rsidRDefault="00E70647" w:rsidP="0023331D">
            <w:pPr>
              <w:pStyle w:val="af3"/>
              <w:suppressAutoHyphens/>
              <w:spacing w:before="4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мае 2021 года вступило в силу приложение 11 к Конвенции МДП. </w:t>
            </w:r>
          </w:p>
        </w:tc>
      </w:tr>
      <w:tr w:rsidR="004434E9" w:rsidRPr="00FD5800" w14:paraId="18828546" w14:textId="77777777" w:rsidTr="00443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C5C817E" w14:textId="77777777" w:rsidR="004434E9" w:rsidRPr="009406FA" w:rsidRDefault="004434E9" w:rsidP="00A3231E">
            <w:pPr>
              <w:spacing w:before="40" w:after="120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E08CB3" w14:textId="77777777" w:rsidR="004434E9" w:rsidRPr="009406FA" w:rsidRDefault="004434E9" w:rsidP="00A3231E">
            <w:pPr>
              <w:pStyle w:val="af3"/>
              <w:suppressAutoHyphens/>
              <w:spacing w:before="4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331D" w:rsidRPr="00FD5800" w14:paraId="597146CD" w14:textId="77777777" w:rsidTr="00443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</w:tcBorders>
          </w:tcPr>
          <w:p w14:paraId="127D6E68" w14:textId="77777777" w:rsidR="0023331D" w:rsidRPr="009406FA" w:rsidRDefault="0023331D" w:rsidP="0023331D">
            <w:pPr>
              <w:pageBreakBefore/>
              <w:spacing w:before="40" w:after="120" w:line="240" w:lineRule="exact"/>
            </w:pPr>
          </w:p>
        </w:tc>
        <w:tc>
          <w:tcPr>
            <w:tcW w:w="6498" w:type="dxa"/>
            <w:tcBorders>
              <w:top w:val="nil"/>
            </w:tcBorders>
          </w:tcPr>
          <w:p w14:paraId="7290D065" w14:textId="38979526" w:rsidR="0023331D" w:rsidRDefault="0023331D" w:rsidP="00A3231E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9406FA">
              <w:rPr>
                <w:rFonts w:cs="Times New Roman"/>
                <w:szCs w:val="20"/>
              </w:rPr>
              <w:t xml:space="preserve">На первой сессии Технического органа по осуществлению (ТОО) </w:t>
            </w:r>
            <w:r>
              <w:rPr>
                <w:rFonts w:cs="Times New Roman"/>
                <w:szCs w:val="20"/>
              </w:rPr>
              <w:br/>
            </w:r>
            <w:r w:rsidRPr="009406FA">
              <w:rPr>
                <w:rFonts w:cs="Times New Roman"/>
                <w:szCs w:val="20"/>
              </w:rPr>
              <w:t>(18</w:t>
            </w:r>
            <w:r>
              <w:rPr>
                <w:rFonts w:cs="Times New Roman"/>
                <w:szCs w:val="20"/>
              </w:rPr>
              <w:t>–</w:t>
            </w:r>
            <w:r w:rsidRPr="009406FA">
              <w:rPr>
                <w:rFonts w:cs="Times New Roman"/>
                <w:szCs w:val="20"/>
              </w:rPr>
              <w:t>21 января 2020 года) была принята версия 4.3 технических спецификаций eTIR, а AC.2 (февраль 2022 года) принял концепции eTIR и функциональные спецификации eTIR, что обеспечивает полную правовую и техническую основу для тех стран, которые готовы внедрить процедуру eTIR.</w:t>
            </w:r>
          </w:p>
          <w:p w14:paraId="71014998" w14:textId="2EA45D02" w:rsidR="0023331D" w:rsidRDefault="0023331D" w:rsidP="00A3231E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6FA">
              <w:rPr>
                <w:rFonts w:cs="Times New Roman"/>
                <w:szCs w:val="20"/>
              </w:rPr>
              <w:t>Секретариат МДП разработал систему и установил взаимосвязь с национальными таможенными системами Азербайджана, Грузии, Пакистана, Туниса, Турции и Узбекистана. Совместно с Комиссией была выполнена проверка концепции взаимосвязи системы с Новой компьютеризированной</w:t>
            </w:r>
            <w:r w:rsidRPr="00922C02">
              <w:rPr>
                <w:rFonts w:cs="Times New Roman"/>
                <w:szCs w:val="20"/>
              </w:rPr>
              <w:t xml:space="preserve"> </w:t>
            </w:r>
            <w:r w:rsidRPr="009406FA">
              <w:rPr>
                <w:rFonts w:cs="Times New Roman"/>
                <w:szCs w:val="20"/>
              </w:rPr>
              <w:t xml:space="preserve">системой транзита (НКСТ) Европейского </w:t>
            </w:r>
            <w:r>
              <w:rPr>
                <w:rFonts w:cs="Times New Roman"/>
                <w:szCs w:val="20"/>
              </w:rPr>
              <w:t>с</w:t>
            </w:r>
            <w:r w:rsidRPr="009406FA">
              <w:rPr>
                <w:rFonts w:cs="Times New Roman"/>
                <w:szCs w:val="20"/>
              </w:rPr>
              <w:t>оюза (ЕС).</w:t>
            </w:r>
          </w:p>
        </w:tc>
      </w:tr>
      <w:tr w:rsidR="00E70647" w:rsidRPr="00FD5800" w14:paraId="759DCFD8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874B390" w14:textId="77777777" w:rsidR="00E70647" w:rsidRPr="009406FA" w:rsidRDefault="00E70647" w:rsidP="00A3231E">
            <w:pPr>
              <w:spacing w:before="40" w:after="120" w:line="240" w:lineRule="exact"/>
              <w:rPr>
                <w:b w:val="0"/>
                <w:bCs w:val="0"/>
                <w:color w:val="000000" w:themeColor="text1"/>
              </w:rPr>
            </w:pPr>
            <w:r w:rsidRPr="009406FA">
              <w:t xml:space="preserve">URL: </w:t>
            </w:r>
          </w:p>
        </w:tc>
        <w:tc>
          <w:tcPr>
            <w:tcW w:w="6498" w:type="dxa"/>
          </w:tcPr>
          <w:p w14:paraId="05C8CA8A" w14:textId="77777777" w:rsidR="00E70647" w:rsidRDefault="0088412E" w:rsidP="00A3231E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Theme="majorBidi" w:hAnsiTheme="majorBidi" w:cstheme="majorBidi"/>
              </w:rPr>
            </w:pPr>
            <w:hyperlink r:id="rId9" w:history="1">
              <w:r w:rsidR="00E70647" w:rsidRPr="00D43650">
                <w:rPr>
                  <w:rStyle w:val="af1"/>
                  <w:rFonts w:asciiTheme="majorBidi" w:hAnsiTheme="majorBidi" w:cstheme="majorBidi"/>
                </w:rPr>
                <w:t>https://etir.org</w:t>
              </w:r>
            </w:hyperlink>
          </w:p>
          <w:p w14:paraId="62D73875" w14:textId="6555F196" w:rsidR="00E70647" w:rsidRPr="009406FA" w:rsidRDefault="00E70647" w:rsidP="00A3231E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06FA">
              <w:t xml:space="preserve">Простая схема: </w:t>
            </w:r>
            <w:hyperlink r:id="rId10" w:history="1">
              <w:r w:rsidRPr="00D43650">
                <w:rPr>
                  <w:rStyle w:val="af1"/>
                  <w:rFonts w:asciiTheme="majorBidi" w:hAnsiTheme="majorBidi" w:cstheme="majorBidi"/>
                </w:rPr>
                <w:t>https://etir.org/how-does-etir-work</w:t>
              </w:r>
            </w:hyperlink>
          </w:p>
        </w:tc>
      </w:tr>
      <w:tr w:rsidR="00E70647" w:rsidRPr="00FD5800" w14:paraId="44EF6962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23B8E86" w14:textId="77777777" w:rsidR="00E70647" w:rsidRPr="009406FA" w:rsidRDefault="00E70647" w:rsidP="00A3231E">
            <w:pPr>
              <w:spacing w:before="40" w:after="120" w:line="240" w:lineRule="exact"/>
              <w:rPr>
                <w:color w:val="000000" w:themeColor="text1"/>
              </w:rPr>
            </w:pPr>
            <w:r w:rsidRPr="009406FA">
              <w:t>Дата введения инструмента в действие:</w:t>
            </w:r>
          </w:p>
        </w:tc>
        <w:tc>
          <w:tcPr>
            <w:tcW w:w="6498" w:type="dxa"/>
          </w:tcPr>
          <w:p w14:paraId="01D78AAB" w14:textId="77777777" w:rsidR="00E70647" w:rsidRPr="009406FA" w:rsidRDefault="00E70647" w:rsidP="00A3231E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06FA">
              <w:t>Фактические операции eTIR начались в декабре 2022 года между Азербайджаном и Грузией.</w:t>
            </w:r>
          </w:p>
        </w:tc>
      </w:tr>
      <w:tr w:rsidR="00E70647" w:rsidRPr="00D43650" w14:paraId="45B076D6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FAAB556" w14:textId="77777777" w:rsidR="00E70647" w:rsidRPr="009406FA" w:rsidRDefault="00E70647" w:rsidP="00A3231E">
            <w:pPr>
              <w:spacing w:before="40" w:after="120" w:line="240" w:lineRule="exact"/>
              <w:rPr>
                <w:color w:val="000000" w:themeColor="text1"/>
              </w:rPr>
            </w:pPr>
            <w:r w:rsidRPr="009406FA">
              <w:t xml:space="preserve">Разработчик инструмента: </w:t>
            </w:r>
          </w:p>
        </w:tc>
        <w:tc>
          <w:tcPr>
            <w:tcW w:w="6498" w:type="dxa"/>
          </w:tcPr>
          <w:p w14:paraId="42FB81D4" w14:textId="77777777" w:rsidR="00E70647" w:rsidRPr="009406FA" w:rsidRDefault="00E70647" w:rsidP="00A3231E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С</w:t>
            </w:r>
            <w:r w:rsidRPr="009406FA">
              <w:t xml:space="preserve">екретариат МДП </w:t>
            </w:r>
          </w:p>
        </w:tc>
      </w:tr>
      <w:tr w:rsidR="00E70647" w:rsidRPr="00FD5800" w14:paraId="2BCDC426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4" w:space="0" w:color="999999" w:themeColor="text1" w:themeTint="66"/>
            </w:tcBorders>
          </w:tcPr>
          <w:p w14:paraId="1DCBBAE6" w14:textId="63959132" w:rsidR="00E70647" w:rsidRPr="009406FA" w:rsidRDefault="00E70647" w:rsidP="00A3231E">
            <w:pPr>
              <w:spacing w:before="40" w:after="120" w:line="240" w:lineRule="exact"/>
              <w:jc w:val="center"/>
              <w:rPr>
                <w:color w:val="000000" w:themeColor="text1"/>
              </w:rPr>
            </w:pPr>
            <w:r w:rsidRPr="009406FA">
              <w:t xml:space="preserve">Связь с центральной темой семидесятой сессии ЕЭК </w:t>
            </w:r>
            <w:r w:rsidRPr="00370348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9406FA">
              <w:t xml:space="preserve">«Цифровые и “зеленыe” преобразования в интересах устойчивого развития в регионе </w:t>
            </w:r>
            <w:r w:rsidR="00A3231E">
              <w:br/>
            </w:r>
            <w:r w:rsidRPr="009406FA">
              <w:t>ЕЭК ООН».</w:t>
            </w:r>
          </w:p>
        </w:tc>
      </w:tr>
      <w:tr w:rsidR="00E70647" w:rsidRPr="00FD5800" w14:paraId="3C062BC5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0FEAC14C" w14:textId="77777777" w:rsidR="00E70647" w:rsidRPr="00C13276" w:rsidRDefault="00E70647" w:rsidP="00A3231E">
            <w:pPr>
              <w:spacing w:before="40" w:after="120" w:line="240" w:lineRule="exact"/>
              <w:jc w:val="both"/>
              <w:rPr>
                <w:b w:val="0"/>
                <w:bCs w:val="0"/>
                <w:color w:val="000000" w:themeColor="text1"/>
              </w:rPr>
            </w:pPr>
            <w:r w:rsidRPr="00C13276">
              <w:rPr>
                <w:b w:val="0"/>
                <w:bCs w:val="0"/>
              </w:rPr>
              <w:t xml:space="preserve">Международная система eTIR способствует упрощению операций по пересечению границ, устраняя использование бумаги, затраты времени и средств на границах. На практике, при полном внедрении, время ожидания и очереди на границах для грузовых автомобилей резко сократятся, при этом будут использоваться бесконтактные и безбумажные методы проверки. </w:t>
            </w:r>
          </w:p>
        </w:tc>
      </w:tr>
    </w:tbl>
    <w:p w14:paraId="53C9F005" w14:textId="47523AAE" w:rsidR="00E70647" w:rsidRPr="00D43650" w:rsidRDefault="00E70647" w:rsidP="00E70647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 xml:space="preserve">МБДМДП/ИСМДП </w:t>
      </w:r>
      <w:r w:rsidR="007F63C4">
        <w:rPr>
          <w:bCs/>
          <w:lang w:val="en-US"/>
        </w:rPr>
        <w:t>—</w:t>
      </w:r>
      <w:r>
        <w:rPr>
          <w:bCs/>
        </w:rPr>
        <w:t xml:space="preserve"> WP.30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594"/>
        <w:gridCol w:w="2952"/>
        <w:gridCol w:w="2952"/>
      </w:tblGrid>
      <w:tr w:rsidR="00E70647" w:rsidRPr="00D43650" w14:paraId="6308A985" w14:textId="77777777" w:rsidTr="002C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509C64A" w14:textId="77777777" w:rsidR="00E70647" w:rsidRPr="00AD2A47" w:rsidRDefault="00E70647" w:rsidP="00626DD4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AD2A47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E70647" w:rsidRPr="00D43650" w14:paraId="4C2EAD40" w14:textId="77777777" w:rsidTr="002C6F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E5C4CB3" w14:textId="77777777" w:rsidR="00E70647" w:rsidRPr="00AD2A47" w:rsidRDefault="00E70647" w:rsidP="00626DD4">
            <w:pPr>
              <w:spacing w:before="40" w:after="120" w:line="240" w:lineRule="exact"/>
              <w:rPr>
                <w:color w:val="000000" w:themeColor="text1"/>
              </w:rPr>
            </w:pPr>
            <w:r w:rsidRPr="00AD2A47">
              <w:t>Название инструмента:</w:t>
            </w:r>
          </w:p>
        </w:tc>
        <w:tc>
          <w:tcPr>
            <w:tcW w:w="6498" w:type="dxa"/>
            <w:gridSpan w:val="3"/>
            <w:tcBorders>
              <w:right w:val="single" w:sz="4" w:space="0" w:color="808080" w:themeColor="background1" w:themeShade="80"/>
            </w:tcBorders>
          </w:tcPr>
          <w:p w14:paraId="15F752C3" w14:textId="77777777" w:rsidR="00E70647" w:rsidRPr="00AD2A47" w:rsidRDefault="00E70647" w:rsidP="00626DD4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47">
              <w:t>Международный банк данных МДП</w:t>
            </w:r>
          </w:p>
        </w:tc>
      </w:tr>
      <w:tr w:rsidR="00E70647" w:rsidRPr="00FD5800" w14:paraId="53372AA6" w14:textId="77777777" w:rsidTr="002C6F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B942BF" w14:textId="77777777" w:rsidR="00E70647" w:rsidRPr="00AD2A47" w:rsidRDefault="00E70647" w:rsidP="00626DD4">
            <w:pPr>
              <w:spacing w:before="40" w:after="120" w:line="240" w:lineRule="exact"/>
              <w:rPr>
                <w:b w:val="0"/>
                <w:bCs w:val="0"/>
                <w:color w:val="000000" w:themeColor="text1"/>
              </w:rPr>
            </w:pPr>
            <w:r w:rsidRPr="00AD2A47">
              <w:t>Тип инструмента:</w:t>
            </w:r>
          </w:p>
        </w:tc>
        <w:tc>
          <w:tcPr>
            <w:tcW w:w="649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272B4" w14:textId="52447E77" w:rsidR="00E70647" w:rsidRPr="00AD2A47" w:rsidRDefault="00E70647" w:rsidP="00626DD4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47">
              <w:t xml:space="preserve">Банк данных/Мобильные приложения/Портал </w:t>
            </w:r>
          </w:p>
        </w:tc>
      </w:tr>
      <w:tr w:rsidR="00E70647" w:rsidRPr="00FD5800" w14:paraId="04977042" w14:textId="77777777" w:rsidTr="004434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066BF22F" w14:textId="77777777" w:rsidR="00E70647" w:rsidRPr="00AD2A47" w:rsidRDefault="00E70647" w:rsidP="00626DD4">
            <w:pPr>
              <w:spacing w:before="40" w:after="120" w:line="240" w:lineRule="exact"/>
              <w:rPr>
                <w:b w:val="0"/>
                <w:bCs w:val="0"/>
                <w:color w:val="000000" w:themeColor="text1"/>
              </w:rPr>
            </w:pPr>
            <w:r w:rsidRPr="00AD2A47">
              <w:t>Описание инструмента:</w:t>
            </w:r>
          </w:p>
          <w:p w14:paraId="76369A50" w14:textId="77777777" w:rsidR="00E70647" w:rsidRPr="00AD2A47" w:rsidRDefault="00E70647" w:rsidP="00626DD4">
            <w:pPr>
              <w:spacing w:before="1560" w:after="120" w:line="240" w:lineRule="exact"/>
              <w:rPr>
                <w:b w:val="0"/>
                <w:bCs w:val="0"/>
                <w:color w:val="000000" w:themeColor="text1"/>
              </w:rPr>
            </w:pPr>
          </w:p>
          <w:p w14:paraId="27CAD378" w14:textId="77777777" w:rsidR="00E70647" w:rsidRPr="00AD2A47" w:rsidRDefault="00E70647" w:rsidP="00626DD4">
            <w:pPr>
              <w:spacing w:before="40" w:after="120" w:line="240" w:lineRule="exact"/>
              <w:rPr>
                <w:color w:val="000000" w:themeColor="text1"/>
              </w:rPr>
            </w:pPr>
            <w:r w:rsidRPr="00AD2A47">
              <w:rPr>
                <w:noProof/>
              </w:rPr>
              <w:drawing>
                <wp:inline distT="0" distB="0" distL="0" distR="0" wp14:anchorId="53BFCE99" wp14:editId="0065A1B2">
                  <wp:extent cx="1250950" cy="12509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F655B" w14:textId="77777777" w:rsidR="00E70647" w:rsidRPr="00AD2A47" w:rsidRDefault="00E70647" w:rsidP="00626DD4">
            <w:pPr>
              <w:spacing w:before="1560" w:after="120" w:line="240" w:lineRule="exact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6498" w:type="dxa"/>
            <w:gridSpan w:val="3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6E8027D3" w14:textId="1AAF4010" w:rsidR="00E70647" w:rsidRPr="00AD2A47" w:rsidRDefault="00E70647" w:rsidP="00626DD4">
            <w:pPr>
              <w:pStyle w:val="af3"/>
              <w:suppressAutoHyphens/>
              <w:spacing w:before="40" w:after="120" w:line="240" w:lineRule="exact"/>
              <w:ind w:left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МБДМДП был создан секретариатом МДП ЕЭК в 1999</w:t>
            </w:r>
            <w:r w:rsidR="00626D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 в соответствии с Положениями о круге ведения Исполнительного совета МДП (ИСМДП), принятыми Административным комитетом МДП. МБДМДП</w:t>
            </w:r>
            <w:r w:rsidR="005708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70890" w:rsidRPr="00626D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это веб-платформа, предлагающая как защищенное веб-приложение, так и веб-услуги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служащая международным хранилищем данных МДП для таможенных органов и национальных ассоциаций автомобильного транспорта, использующих процедуру МДП. МБДМДП содержит информацию о:</w:t>
            </w:r>
          </w:p>
          <w:p w14:paraId="4584CCB4" w14:textId="77777777" w:rsidR="00E70647" w:rsidRPr="00AD2A47" w:rsidRDefault="00E70647" w:rsidP="00626DD4">
            <w:pPr>
              <w:pStyle w:val="af3"/>
              <w:suppressAutoHyphens/>
              <w:spacing w:before="40" w:after="120" w:line="240" w:lineRule="exact"/>
              <w:ind w:left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1160 пользователях веб-приложений,</w:t>
            </w:r>
          </w:p>
          <w:p w14:paraId="12ADE365" w14:textId="5D1B04FC" w:rsidR="00E70647" w:rsidRPr="00AD2A47" w:rsidRDefault="00E70647" w:rsidP="00626DD4">
            <w:pPr>
              <w:pStyle w:val="af3"/>
              <w:suppressAutoHyphens/>
              <w:spacing w:before="40" w:after="120" w:line="240" w:lineRule="exact"/>
              <w:ind w:left="567" w:hanging="5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29</w:t>
            </w:r>
            <w:r w:rsidR="00691E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528 уполномоченных держателях книжек МДП (компании-перевозчики),</w:t>
            </w:r>
          </w:p>
          <w:p w14:paraId="33F9508A" w14:textId="77777777" w:rsidR="00E70647" w:rsidRPr="00AD2A47" w:rsidRDefault="00E70647" w:rsidP="00626DD4">
            <w:pPr>
              <w:pStyle w:val="af3"/>
              <w:suppressAutoHyphens/>
              <w:spacing w:before="40" w:after="120" w:line="240" w:lineRule="exact"/>
              <w:ind w:left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272 записях о таможенных печатях и пломбах,</w:t>
            </w:r>
          </w:p>
          <w:p w14:paraId="7E939678" w14:textId="77777777" w:rsidR="00E70647" w:rsidRPr="00AD2A47" w:rsidRDefault="00E70647" w:rsidP="00626DD4">
            <w:pPr>
              <w:pStyle w:val="af3"/>
              <w:suppressAutoHyphens/>
              <w:spacing w:before="40" w:after="120" w:line="240" w:lineRule="exact"/>
              <w:ind w:left="567" w:hanging="516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2801 таможне, получившей возможность использовать процедуры МДП.</w:t>
            </w:r>
          </w:p>
          <w:p w14:paraId="7F007FB6" w14:textId="77777777" w:rsidR="00E70647" w:rsidRPr="00AD2A47" w:rsidRDefault="00E70647" w:rsidP="004434E9">
            <w:pPr>
              <w:pStyle w:val="af3"/>
              <w:pageBreakBefore/>
              <w:suppressAutoHyphens/>
              <w:spacing w:before="40" w:after="120" w:line="240" w:lineRule="exac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2022 года в МБДМДП включена функция уведомления, позволяющая незамедлительно уведомлять основные заинтересованные стороны при изменении статуса держателя книжки МДП (отзыв, прекращение 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деятельности) или в случае исключения в одной из договаривающихся сторон Конвенции МДП/стран.</w:t>
            </w:r>
          </w:p>
          <w:p w14:paraId="51306EB7" w14:textId="77777777" w:rsidR="00E70647" w:rsidRPr="00AD2A47" w:rsidRDefault="00E70647" w:rsidP="00626DD4">
            <w:pPr>
              <w:pStyle w:val="af3"/>
              <w:suppressAutoHyphens/>
              <w:spacing w:before="40" w:after="120" w:line="240" w:lineRule="exac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конце 2022 года секретариат МДП ЕЭК выпустит еще одну веб-платформу под названием eTIR Portal, предназначенную для держателей книжек МДП, чтобы дополнить МБДМДП. </w:t>
            </w:r>
          </w:p>
          <w:p w14:paraId="4A143739" w14:textId="77024E83" w:rsidR="00E70647" w:rsidRPr="00AD2A47" w:rsidRDefault="00E70647" w:rsidP="00626DD4">
            <w:pPr>
              <w:pStyle w:val="af3"/>
              <w:suppressAutoHyphens/>
              <w:spacing w:before="40" w:after="120" w:line="240" w:lineRule="exac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начале 2023 года секретариат МДП ЕЭК выпустит два мобильных приложения eTIR Customs и eTIR Holder, которые предназначены, с</w:t>
            </w:r>
            <w:r w:rsidR="00691E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одной стороны, для сотрудников таможни на границах, а с другой </w:t>
            </w:r>
            <w:r w:rsidR="00691E18" w:rsidRPr="00691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водителей грузовых автомобилей, использующих процедуру МДП. </w:t>
            </w:r>
          </w:p>
        </w:tc>
      </w:tr>
      <w:tr w:rsidR="00E70647" w:rsidRPr="00D43650" w14:paraId="5FA5568D" w14:textId="77777777" w:rsidTr="002C6F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808080" w:themeColor="background1" w:themeShade="80"/>
            </w:tcBorders>
          </w:tcPr>
          <w:p w14:paraId="40BA52B1" w14:textId="77777777" w:rsidR="00E70647" w:rsidRPr="00AD2A47" w:rsidRDefault="00E70647" w:rsidP="00626DD4">
            <w:pPr>
              <w:spacing w:before="40" w:after="120" w:line="240" w:lineRule="exact"/>
              <w:rPr>
                <w:b w:val="0"/>
                <w:bCs w:val="0"/>
                <w:color w:val="000000" w:themeColor="text1"/>
              </w:rPr>
            </w:pPr>
            <w:r w:rsidRPr="00AD2A47">
              <w:lastRenderedPageBreak/>
              <w:t xml:space="preserve">URL: </w:t>
            </w:r>
          </w:p>
        </w:tc>
        <w:tc>
          <w:tcPr>
            <w:tcW w:w="6498" w:type="dxa"/>
            <w:gridSpan w:val="3"/>
            <w:tcBorders>
              <w:top w:val="single" w:sz="4" w:space="0" w:color="808080" w:themeColor="background1" w:themeShade="80"/>
            </w:tcBorders>
          </w:tcPr>
          <w:p w14:paraId="47032B6A" w14:textId="76DECF6E" w:rsidR="00E70647" w:rsidRPr="00AD2A47" w:rsidRDefault="0088412E" w:rsidP="00626DD4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2" w:history="1">
              <w:r w:rsidR="00FF0EEF" w:rsidRPr="00FF0EEF">
                <w:rPr>
                  <w:rStyle w:val="af1"/>
                  <w:bCs/>
                  <w:lang w:val="en-GB"/>
                </w:rPr>
                <w:t>https://itdb.unece.org</w:t>
              </w:r>
            </w:hyperlink>
          </w:p>
        </w:tc>
      </w:tr>
      <w:tr w:rsidR="00E70647" w:rsidRPr="00D43650" w14:paraId="070C7F5D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4F63F47" w14:textId="77777777" w:rsidR="00E70647" w:rsidRPr="00AD2A47" w:rsidRDefault="00E70647" w:rsidP="00626DD4">
            <w:pPr>
              <w:spacing w:before="40" w:after="120" w:line="240" w:lineRule="exact"/>
              <w:rPr>
                <w:color w:val="000000" w:themeColor="text1"/>
              </w:rPr>
            </w:pPr>
            <w:r w:rsidRPr="00AD2A47">
              <w:t>Дата введения инструмента в действие:</w:t>
            </w:r>
          </w:p>
        </w:tc>
        <w:tc>
          <w:tcPr>
            <w:tcW w:w="6498" w:type="dxa"/>
            <w:gridSpan w:val="3"/>
          </w:tcPr>
          <w:p w14:paraId="55E681C0" w14:textId="77777777" w:rsidR="00E70647" w:rsidRPr="00AD2A47" w:rsidRDefault="00E70647" w:rsidP="00626DD4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47">
              <w:t>1999 год</w:t>
            </w:r>
          </w:p>
        </w:tc>
      </w:tr>
      <w:tr w:rsidR="00E70647" w:rsidRPr="00D43650" w14:paraId="793E3A0C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57ED9BF" w14:textId="77777777" w:rsidR="00E70647" w:rsidRPr="00AD2A47" w:rsidRDefault="00E70647" w:rsidP="00626DD4">
            <w:pPr>
              <w:spacing w:before="40" w:after="120" w:line="240" w:lineRule="exact"/>
              <w:rPr>
                <w:color w:val="000000" w:themeColor="text1"/>
              </w:rPr>
            </w:pPr>
            <w:r w:rsidRPr="00AD2A47">
              <w:t xml:space="preserve">Разработчик инструмента: </w:t>
            </w:r>
          </w:p>
        </w:tc>
        <w:tc>
          <w:tcPr>
            <w:tcW w:w="6498" w:type="dxa"/>
            <w:gridSpan w:val="3"/>
          </w:tcPr>
          <w:p w14:paraId="6E742862" w14:textId="77777777" w:rsidR="00E70647" w:rsidRPr="00AD2A47" w:rsidRDefault="00E70647" w:rsidP="00626DD4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С</w:t>
            </w:r>
            <w:r w:rsidRPr="00AD2A47">
              <w:t xml:space="preserve">екретариат МДП </w:t>
            </w:r>
          </w:p>
        </w:tc>
      </w:tr>
      <w:tr w:rsidR="00E70647" w:rsidRPr="00D43650" w14:paraId="0EDDE57C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gridSpan w:val="2"/>
          </w:tcPr>
          <w:p w14:paraId="6345E7B3" w14:textId="77777777" w:rsidR="00E70647" w:rsidRPr="00AD2A47" w:rsidRDefault="00E70647" w:rsidP="00626DD4">
            <w:pPr>
              <w:jc w:val="center"/>
            </w:pPr>
            <w:r w:rsidRPr="00AD2A47">
              <w:rPr>
                <w:noProof/>
              </w:rPr>
              <w:drawing>
                <wp:inline distT="0" distB="0" distL="0" distR="0" wp14:anchorId="55F8E289" wp14:editId="48177671">
                  <wp:extent cx="914400" cy="914400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6BC49" w14:textId="77777777" w:rsidR="00E70647" w:rsidRPr="00AD2A47" w:rsidRDefault="00E70647" w:rsidP="00626DD4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52" w:type="dxa"/>
          </w:tcPr>
          <w:p w14:paraId="4801F278" w14:textId="77777777" w:rsidR="00E70647" w:rsidRPr="00AD2A47" w:rsidRDefault="00E70647" w:rsidP="0062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D2A47">
              <w:rPr>
                <w:noProof/>
              </w:rPr>
              <w:drawing>
                <wp:inline distT="0" distB="0" distL="0" distR="0" wp14:anchorId="472798A7" wp14:editId="55182312">
                  <wp:extent cx="914400" cy="91440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0DBFB70B" w14:textId="77777777" w:rsidR="00E70647" w:rsidRPr="00AD2A47" w:rsidRDefault="00E70647" w:rsidP="0062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47">
              <w:rPr>
                <w:noProof/>
              </w:rPr>
              <w:drawing>
                <wp:inline distT="0" distB="0" distL="0" distR="0" wp14:anchorId="1A0652AB" wp14:editId="7F9E1786">
                  <wp:extent cx="1371600" cy="25846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80" cy="259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647" w:rsidRPr="00FD5800" w14:paraId="73949A0E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tcBorders>
              <w:bottom w:val="single" w:sz="4" w:space="0" w:color="999999" w:themeColor="text1" w:themeTint="66"/>
            </w:tcBorders>
          </w:tcPr>
          <w:p w14:paraId="71B97A45" w14:textId="5E526615" w:rsidR="00E70647" w:rsidRPr="00AD2A47" w:rsidRDefault="00E70647" w:rsidP="00626DD4">
            <w:pPr>
              <w:spacing w:before="40" w:after="120"/>
              <w:jc w:val="center"/>
              <w:rPr>
                <w:color w:val="000000" w:themeColor="text1"/>
              </w:rPr>
            </w:pPr>
            <w:r w:rsidRPr="00AD2A47">
              <w:t xml:space="preserve">Связь с центральной темой семидесятой сессии ЕЭК </w:t>
            </w:r>
            <w:r w:rsidRPr="00693AD6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AD2A47">
              <w:t xml:space="preserve">«Цифровые и “зеленыe” преобразования в интересах устойчивого развития в регионе </w:t>
            </w:r>
            <w:r w:rsidR="00271568">
              <w:br/>
            </w:r>
            <w:r w:rsidRPr="00AD2A47">
              <w:t>ЕЭК ООН».</w:t>
            </w:r>
          </w:p>
        </w:tc>
      </w:tr>
      <w:tr w:rsidR="00E70647" w:rsidRPr="00FD5800" w14:paraId="082A6D53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tcBorders>
              <w:bottom w:val="single" w:sz="12" w:space="0" w:color="auto"/>
            </w:tcBorders>
          </w:tcPr>
          <w:p w14:paraId="26E707FE" w14:textId="77777777" w:rsidR="00E70647" w:rsidRPr="00944D16" w:rsidRDefault="00E70647" w:rsidP="00626DD4">
            <w:pPr>
              <w:spacing w:before="40" w:after="120"/>
              <w:jc w:val="both"/>
              <w:rPr>
                <w:b w:val="0"/>
                <w:bCs w:val="0"/>
                <w:color w:val="000000" w:themeColor="text1"/>
              </w:rPr>
            </w:pPr>
            <w:r w:rsidRPr="00944D16">
              <w:rPr>
                <w:b w:val="0"/>
                <w:bCs w:val="0"/>
              </w:rPr>
              <w:t>МБДМДП представляет собой механизм аутентификации пользователей системы МДП. Весь процесс происходит в электронном виде. Национальные объединения подают заявку нового перевозчика в режиме онлайн со всей соответствующей информацией, а таможня утверждает нового пользователя в режиме онлайн. Приложение устранило необходимость в поездках и бумажных документах, используемых для такой аутентификации. Оно также содействует работе системы eTIR, способствуя сокращению времени ожидания и очередей на границах для грузовых автомобилей.</w:t>
            </w:r>
          </w:p>
        </w:tc>
      </w:tr>
    </w:tbl>
    <w:p w14:paraId="5EB0B8A8" w14:textId="1DDBFA92" w:rsidR="00E70647" w:rsidRPr="00D43650" w:rsidRDefault="00E70647" w:rsidP="00E70647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 xml:space="preserve">eCPD </w:t>
      </w:r>
      <w:r w:rsidR="00780527">
        <w:rPr>
          <w:bCs/>
          <w:lang w:val="en-US"/>
        </w:rPr>
        <w:t>—</w:t>
      </w:r>
      <w:r>
        <w:rPr>
          <w:bCs/>
        </w:rPr>
        <w:t xml:space="preserve"> WP.30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E70647" w:rsidRPr="00D43650" w14:paraId="36669814" w14:textId="77777777" w:rsidTr="00FF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3CA8E504" w14:textId="77777777" w:rsidR="00E70647" w:rsidRPr="000120F7" w:rsidRDefault="00E70647" w:rsidP="00780527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0120F7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E70647" w:rsidRPr="00FD5800" w14:paraId="6AC2F803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8E51800" w14:textId="77777777" w:rsidR="00E70647" w:rsidRPr="00D43650" w:rsidRDefault="00E70647" w:rsidP="00780527">
            <w:pPr>
              <w:spacing w:before="40" w:after="120"/>
              <w:rPr>
                <w:rFonts w:asciiTheme="majorBidi" w:hAnsiTheme="majorBidi" w:cstheme="majorBidi"/>
                <w:color w:val="000000" w:themeColor="text1"/>
              </w:rPr>
            </w:pPr>
            <w:r>
              <w:t>Название инструмента:</w:t>
            </w:r>
          </w:p>
        </w:tc>
        <w:tc>
          <w:tcPr>
            <w:tcW w:w="6498" w:type="dxa"/>
          </w:tcPr>
          <w:p w14:paraId="27D67E96" w14:textId="77777777" w:rsidR="00E70647" w:rsidRPr="00121CB3" w:rsidRDefault="00E70647" w:rsidP="00780527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>Цифровизация таможенной талонной книжки (eCPD)</w:t>
            </w:r>
          </w:p>
        </w:tc>
      </w:tr>
      <w:tr w:rsidR="00E70647" w:rsidRPr="00D43650" w14:paraId="2216AA65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4B17BC8" w14:textId="77777777" w:rsidR="00E70647" w:rsidRPr="00377155" w:rsidRDefault="00E70647" w:rsidP="00780527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377155">
              <w:t>Тип инструмента:</w:t>
            </w:r>
          </w:p>
        </w:tc>
        <w:tc>
          <w:tcPr>
            <w:tcW w:w="6498" w:type="dxa"/>
          </w:tcPr>
          <w:p w14:paraId="37E688B0" w14:textId="74FE85EA" w:rsidR="00E70647" w:rsidRPr="00377155" w:rsidRDefault="00E70647" w:rsidP="00780527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7155">
              <w:t xml:space="preserve">Онлайн-платформа </w:t>
            </w:r>
            <w:r w:rsidR="00780527">
              <w:rPr>
                <w:lang w:val="en-US"/>
              </w:rPr>
              <w:t>—</w:t>
            </w:r>
            <w:r w:rsidRPr="00377155">
              <w:t xml:space="preserve"> приложение </w:t>
            </w:r>
          </w:p>
        </w:tc>
      </w:tr>
      <w:tr w:rsidR="00E70647" w:rsidRPr="00FD5800" w14:paraId="1F8EDA18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A93B217" w14:textId="77777777" w:rsidR="00E70647" w:rsidRPr="00377155" w:rsidRDefault="00E70647" w:rsidP="00780527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377155">
              <w:lastRenderedPageBreak/>
              <w:t>Описание инструмента:</w:t>
            </w:r>
          </w:p>
          <w:p w14:paraId="6F240E8B" w14:textId="77777777" w:rsidR="00E70647" w:rsidRPr="00377155" w:rsidRDefault="00E70647" w:rsidP="00780527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377155">
              <w:rPr>
                <w:noProof/>
                <w:color w:val="000000" w:themeColor="text1"/>
              </w:rPr>
              <w:drawing>
                <wp:inline distT="0" distB="0" distL="0" distR="0" wp14:anchorId="6EF972BA" wp14:editId="72B33DEE">
                  <wp:extent cx="1333500" cy="1333500"/>
                  <wp:effectExtent l="0" t="0" r="0" b="0"/>
                  <wp:docPr id="46" name="Picture 45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AF4A4A-07D5-4169-ADAE-57A1C71340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EAF4A4A-07D5-4169-ADAE-57A1C71340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4" cy="133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554EE3CE" w14:textId="2D09E9F1" w:rsidR="00E70647" w:rsidRPr="00377155" w:rsidRDefault="00E70647" w:rsidP="00780527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«Carnet de Passages en Do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uane»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(таможенн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талонн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книжк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</w:t>
            </w:r>
            <w:r w:rsidR="007805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80527" w:rsidRPr="007805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система «CPD» </w:t>
            </w:r>
            <w:r w:rsidR="008C5605" w:rsidRPr="008C56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облегчает временный ввоз ч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астных и коммерческих транспортных средств.</w:t>
            </w:r>
          </w:p>
          <w:p w14:paraId="4E8632AC" w14:textId="411DEAE3" w:rsidR="00E70647" w:rsidRPr="00377155" w:rsidRDefault="00E70647" w:rsidP="00780527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CPD основана на двух международных конвенциях (Таможенная конвенция о временном ввозе частных дорожных перевозочных средств 1954 года и Таможенная конвенция о временном ввозе коммерческих дорожных перевозочных средств 1956 года). В этих конвенциях, находящихся в ведении ЕЭК, участвуют в общей сложности 96</w:t>
            </w:r>
            <w:r w:rsidR="008C56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договаривающихся сторон, а внедрение и управление системой осуществляется Международной автомобильной федерацией (ФИА) от имени сети CPD МТА/ФИА и ее аффилированных членов.</w:t>
            </w:r>
          </w:p>
          <w:p w14:paraId="0D52CC5A" w14:textId="77777777" w:rsidR="00E70647" w:rsidRPr="00377155" w:rsidRDefault="00E70647" w:rsidP="00780527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октября 2021 года ФИА и ECE подписали меморандум о взаимопонимании (МОВ), чтобы официально оформить свое сотрудничество в работе по цифровизации системы распределения CPD.</w:t>
            </w:r>
          </w:p>
          <w:p w14:paraId="3C764055" w14:textId="77777777" w:rsidR="00E70647" w:rsidRPr="00377155" w:rsidRDefault="00E70647" w:rsidP="00780527">
            <w:pPr>
              <w:pStyle w:val="af3"/>
              <w:suppressAutoHyphens/>
              <w:spacing w:before="40" w:after="120"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по цифровизации CPD продолжается, и два секретариата совместно работают над определением высокоуровневой архитектуры будущей системы eCMR, включая концептуальные спецификации.</w:t>
            </w:r>
          </w:p>
        </w:tc>
      </w:tr>
      <w:tr w:rsidR="00E70647" w:rsidRPr="00D43650" w14:paraId="39C94652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517CB2" w14:textId="77777777" w:rsidR="00E70647" w:rsidRPr="00377155" w:rsidRDefault="00E70647" w:rsidP="00780527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377155">
              <w:t xml:space="preserve">URL: </w:t>
            </w:r>
          </w:p>
        </w:tc>
        <w:tc>
          <w:tcPr>
            <w:tcW w:w="6498" w:type="dxa"/>
          </w:tcPr>
          <w:p w14:paraId="3F29986C" w14:textId="41C00906" w:rsidR="00E70647" w:rsidRPr="00377155" w:rsidRDefault="0088412E" w:rsidP="00780527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0" w:history="1">
              <w:hyperlink r:id="rId21" w:history="1">
                <w:r w:rsidR="0088714F" w:rsidRPr="00D43650">
                  <w:rPr>
                    <w:rStyle w:val="af1"/>
                    <w:rFonts w:asciiTheme="majorBidi" w:hAnsiTheme="majorBidi" w:cstheme="majorBidi"/>
                  </w:rPr>
                  <w:t>https://carnetdepassage.org/</w:t>
                </w:r>
              </w:hyperlink>
              <w:r w:rsidR="00E70647" w:rsidRPr="00377155">
                <w:t xml:space="preserve"> </w:t>
              </w:r>
            </w:hyperlink>
          </w:p>
        </w:tc>
      </w:tr>
      <w:tr w:rsidR="00E70647" w:rsidRPr="00D43650" w14:paraId="1F79473E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99B7E85" w14:textId="77777777" w:rsidR="00E70647" w:rsidRPr="00377155" w:rsidRDefault="00E70647" w:rsidP="00780527">
            <w:pPr>
              <w:spacing w:before="40" w:after="120"/>
              <w:rPr>
                <w:color w:val="000000" w:themeColor="text1"/>
              </w:rPr>
            </w:pPr>
            <w:r w:rsidRPr="00377155">
              <w:t>Дата введения инструмента в действие:</w:t>
            </w:r>
          </w:p>
        </w:tc>
        <w:tc>
          <w:tcPr>
            <w:tcW w:w="6498" w:type="dxa"/>
          </w:tcPr>
          <w:p w14:paraId="5D51A023" w14:textId="77777777" w:rsidR="00E70647" w:rsidRPr="00377155" w:rsidRDefault="00E70647" w:rsidP="00780527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7155">
              <w:t>2024 год</w:t>
            </w:r>
          </w:p>
        </w:tc>
      </w:tr>
      <w:tr w:rsidR="00E70647" w:rsidRPr="00D43650" w14:paraId="7331AE1D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AAED7EA" w14:textId="77777777" w:rsidR="00E70647" w:rsidRPr="00377155" w:rsidRDefault="00E70647" w:rsidP="00780527">
            <w:pPr>
              <w:spacing w:before="40" w:after="120"/>
              <w:rPr>
                <w:color w:val="000000" w:themeColor="text1"/>
              </w:rPr>
            </w:pPr>
            <w:r w:rsidRPr="00377155">
              <w:t xml:space="preserve">Разработчики инструмента: </w:t>
            </w:r>
          </w:p>
        </w:tc>
        <w:tc>
          <w:tcPr>
            <w:tcW w:w="6498" w:type="dxa"/>
          </w:tcPr>
          <w:p w14:paraId="709DDCEF" w14:textId="42FA88AD" w:rsidR="00E70647" w:rsidRPr="00377155" w:rsidRDefault="00E70647" w:rsidP="00780527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7155">
              <w:t xml:space="preserve">ФИА </w:t>
            </w:r>
            <w:r w:rsidR="0022229F">
              <w:rPr>
                <w:lang w:val="en-US"/>
              </w:rPr>
              <w:t>—</w:t>
            </w:r>
            <w:r w:rsidRPr="00377155">
              <w:t xml:space="preserve"> Отдел устойчивого транспорта </w:t>
            </w:r>
          </w:p>
        </w:tc>
      </w:tr>
      <w:tr w:rsidR="00E70647" w:rsidRPr="00FD5800" w14:paraId="72ECD233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4" w:space="0" w:color="999999" w:themeColor="text1" w:themeTint="66"/>
            </w:tcBorders>
          </w:tcPr>
          <w:p w14:paraId="53F180F3" w14:textId="5D89038D" w:rsidR="00E70647" w:rsidRPr="00377155" w:rsidRDefault="00E70647" w:rsidP="00780527">
            <w:pPr>
              <w:keepNext/>
              <w:keepLines/>
              <w:spacing w:before="40" w:after="120"/>
              <w:jc w:val="center"/>
              <w:rPr>
                <w:color w:val="000000" w:themeColor="text1"/>
              </w:rPr>
            </w:pPr>
            <w:r w:rsidRPr="00377155">
              <w:t xml:space="preserve">Связь с центральной темой семидесятой сессии ЕЭК </w:t>
            </w:r>
            <w:r w:rsidRPr="00693AD6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377155">
              <w:t xml:space="preserve">«Цифровые и “зеленыe” преобразования в интересах устойчивого развития в регионе </w:t>
            </w:r>
            <w:r w:rsidR="004455A5">
              <w:br/>
            </w:r>
            <w:r w:rsidRPr="00377155">
              <w:t>ЕЭК ООН».</w:t>
            </w:r>
          </w:p>
        </w:tc>
      </w:tr>
      <w:tr w:rsidR="00E70647" w:rsidRPr="00FD5800" w14:paraId="429C7206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0248EC43" w14:textId="77777777" w:rsidR="00E70647" w:rsidRPr="00D64CEC" w:rsidRDefault="00E70647" w:rsidP="00780527">
            <w:pPr>
              <w:keepNext/>
              <w:keepLines/>
              <w:spacing w:before="40" w:after="120"/>
              <w:jc w:val="both"/>
              <w:rPr>
                <w:b w:val="0"/>
                <w:bCs w:val="0"/>
                <w:color w:val="000000" w:themeColor="text1"/>
              </w:rPr>
            </w:pPr>
            <w:r w:rsidRPr="00D64CEC">
              <w:rPr>
                <w:b w:val="0"/>
                <w:bCs w:val="0"/>
              </w:rPr>
              <w:t xml:space="preserve">Ожидается, что цифровизация системы распределения CPD ускорит пересечение границ для миллионов водителей транспортных средств по всему миру, значительно снизив административную нагрузку на них. Кроме того, обмен таможенной информацией в защищенной среде позволит предотвратить неправильное представление таможенных деклараций. Приложение позволит сократить время ожидания и очереди частных и коммерческих транспортных средств на границах. </w:t>
            </w:r>
          </w:p>
        </w:tc>
      </w:tr>
    </w:tbl>
    <w:p w14:paraId="06CF260E" w14:textId="6C926F0D" w:rsidR="00E70647" w:rsidRPr="00121CB3" w:rsidRDefault="00E70647" w:rsidP="00E70647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 xml:space="preserve">Международный центр мониторинга транспортной инфраструктуры </w:t>
      </w:r>
      <w:r w:rsidR="00983E6D" w:rsidRPr="00983E6D">
        <w:rPr>
          <w:bCs/>
        </w:rPr>
        <w:t>—</w:t>
      </w:r>
      <w:r>
        <w:rPr>
          <w:bCs/>
        </w:rPr>
        <w:t xml:space="preserve"> WP.5</w:t>
      </w:r>
      <w:r>
        <w:t xml:space="preserve"> 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E70647" w:rsidRPr="00D43650" w14:paraId="421BC7E4" w14:textId="77777777" w:rsidTr="00FF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53F39158" w14:textId="77777777" w:rsidR="00E70647" w:rsidRPr="00D0105C" w:rsidRDefault="00E70647" w:rsidP="00983E6D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D0105C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E70647" w:rsidRPr="00FD5800" w14:paraId="181DF3E0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ED05763" w14:textId="77777777" w:rsidR="00E70647" w:rsidRPr="00D0105C" w:rsidRDefault="00E70647" w:rsidP="00983E6D">
            <w:pPr>
              <w:spacing w:before="40" w:after="120"/>
              <w:rPr>
                <w:color w:val="000000" w:themeColor="text1"/>
              </w:rPr>
            </w:pPr>
            <w:r w:rsidRPr="00D0105C">
              <w:t>Название инструмента:</w:t>
            </w:r>
          </w:p>
        </w:tc>
        <w:tc>
          <w:tcPr>
            <w:tcW w:w="6498" w:type="dxa"/>
          </w:tcPr>
          <w:p w14:paraId="59B53779" w14:textId="77777777" w:rsidR="00E70647" w:rsidRPr="00D0105C" w:rsidRDefault="00E70647" w:rsidP="00983E6D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rPr>
                <w:b/>
                <w:bCs/>
              </w:rPr>
              <w:t>Международный центр мониторинга транспортной инфраструктуры (МЦМТИ)</w:t>
            </w:r>
          </w:p>
        </w:tc>
      </w:tr>
      <w:tr w:rsidR="00E70647" w:rsidRPr="00D43650" w14:paraId="311635AE" w14:textId="77777777" w:rsidTr="008D49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808080" w:themeColor="background1" w:themeShade="80"/>
            </w:tcBorders>
          </w:tcPr>
          <w:p w14:paraId="5021A6D3" w14:textId="77777777" w:rsidR="00E70647" w:rsidRPr="00D0105C" w:rsidRDefault="00E70647" w:rsidP="00983E6D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>Тип инструмента:</w:t>
            </w:r>
          </w:p>
        </w:tc>
        <w:tc>
          <w:tcPr>
            <w:tcW w:w="6498" w:type="dxa"/>
            <w:tcBorders>
              <w:bottom w:val="single" w:sz="4" w:space="0" w:color="808080" w:themeColor="background1" w:themeShade="80"/>
            </w:tcBorders>
          </w:tcPr>
          <w:p w14:paraId="3609CD50" w14:textId="77777777" w:rsidR="00E70647" w:rsidRPr="00D0105C" w:rsidRDefault="00E70647" w:rsidP="00983E6D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Географическая информационная система (ГИС)</w:t>
            </w:r>
          </w:p>
        </w:tc>
      </w:tr>
      <w:tr w:rsidR="008D4974" w:rsidRPr="00FD5800" w14:paraId="276E297E" w14:textId="77777777" w:rsidTr="008D49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808080" w:themeColor="background1" w:themeShade="80"/>
              <w:bottom w:val="nil"/>
            </w:tcBorders>
          </w:tcPr>
          <w:p w14:paraId="68DB7CC2" w14:textId="77777777" w:rsidR="008D4974" w:rsidRPr="00D0105C" w:rsidRDefault="008D4974" w:rsidP="008D497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>Описание инструмента:</w:t>
            </w:r>
          </w:p>
          <w:p w14:paraId="4817743C" w14:textId="77777777" w:rsidR="008D4974" w:rsidRPr="00D0105C" w:rsidRDefault="008D4974" w:rsidP="00983E6D">
            <w:pPr>
              <w:spacing w:before="40" w:after="120"/>
            </w:pPr>
          </w:p>
        </w:tc>
        <w:tc>
          <w:tcPr>
            <w:tcW w:w="6498" w:type="dxa"/>
            <w:tcBorders>
              <w:top w:val="single" w:sz="4" w:space="0" w:color="808080" w:themeColor="background1" w:themeShade="80"/>
              <w:bottom w:val="nil"/>
            </w:tcBorders>
          </w:tcPr>
          <w:p w14:paraId="46D2FE2F" w14:textId="474DFB50" w:rsidR="008D4974" w:rsidRPr="00D0105C" w:rsidRDefault="008D4974" w:rsidP="008D4974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центр мониторинга транспортной инфраструктуры является инициативой Отдела устойчивого транспорта ЕЭК и Исламского банка развития. Центр мониторинга </w:t>
            </w:r>
            <w:r w:rsidRPr="00983E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это многосторонняя веб-платформа ГИС, на которой размещены данные о большом количестве сетей и узлов различных видов транспортной инфраструктуры, включая автомобильный и железнодорожный транспорт, внутренние водные пути, порты, аэропорты, интермодальные терминалы, логистические центры и пункты пересечения границ.</w:t>
            </w:r>
          </w:p>
        </w:tc>
      </w:tr>
      <w:tr w:rsidR="008D4974" w:rsidRPr="00FD5800" w14:paraId="4AEEC840" w14:textId="77777777" w:rsidTr="008D49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F61E54C" w14:textId="77777777" w:rsidR="008D4974" w:rsidRPr="00D0105C" w:rsidRDefault="008D4974" w:rsidP="008D4974">
            <w:pPr>
              <w:spacing w:before="40" w:after="120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9A64697" w14:textId="77777777" w:rsidR="008D4974" w:rsidRPr="00D0105C" w:rsidRDefault="008D4974" w:rsidP="008D4974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70647" w:rsidRPr="00FD5800" w14:paraId="2696A56F" w14:textId="77777777" w:rsidTr="008D49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</w:tcBorders>
          </w:tcPr>
          <w:p w14:paraId="356B0E84" w14:textId="77777777" w:rsidR="00E70647" w:rsidRPr="00D0105C" w:rsidRDefault="00E70647" w:rsidP="00983E6D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615BD71C" wp14:editId="1B582C8F">
                  <wp:extent cx="1327150" cy="1327150"/>
                  <wp:effectExtent l="0" t="0" r="6350" b="6350"/>
                  <wp:docPr id="44" name="Picture 43" descr="Scatter chart, 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727D8-5B67-4761-B82F-F7895F933C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Scatter chart, 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C9727D8-5B67-4761-B82F-F7895F933C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28" cy="132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>
              <w:top w:val="nil"/>
            </w:tcBorders>
          </w:tcPr>
          <w:p w14:paraId="362B0824" w14:textId="77777777" w:rsidR="00E70647" w:rsidRPr="00D0105C" w:rsidRDefault="00E70647" w:rsidP="00983E6D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вида услуг:</w:t>
            </w:r>
          </w:p>
          <w:p w14:paraId="2BE4189B" w14:textId="77777777" w:rsidR="00E70647" w:rsidRPr="00D0105C" w:rsidRDefault="00E70647" w:rsidP="00983E6D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a) 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электронное хранилище конвенций ЕЭК по внутреннему транспорту, результатов проектов и результатов деятельности назначенных групп экспертов:</w:t>
            </w:r>
          </w:p>
          <w:p w14:paraId="6890CFBE" w14:textId="77777777" w:rsidR="00E70647" w:rsidRPr="00D0105C" w:rsidRDefault="00E70647" w:rsidP="00983E6D">
            <w:pPr>
              <w:pStyle w:val="af3"/>
              <w:suppressAutoHyphens/>
              <w:spacing w:before="40" w:after="120" w:line="240" w:lineRule="atLeast"/>
              <w:ind w:left="51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i) 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в частности, Центр мониторинга предоставляет электронную платформу, которая станет катализатором текущего процесса цифровизации различных соглашений и конвенций Организации Объединенных Наций по внутреннему транспорту, особенно тех, которые касаются инфраструктуры (СМA, СМЖЛ, СЛКП и СМВП), а также таких инструментов по упрощению процедур пересечения границ, как МДП/eTIR (расположение таможенных систем); </w:t>
            </w:r>
          </w:p>
          <w:p w14:paraId="167E9946" w14:textId="77777777" w:rsidR="00E70647" w:rsidRPr="00D0105C" w:rsidRDefault="00E70647" w:rsidP="00983E6D">
            <w:pPr>
              <w:pStyle w:val="af3"/>
              <w:suppressAutoHyphens/>
              <w:spacing w:before="40" w:after="120" w:line="240" w:lineRule="atLeast"/>
              <w:ind w:left="51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ii) 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кроме того, он обеспечивает цифровую среду, которая помогает отображать конкретные результаты и мероприятия, такие как работа, проделанная в рамках проектов Трансъевропейской автомагистрали (ТЕА), Трансъевропейской железнодорожной магистрали (ТЕЖ) и евро-азиатских транспортных связей (ЕАТС), а также материальные результаты, полученные Группой экспертов по оценке последствий изменения климата для внутреннего транспорта и адаптации к ним (GE.3) и Группой экспертов по сопоставительному анализу затрат на строительство транспортной инфраструктуры (GE.4);</w:t>
            </w:r>
          </w:p>
          <w:p w14:paraId="11CABF77" w14:textId="77777777" w:rsidR="00E70647" w:rsidRPr="00D0105C" w:rsidRDefault="00E70647" w:rsidP="00983E6D">
            <w:pPr>
              <w:pStyle w:val="af3"/>
              <w:suppressAutoHyphens/>
              <w:spacing w:before="40" w:after="120" w:line="240" w:lineRule="atLeast"/>
              <w:ind w:left="0" w:hanging="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b) 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содействие устойчивой региональной и межрегиональной связанности: Центр мониторинга предоставляет всем региональным и межрегиональным организациям возможность создавать свои собственные карты, иллюстрирующие их инициативы, коридоры, проекты, отчеты и исследования в области транспортной инфраструктуры, а также все, что они считают полезным для целей дальнейшего улучшения региональной связанности; </w:t>
            </w:r>
          </w:p>
          <w:p w14:paraId="2A1FF214" w14:textId="643DC2DD" w:rsidR="00E70647" w:rsidRPr="00D0105C" w:rsidRDefault="00E70647" w:rsidP="00983E6D">
            <w:pPr>
              <w:pStyle w:val="af3"/>
              <w:suppressAutoHyphens/>
              <w:spacing w:before="40" w:after="120" w:line="240" w:lineRule="atLeast"/>
              <w:ind w:left="0" w:hanging="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c)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финансирование транспортной инфраструктуры: Центр мониторинга выполняет функции рынка для финансирования транспортной инфраструктуры, обеспечивая электронный интерфейс между многосторонними банками развития (МБР) и правительствами. Правительства могут загружать свои проекты в области транспортной инфраструктуры, нуждающиеся в финансировании, а также выбирать, к</w:t>
            </w:r>
            <w:r w:rsidR="002630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какими МБР они хотят обратиться. </w:t>
            </w:r>
          </w:p>
        </w:tc>
      </w:tr>
      <w:tr w:rsidR="00E70647" w:rsidRPr="00D43650" w14:paraId="58C112E8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C5567B1" w14:textId="77777777" w:rsidR="00E70647" w:rsidRPr="00D0105C" w:rsidRDefault="00E70647" w:rsidP="00983E6D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 xml:space="preserve">URL: </w:t>
            </w:r>
          </w:p>
        </w:tc>
        <w:tc>
          <w:tcPr>
            <w:tcW w:w="6498" w:type="dxa"/>
          </w:tcPr>
          <w:p w14:paraId="7377DF5E" w14:textId="7E681A10" w:rsidR="00E70647" w:rsidRPr="00D0105C" w:rsidRDefault="0088412E" w:rsidP="00983E6D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3" w:history="1">
              <w:r w:rsidR="0088714F" w:rsidRPr="00D43650">
                <w:rPr>
                  <w:rStyle w:val="af1"/>
                  <w:rFonts w:asciiTheme="majorBidi" w:hAnsiTheme="majorBidi" w:cstheme="majorBidi"/>
                </w:rPr>
                <w:t>itio-gis.org</w:t>
              </w:r>
            </w:hyperlink>
          </w:p>
        </w:tc>
      </w:tr>
      <w:tr w:rsidR="00E70647" w:rsidRPr="00D43650" w14:paraId="5D9282D0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1FF2E91" w14:textId="77777777" w:rsidR="00E70647" w:rsidRPr="00D0105C" w:rsidRDefault="00E70647" w:rsidP="00983E6D">
            <w:pPr>
              <w:spacing w:before="40" w:after="120"/>
              <w:rPr>
                <w:color w:val="000000" w:themeColor="text1"/>
              </w:rPr>
            </w:pPr>
            <w:r w:rsidRPr="00D0105C">
              <w:t>Дата введения инструмента в действие:</w:t>
            </w:r>
          </w:p>
        </w:tc>
        <w:tc>
          <w:tcPr>
            <w:tcW w:w="6498" w:type="dxa"/>
          </w:tcPr>
          <w:p w14:paraId="35AA33D0" w14:textId="77777777" w:rsidR="00E70647" w:rsidRPr="00D0105C" w:rsidRDefault="00E70647" w:rsidP="00983E6D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2022 год</w:t>
            </w:r>
          </w:p>
        </w:tc>
      </w:tr>
      <w:tr w:rsidR="00E70647" w:rsidRPr="00FD5800" w14:paraId="4CE85417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8B144A5" w14:textId="77777777" w:rsidR="00E70647" w:rsidRPr="00D0105C" w:rsidRDefault="00E70647" w:rsidP="00983E6D">
            <w:pPr>
              <w:spacing w:before="40" w:after="120"/>
              <w:rPr>
                <w:color w:val="000000" w:themeColor="text1"/>
              </w:rPr>
            </w:pPr>
            <w:r w:rsidRPr="00D0105C">
              <w:t xml:space="preserve">Разработчики инструмента: </w:t>
            </w:r>
          </w:p>
        </w:tc>
        <w:tc>
          <w:tcPr>
            <w:tcW w:w="6498" w:type="dxa"/>
          </w:tcPr>
          <w:p w14:paraId="23A35B0A" w14:textId="7D1B0435" w:rsidR="00E70647" w:rsidRPr="00D0105C" w:rsidRDefault="00E70647" w:rsidP="00983E6D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 xml:space="preserve">Отдел устойчивого транспорта/внешние консультанты </w:t>
            </w:r>
          </w:p>
        </w:tc>
      </w:tr>
      <w:tr w:rsidR="00E70647" w:rsidRPr="00FD5800" w14:paraId="71E6669D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4" w:space="0" w:color="999999" w:themeColor="text1" w:themeTint="66"/>
            </w:tcBorders>
          </w:tcPr>
          <w:p w14:paraId="07EEDECF" w14:textId="1C29FCD3" w:rsidR="00E70647" w:rsidRPr="00D0105C" w:rsidRDefault="00E70647" w:rsidP="00983E6D">
            <w:pPr>
              <w:spacing w:before="40" w:after="120"/>
              <w:jc w:val="center"/>
              <w:rPr>
                <w:color w:val="000000" w:themeColor="text1"/>
              </w:rPr>
            </w:pPr>
            <w:r w:rsidRPr="00D0105C">
              <w:t xml:space="preserve">Связь с центральной темой семидесятой сессии ЕЭК </w:t>
            </w:r>
            <w:r w:rsidRPr="00693AD6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D0105C">
              <w:t xml:space="preserve">«Цифровые и “зеленыe” преобразования в интересах устойчивого развития в регионе </w:t>
            </w:r>
            <w:r w:rsidR="008D7DEC">
              <w:br/>
            </w:r>
            <w:r w:rsidRPr="00D0105C">
              <w:t>ЕЭК ООН».</w:t>
            </w:r>
          </w:p>
        </w:tc>
      </w:tr>
      <w:tr w:rsidR="00E70647" w:rsidRPr="00FD5800" w14:paraId="04D5741F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2EFB96D0" w14:textId="2DA831AE" w:rsidR="00E70647" w:rsidRPr="003F3AC9" w:rsidRDefault="00E70647" w:rsidP="00983E6D">
            <w:pPr>
              <w:spacing w:before="40" w:after="120"/>
              <w:jc w:val="both"/>
              <w:rPr>
                <w:b w:val="0"/>
                <w:bCs w:val="0"/>
                <w:color w:val="000000" w:themeColor="text1"/>
              </w:rPr>
            </w:pPr>
            <w:r w:rsidRPr="003F3AC9">
              <w:rPr>
                <w:b w:val="0"/>
                <w:bCs w:val="0"/>
              </w:rPr>
              <w:t>Центр мониторинга предоставляет своим пользователям целостный обзор транспортной инфраструктуры с учетом различных факторов, таких как международная связанность, последствия изменения климата, затраты на строительство и т.</w:t>
            </w:r>
            <w:r w:rsidR="008D7DEC">
              <w:rPr>
                <w:b w:val="0"/>
                <w:bCs w:val="0"/>
                <w:lang w:val="en-US"/>
              </w:rPr>
              <w:t> </w:t>
            </w:r>
            <w:r w:rsidRPr="003F3AC9">
              <w:rPr>
                <w:b w:val="0"/>
                <w:bCs w:val="0"/>
              </w:rPr>
              <w:t xml:space="preserve">д. Таким образом, он помогает лицам, принимающим решения, прийти к более устойчивым решениям в отношении развития транспортной инфраструктуры. </w:t>
            </w:r>
          </w:p>
        </w:tc>
      </w:tr>
    </w:tbl>
    <w:p w14:paraId="0BD4727A" w14:textId="28996A37" w:rsidR="00E70647" w:rsidRPr="00121CB3" w:rsidRDefault="00E70647" w:rsidP="00E70647">
      <w:pPr>
        <w:pStyle w:val="H1G"/>
      </w:pPr>
      <w:r>
        <w:rPr>
          <w:bCs/>
        </w:rPr>
        <w:lastRenderedPageBreak/>
        <w:tab/>
      </w:r>
      <w:r w:rsidRPr="00405BC5">
        <w:rPr>
          <w:bCs/>
          <w:color w:val="000000" w:themeColor="text1"/>
        </w:rPr>
        <w:t>E.</w:t>
      </w:r>
      <w:r w:rsidRPr="00405BC5">
        <w:rPr>
          <w:color w:val="000000" w:themeColor="text1"/>
        </w:rPr>
        <w:tab/>
      </w:r>
      <w:r w:rsidRPr="00405BC5">
        <w:rPr>
          <w:bCs/>
          <w:color w:val="000000" w:themeColor="text1"/>
        </w:rPr>
        <w:t xml:space="preserve">Инструмент </w:t>
      </w:r>
      <w:r>
        <w:rPr>
          <w:bCs/>
        </w:rPr>
        <w:t xml:space="preserve">«Последствия изменения климата для транспортных сетей и узлов и адаптация к ним» </w:t>
      </w:r>
      <w:r w:rsidR="00455632" w:rsidRPr="00455632">
        <w:rPr>
          <w:bCs/>
        </w:rPr>
        <w:t>—</w:t>
      </w:r>
      <w:r>
        <w:rPr>
          <w:bCs/>
        </w:rPr>
        <w:t xml:space="preserve"> WP.5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E70647" w:rsidRPr="00D43650" w14:paraId="3E165B3F" w14:textId="77777777" w:rsidTr="00FF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7038620C" w14:textId="77777777" w:rsidR="00E70647" w:rsidRPr="00D0105C" w:rsidRDefault="00E70647" w:rsidP="00455632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D0105C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E70647" w:rsidRPr="00FD5800" w14:paraId="636A6DF1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AB76782" w14:textId="77777777" w:rsidR="00E70647" w:rsidRPr="00D0105C" w:rsidRDefault="00E70647" w:rsidP="00455632">
            <w:pPr>
              <w:spacing w:before="40" w:after="120"/>
              <w:rPr>
                <w:color w:val="000000" w:themeColor="text1"/>
              </w:rPr>
            </w:pPr>
            <w:r w:rsidRPr="00D0105C">
              <w:t>Название инструмента:</w:t>
            </w:r>
          </w:p>
        </w:tc>
        <w:tc>
          <w:tcPr>
            <w:tcW w:w="6498" w:type="dxa"/>
          </w:tcPr>
          <w:p w14:paraId="690AEE72" w14:textId="77777777" w:rsidR="00E70647" w:rsidRPr="00D0105C" w:rsidRDefault="00E70647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 xml:space="preserve">Инструмент </w:t>
            </w:r>
            <w:r>
              <w:t>«</w:t>
            </w:r>
            <w:r w:rsidRPr="00D0105C">
              <w:t>Последствия изменения климата для транспортных сетей и узлов и адаптация к ним</w:t>
            </w:r>
            <w:r>
              <w:t>»</w:t>
            </w:r>
          </w:p>
        </w:tc>
      </w:tr>
      <w:tr w:rsidR="00E70647" w:rsidRPr="00D43650" w14:paraId="65835563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508B14A" w14:textId="77777777" w:rsidR="00E70647" w:rsidRPr="00D0105C" w:rsidRDefault="00E70647" w:rsidP="00455632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>Тип инструмента:</w:t>
            </w:r>
          </w:p>
        </w:tc>
        <w:tc>
          <w:tcPr>
            <w:tcW w:w="6498" w:type="dxa"/>
          </w:tcPr>
          <w:p w14:paraId="3986053A" w14:textId="77777777" w:rsidR="00E70647" w:rsidRPr="00D0105C" w:rsidRDefault="00E70647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Географическая информационная система (ГИС)</w:t>
            </w:r>
          </w:p>
        </w:tc>
      </w:tr>
      <w:tr w:rsidR="00E70647" w:rsidRPr="00FD5800" w14:paraId="6EF264B5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AFD4C84" w14:textId="593B77AD" w:rsidR="00455632" w:rsidRPr="00D0105C" w:rsidRDefault="00E70647" w:rsidP="00455632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>Описание инструмента:</w:t>
            </w:r>
          </w:p>
          <w:p w14:paraId="2ABBBF54" w14:textId="77777777" w:rsidR="00E70647" w:rsidRPr="00D0105C" w:rsidRDefault="00E70647" w:rsidP="00455632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rPr>
                <w:noProof/>
                <w:color w:val="000000" w:themeColor="text1"/>
              </w:rPr>
              <w:drawing>
                <wp:inline distT="0" distB="0" distL="0" distR="0" wp14:anchorId="20B22632" wp14:editId="6D700123">
                  <wp:extent cx="1289050" cy="1289050"/>
                  <wp:effectExtent l="0" t="0" r="6350" b="6350"/>
                  <wp:docPr id="6" name="Picture 43" descr="Scatter chart, 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727D8-5B67-4761-B82F-F7895F933C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Scatter chart, 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C9727D8-5B67-4761-B82F-F7895F933C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816" cy="128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7FA7CDA8" w14:textId="77777777" w:rsidR="00E70647" w:rsidRPr="00D0105C" w:rsidRDefault="00E70647" w:rsidP="00455632">
            <w:pPr>
              <w:pStyle w:val="af3"/>
              <w:suppressAutoHyphens/>
              <w:spacing w:before="40" w:after="120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Этот инструмент помогает анализировать возможные будущие последствия изменения климата для транспортных сетей. Используя этот инструмент, эксперты могут определить участки сетей, которые, по прогнозам, будут подвержены воздействию изменяющегося климата и предоставление услуг которых может сократиться в будущем, если они не будут адаптированы к такому воздействию.</w:t>
            </w:r>
          </w:p>
          <w:p w14:paraId="6389A58F" w14:textId="427BA01A" w:rsidR="00E70647" w:rsidRPr="00D0105C" w:rsidRDefault="00E70647" w:rsidP="00455632">
            <w:pPr>
              <w:pStyle w:val="af3"/>
              <w:suppressAutoHyphens/>
              <w:spacing w:before="40" w:after="120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Используя инструмент в его ГИС-среде, пользователи могут сопоставить карту, на которой представлена конкретная транспортная инфраструктура, например дороги, с прогнозами, связанными с конкретным климатическим фактором, например осадками. Прогнозы были разработаны в сотрудничестве с Всемирной метеорологической организацией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ВМО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и рассчитаны на 100 лет. Объединив эти две карты, пользователь сможет определить возможные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горячие точки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</w:t>
            </w:r>
            <w:r w:rsidR="0019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 е.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места/участки в дорожной сети, которые могут быть, например, затоплены в будущем. На нынешнем этапе инструмент обеспечивает хорошую, но очень высокоуровневую идентификацию карт возможных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горячих точек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2A13EC9" w14:textId="10FD5EDB" w:rsidR="00E70647" w:rsidRPr="00D0105C" w:rsidRDefault="00E70647" w:rsidP="00455632">
            <w:pPr>
              <w:pStyle w:val="af3"/>
              <w:suppressAutoHyphens/>
              <w:spacing w:before="40" w:after="120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Этот инструмент включает шесть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показателей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относящихся к конкретным опасностям, связанным с климатом, которые считаются существенно важными для транспорта. Инструмент представляет изменения данной опасности </w:t>
            </w:r>
            <w:r w:rsidR="00302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основном увеличение или уменьшение</w:t>
            </w:r>
            <w:r w:rsidR="00302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—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определенное количество дней (например, очень жаркие дни; морозные дни; дни с высоким уровнем осадков, дни без осадков и т.</w:t>
            </w:r>
            <w:r w:rsidR="009C1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д.) в течение года между базовым периодом и будущим периодом. Он представляет эти результаты на картах ГИС, на которых показаны прогнозы, наложенные на транспортные сети: автомобильные дороги категории Е, железные дороги категории Е и водные пути категории Е. Эти изменения представлены для различных климатических сценариев.</w:t>
            </w:r>
          </w:p>
        </w:tc>
      </w:tr>
      <w:tr w:rsidR="00E70647" w:rsidRPr="00D43650" w14:paraId="54531F00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40E5CBA" w14:textId="77777777" w:rsidR="00E70647" w:rsidRPr="00D0105C" w:rsidRDefault="00E70647" w:rsidP="00455632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 xml:space="preserve">URL: </w:t>
            </w:r>
          </w:p>
        </w:tc>
        <w:tc>
          <w:tcPr>
            <w:tcW w:w="6498" w:type="dxa"/>
          </w:tcPr>
          <w:p w14:paraId="160837D8" w14:textId="669F6561" w:rsidR="00E70647" w:rsidRPr="00D0105C" w:rsidRDefault="0088412E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4" w:history="1">
              <w:r w:rsidR="0088714F" w:rsidRPr="00D43650">
                <w:rPr>
                  <w:rStyle w:val="af1"/>
                  <w:rFonts w:asciiTheme="majorBidi" w:hAnsiTheme="majorBidi" w:cstheme="majorBidi"/>
                </w:rPr>
                <w:t>itio-gis.org</w:t>
              </w:r>
            </w:hyperlink>
          </w:p>
        </w:tc>
      </w:tr>
      <w:tr w:rsidR="00E70647" w:rsidRPr="00D43650" w14:paraId="7C370D31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3D9326C" w14:textId="77777777" w:rsidR="00E70647" w:rsidRPr="00D0105C" w:rsidRDefault="00E70647" w:rsidP="00455632">
            <w:pPr>
              <w:spacing w:before="40" w:after="120"/>
              <w:rPr>
                <w:color w:val="000000" w:themeColor="text1"/>
              </w:rPr>
            </w:pPr>
            <w:r w:rsidRPr="00D0105C">
              <w:t>Дата введения инструмента в действие:</w:t>
            </w:r>
          </w:p>
        </w:tc>
        <w:tc>
          <w:tcPr>
            <w:tcW w:w="6498" w:type="dxa"/>
          </w:tcPr>
          <w:p w14:paraId="0E701089" w14:textId="77777777" w:rsidR="00E70647" w:rsidRPr="00D0105C" w:rsidRDefault="00E70647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2022 год</w:t>
            </w:r>
          </w:p>
        </w:tc>
      </w:tr>
      <w:tr w:rsidR="00E70647" w:rsidRPr="00FD5800" w14:paraId="52B6D11A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701FE32" w14:textId="77777777" w:rsidR="00E70647" w:rsidRPr="00D0105C" w:rsidRDefault="00E70647" w:rsidP="00455632">
            <w:pPr>
              <w:pageBreakBefore/>
              <w:spacing w:before="40" w:after="120"/>
              <w:rPr>
                <w:color w:val="000000" w:themeColor="text1"/>
              </w:rPr>
            </w:pPr>
            <w:r w:rsidRPr="00D0105C">
              <w:lastRenderedPageBreak/>
              <w:t xml:space="preserve">Разработчики инструмента: </w:t>
            </w:r>
          </w:p>
        </w:tc>
        <w:tc>
          <w:tcPr>
            <w:tcW w:w="6498" w:type="dxa"/>
          </w:tcPr>
          <w:p w14:paraId="5281A57F" w14:textId="47815DB6" w:rsidR="00E70647" w:rsidRPr="00D0105C" w:rsidRDefault="00E70647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 xml:space="preserve">Отдел устойчивого транспорта/внешние консультанты </w:t>
            </w:r>
          </w:p>
        </w:tc>
      </w:tr>
      <w:tr w:rsidR="00E70647" w:rsidRPr="00D43650" w14:paraId="46C86DE5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vAlign w:val="center"/>
          </w:tcPr>
          <w:p w14:paraId="4A80B5BA" w14:textId="77777777" w:rsidR="00E70647" w:rsidRPr="00856849" w:rsidRDefault="00E70647" w:rsidP="00455632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56849">
              <w:rPr>
                <w:rFonts w:asciiTheme="majorBidi" w:hAnsiTheme="majorBidi" w:cstheme="majorBidi"/>
                <w:noProof/>
                <w:color w:val="000000" w:themeColor="text1"/>
              </w:rPr>
              <w:drawing>
                <wp:inline distT="0" distB="0" distL="0" distR="0" wp14:anchorId="7CE885A9" wp14:editId="7F5C9E99">
                  <wp:extent cx="3752850" cy="20891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647" w:rsidRPr="00FD5800" w14:paraId="5D041A93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4" w:space="0" w:color="999999" w:themeColor="text1" w:themeTint="66"/>
            </w:tcBorders>
          </w:tcPr>
          <w:p w14:paraId="122CD56B" w14:textId="1B8FA0D2" w:rsidR="00E70647" w:rsidRPr="00121CB3" w:rsidRDefault="00E70647" w:rsidP="00455632">
            <w:pPr>
              <w:spacing w:before="40"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t xml:space="preserve">Связь с центральной темой семидесятой сессии ЕЭК </w:t>
            </w:r>
            <w:r w:rsidRPr="00693AD6">
              <w:rPr>
                <w:rFonts w:asciiTheme="majorBidi" w:hAnsiTheme="majorBidi" w:cstheme="majorBidi"/>
                <w:color w:val="000000" w:themeColor="text1"/>
              </w:rPr>
              <w:br/>
            </w:r>
            <w:r>
              <w:t xml:space="preserve">«Цифровые и “зеленыe” преобразования в интересах устойчивого развития в регионе </w:t>
            </w:r>
            <w:r w:rsidR="001B3D0B">
              <w:br/>
            </w:r>
            <w:r>
              <w:t>ЕЭК ООН».</w:t>
            </w:r>
          </w:p>
        </w:tc>
      </w:tr>
      <w:tr w:rsidR="00E70647" w:rsidRPr="00FD5800" w14:paraId="19F3FECD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017C55CB" w14:textId="77777777" w:rsidR="00E70647" w:rsidRPr="008972A9" w:rsidRDefault="00E70647" w:rsidP="00455632">
            <w:pPr>
              <w:spacing w:before="40" w:after="120"/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8972A9">
              <w:rPr>
                <w:b w:val="0"/>
                <w:bCs w:val="0"/>
              </w:rPr>
              <w:t>Воздействие климата на транспортную инфраструктуру уже заметно. Инструмент визуализирует это воздействие, помогая лицам, принимающим решения, приступить к реализации более устойчивых инфраструктурных проектов и сделать существующую инфраструктуру устойчивой, адаптировав ее к последствиям изменения климата.</w:t>
            </w:r>
          </w:p>
        </w:tc>
      </w:tr>
    </w:tbl>
    <w:p w14:paraId="4082BED6" w14:textId="13ABE747" w:rsidR="00E70647" w:rsidRPr="00121CB3" w:rsidRDefault="00E70647" w:rsidP="00E70647">
      <w:pPr>
        <w:pStyle w:val="H1G"/>
      </w:pPr>
      <w:r>
        <w:rPr>
          <w:bCs/>
        </w:rPr>
        <w:tab/>
        <w:t>F.</w:t>
      </w:r>
      <w:r>
        <w:tab/>
      </w:r>
      <w:r>
        <w:rPr>
          <w:bCs/>
        </w:rPr>
        <w:t xml:space="preserve">eCMR </w:t>
      </w:r>
      <w:r w:rsidR="001B3D0B">
        <w:rPr>
          <w:bCs/>
        </w:rPr>
        <w:t>—</w:t>
      </w:r>
      <w:r>
        <w:rPr>
          <w:bCs/>
        </w:rPr>
        <w:t xml:space="preserve"> Дополнительный протокол к КДПГ, касающийся электронной накладной </w:t>
      </w:r>
      <w:r w:rsidR="001B3D0B">
        <w:rPr>
          <w:bCs/>
        </w:rPr>
        <w:t>—</w:t>
      </w:r>
      <w:r>
        <w:rPr>
          <w:bCs/>
        </w:rPr>
        <w:t xml:space="preserve"> SC.1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E70647" w:rsidRPr="00D43650" w14:paraId="16280CFA" w14:textId="77777777" w:rsidTr="00FF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72DFFE34" w14:textId="77777777" w:rsidR="00E70647" w:rsidRPr="00817D8F" w:rsidRDefault="00E70647" w:rsidP="00455632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817D8F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E70647" w:rsidRPr="00D43650" w14:paraId="13B315EB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9867E82" w14:textId="77777777" w:rsidR="00E70647" w:rsidRPr="00817D8F" w:rsidRDefault="00E70647" w:rsidP="00455632">
            <w:pPr>
              <w:spacing w:before="40" w:after="120"/>
              <w:rPr>
                <w:color w:val="000000" w:themeColor="text1"/>
              </w:rPr>
            </w:pPr>
            <w:r w:rsidRPr="00817D8F">
              <w:t>Название инструмента:</w:t>
            </w:r>
          </w:p>
        </w:tc>
        <w:tc>
          <w:tcPr>
            <w:tcW w:w="6498" w:type="dxa"/>
          </w:tcPr>
          <w:p w14:paraId="57AFF0BB" w14:textId="77777777" w:rsidR="00E70647" w:rsidRPr="00817D8F" w:rsidRDefault="00E70647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817D8F">
              <w:t>eCMR</w:t>
            </w:r>
          </w:p>
        </w:tc>
      </w:tr>
      <w:tr w:rsidR="00E70647" w:rsidRPr="00D43650" w14:paraId="73A2EB17" w14:textId="77777777" w:rsidTr="004556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808080" w:themeColor="background1" w:themeShade="80"/>
            </w:tcBorders>
          </w:tcPr>
          <w:p w14:paraId="585CA5FF" w14:textId="77777777" w:rsidR="00E70647" w:rsidRPr="00817D8F" w:rsidRDefault="00E70647" w:rsidP="00455632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817D8F">
              <w:t>Тип инструмента:</w:t>
            </w:r>
          </w:p>
        </w:tc>
        <w:tc>
          <w:tcPr>
            <w:tcW w:w="6498" w:type="dxa"/>
            <w:tcBorders>
              <w:bottom w:val="single" w:sz="4" w:space="0" w:color="808080" w:themeColor="background1" w:themeShade="80"/>
            </w:tcBorders>
          </w:tcPr>
          <w:p w14:paraId="7559085E" w14:textId="77777777" w:rsidR="00E70647" w:rsidRPr="00817D8F" w:rsidRDefault="00E70647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17D8F">
              <w:t xml:space="preserve">Будет определен позднее </w:t>
            </w:r>
          </w:p>
        </w:tc>
      </w:tr>
      <w:tr w:rsidR="00E70647" w:rsidRPr="00FD5800" w14:paraId="5CBC2276" w14:textId="77777777" w:rsidTr="004556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122574" w14:textId="44D45D18" w:rsidR="00E70647" w:rsidRPr="00817D8F" w:rsidRDefault="00E70647" w:rsidP="00455632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817D8F">
              <w:t>Описание инструмента:</w:t>
            </w:r>
          </w:p>
          <w:p w14:paraId="5833B2E6" w14:textId="77777777" w:rsidR="00E70647" w:rsidRPr="00817D8F" w:rsidRDefault="00E70647" w:rsidP="00455632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817D8F">
              <w:rPr>
                <w:noProof/>
                <w:color w:val="000000" w:themeColor="text1"/>
              </w:rPr>
              <w:drawing>
                <wp:inline distT="0" distB="0" distL="0" distR="0" wp14:anchorId="1F3D5DAD" wp14:editId="103F86B3">
                  <wp:extent cx="1314450" cy="1314450"/>
                  <wp:effectExtent l="0" t="0" r="0" b="0"/>
                  <wp:docPr id="43" name="Picture 42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6942DE-FB43-4509-9D84-5C0F9D06F7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96942DE-FB43-4509-9D84-5C0F9D06F7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81" cy="13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300A3" w14:textId="77777777" w:rsidR="00E70647" w:rsidRPr="00817D8F" w:rsidRDefault="00E70647" w:rsidP="00455632">
            <w:pPr>
              <w:pStyle w:val="af3"/>
              <w:suppressAutoHyphens/>
              <w:spacing w:before="40" w:after="120" w:line="240" w:lineRule="atLeas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накладная eCMR основана на</w:t>
            </w:r>
            <w:r w:rsidRPr="002F62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положениях Конвенции о договоре международной дорожной перевозки грузов (КДПГ) (1956 год) и особенно на положениях Дополнительного протокола к</w:t>
            </w:r>
            <w:r w:rsidRPr="00DA00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КДПГ, касающегося электронной накладной (2008 год).</w:t>
            </w:r>
          </w:p>
          <w:p w14:paraId="3B1C5A50" w14:textId="165C9AE9" w:rsidR="00E70647" w:rsidRPr="00817D8F" w:rsidRDefault="00E70647" w:rsidP="00455632">
            <w:pPr>
              <w:pStyle w:val="af3"/>
              <w:suppressAutoHyphens/>
              <w:spacing w:before="40" w:after="120" w:line="240" w:lineRule="atLeas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Рабочая группа по автомобильному транспорту (SC.1)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Комитета по внутреннему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которая управляет Конвенцией КДПГ и уполномочена правительствами управлять протоколом, касающимся eCMR, решила учредить на двухгодичный срок (2022 и 2023 годы) официальную группу экспертов по введению в действие процедуры eCMR для обсуждения и согласования требований, предусмотренных в статье</w:t>
            </w:r>
            <w:r w:rsidR="001B3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Дополнительного протокола к КДПГ, включая цель/область применения, высокоуровневую архитектуру и концептуальные спецификации будущей среды, которая будет поддерживать формирование электронных накладных и обмен ими в соответствии с положениями КДПГ и Дополнительного протокола к ней. Такая работа должна также включать оценку влияния возможных сценариев реализации будущей среды eCMR.</w:t>
            </w:r>
          </w:p>
          <w:p w14:paraId="49C17485" w14:textId="77777777" w:rsidR="00E70647" w:rsidRPr="00817D8F" w:rsidRDefault="00E70647" w:rsidP="00455632">
            <w:pPr>
              <w:pStyle w:val="af3"/>
              <w:suppressAutoHyphens/>
              <w:spacing w:before="40" w:after="120" w:line="240" w:lineRule="atLeast"/>
              <w:ind w:left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Группе экспертов следует определить/описать, в частности, следующие аспекты (неисчерпывающий перечень):</w:t>
            </w:r>
          </w:p>
          <w:p w14:paraId="07F4FDE0" w14:textId="1411C09E" w:rsidR="00E70647" w:rsidRPr="00817D8F" w:rsidRDefault="00E70647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17D8F">
              <w:t>область применения/цели будущей среды eCMR;</w:t>
            </w:r>
          </w:p>
        </w:tc>
      </w:tr>
      <w:tr w:rsidR="00455632" w:rsidRPr="00FD5800" w14:paraId="05A4E8EB" w14:textId="77777777" w:rsidTr="004556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</w:tcBorders>
          </w:tcPr>
          <w:p w14:paraId="0A11B256" w14:textId="77777777" w:rsidR="00455632" w:rsidRPr="00817D8F" w:rsidRDefault="00455632" w:rsidP="00455632">
            <w:pPr>
              <w:spacing w:before="40" w:after="120"/>
            </w:pPr>
          </w:p>
        </w:tc>
        <w:tc>
          <w:tcPr>
            <w:tcW w:w="6498" w:type="dxa"/>
            <w:tcBorders>
              <w:top w:val="nil"/>
            </w:tcBorders>
          </w:tcPr>
          <w:p w14:paraId="14EC88FC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заинтересованные стороны среды eCMR;</w:t>
            </w:r>
          </w:p>
          <w:p w14:paraId="514FFB1F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высокоуровневая архитектура среды eCMR;</w:t>
            </w:r>
          </w:p>
          <w:p w14:paraId="0461AA5C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метод выдачи и передачи электронной накладной управомоченной стороне;</w:t>
            </w:r>
          </w:p>
          <w:p w14:paraId="31D13396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подтверждение сохранения целостности электронной накладной;</w:t>
            </w:r>
          </w:p>
          <w:p w14:paraId="41B4C2C1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способ, посредством которого сторона, обладающая правами, возникающими на основании электронной накладной, в состоянии продемонстрировать наличие такого права;</w:t>
            </w:r>
          </w:p>
          <w:p w14:paraId="4EA047F8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порядок направления подтверждения факта сдачи груза получателю;</w:t>
            </w:r>
          </w:p>
          <w:p w14:paraId="75F5D779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процедуры дополнения или изменения электронной накладной;</w:t>
            </w:r>
          </w:p>
          <w:p w14:paraId="735829C0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процедуры возможной замены электронной накладной, выданной с помощью других средств;</w:t>
            </w:r>
          </w:p>
          <w:p w14:paraId="1846A111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концептуальные спецификации;</w:t>
            </w:r>
          </w:p>
          <w:p w14:paraId="689DB575" w14:textId="77777777" w:rsidR="00455632" w:rsidRPr="00817D8F" w:rsidRDefault="00455632" w:rsidP="00455632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D8F">
              <w:t>оценка воздействия.</w:t>
            </w:r>
          </w:p>
          <w:p w14:paraId="63F33E2B" w14:textId="60555A21" w:rsidR="00455632" w:rsidRPr="00817D8F" w:rsidRDefault="00455632" w:rsidP="00455632">
            <w:pPr>
              <w:pStyle w:val="af3"/>
              <w:suppressAutoHyphens/>
              <w:spacing w:before="40" w:after="120" w:line="240" w:lineRule="atLeas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Дополнительный протокол к КДПГ 2008 года (eCMR) </w:t>
            </w:r>
            <w:r w:rsidR="001B3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это правовой документ, который направлен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модернизацию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существующей системы бумажных накладных путем преобразования в электронный формат.</w:t>
            </w:r>
          </w:p>
        </w:tc>
      </w:tr>
      <w:tr w:rsidR="00E70647" w:rsidRPr="00D43650" w14:paraId="370AD20A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882E987" w14:textId="77777777" w:rsidR="00E70647" w:rsidRPr="00817D8F" w:rsidRDefault="00E70647" w:rsidP="00455632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817D8F">
              <w:t xml:space="preserve">URL: </w:t>
            </w:r>
          </w:p>
        </w:tc>
        <w:tc>
          <w:tcPr>
            <w:tcW w:w="6498" w:type="dxa"/>
          </w:tcPr>
          <w:p w14:paraId="11459FA9" w14:textId="0341A140" w:rsidR="00E70647" w:rsidRPr="00817D8F" w:rsidRDefault="0088714F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E70647" w:rsidRPr="00D43650" w14:paraId="15648B0F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289397" w14:textId="77777777" w:rsidR="00E70647" w:rsidRPr="00817D8F" w:rsidRDefault="00E70647" w:rsidP="00455632">
            <w:pPr>
              <w:spacing w:before="40" w:after="120"/>
              <w:rPr>
                <w:color w:val="000000" w:themeColor="text1"/>
              </w:rPr>
            </w:pPr>
            <w:r w:rsidRPr="00817D8F">
              <w:t>Дата введения инструмента в действие:</w:t>
            </w:r>
          </w:p>
        </w:tc>
        <w:tc>
          <w:tcPr>
            <w:tcW w:w="6498" w:type="dxa"/>
          </w:tcPr>
          <w:p w14:paraId="70B2C60B" w14:textId="6035182D" w:rsidR="00E70647" w:rsidRPr="0088714F" w:rsidRDefault="0088714F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E70647" w:rsidRPr="00D43650" w14:paraId="3ADD29C0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D378A0D" w14:textId="77777777" w:rsidR="00E70647" w:rsidRPr="00817D8F" w:rsidRDefault="00E70647" w:rsidP="00455632">
            <w:pPr>
              <w:spacing w:before="40" w:after="120"/>
              <w:rPr>
                <w:color w:val="000000" w:themeColor="text1"/>
              </w:rPr>
            </w:pPr>
            <w:r w:rsidRPr="00817D8F">
              <w:t xml:space="preserve">Разработчики инструмента: </w:t>
            </w:r>
          </w:p>
        </w:tc>
        <w:tc>
          <w:tcPr>
            <w:tcW w:w="6498" w:type="dxa"/>
          </w:tcPr>
          <w:p w14:paraId="66B7F920" w14:textId="02B5E2B9" w:rsidR="00E70647" w:rsidRPr="0088714F" w:rsidRDefault="0088714F" w:rsidP="00455632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E70647" w:rsidRPr="00FD5800" w14:paraId="3BDD9101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4" w:space="0" w:color="999999" w:themeColor="text1" w:themeTint="66"/>
            </w:tcBorders>
          </w:tcPr>
          <w:p w14:paraId="51977E85" w14:textId="77777777" w:rsidR="00E70647" w:rsidRPr="00817D8F" w:rsidRDefault="00E70647" w:rsidP="00455632">
            <w:pPr>
              <w:spacing w:before="40" w:after="120"/>
              <w:jc w:val="center"/>
              <w:rPr>
                <w:color w:val="000000" w:themeColor="text1"/>
              </w:rPr>
            </w:pPr>
            <w:r w:rsidRPr="00817D8F">
              <w:t xml:space="preserve">Связь с центральной темой семидесятой сессии ЕЭК </w:t>
            </w:r>
            <w:r w:rsidRPr="00693AD6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817D8F">
              <w:t>«Цифровые и “зеленыe” преобразования в интересах устойчивого развития в регионе ЕЭК ООН».</w:t>
            </w:r>
          </w:p>
        </w:tc>
      </w:tr>
      <w:tr w:rsidR="00E70647" w:rsidRPr="00FD5800" w14:paraId="1F086A21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3E10A14A" w14:textId="77777777" w:rsidR="00E70647" w:rsidRPr="008C660A" w:rsidRDefault="00E70647" w:rsidP="00455632">
            <w:pPr>
              <w:spacing w:before="40" w:after="120"/>
              <w:jc w:val="both"/>
              <w:rPr>
                <w:b w:val="0"/>
                <w:bCs w:val="0"/>
                <w:color w:val="000000" w:themeColor="text1"/>
              </w:rPr>
            </w:pPr>
            <w:r w:rsidRPr="008C660A">
              <w:rPr>
                <w:b w:val="0"/>
                <w:bCs w:val="0"/>
              </w:rPr>
              <w:t>Накладная КДПГ является одним из документов, которые ежедневно проверяются сотрудниками таможни, полицией, судами и страховыми компаниями. Ежегодно используются сотни миллионов накладных КДПГ. Выполнение Конвенции КДПГ в электронном виде и, следовательно, перевод накладной в электронный формат означают, что время ожидания и очереди на границах для грузовых автомобилей сократятся, миллионы бума</w:t>
            </w:r>
            <w:r>
              <w:rPr>
                <w:b w:val="0"/>
                <w:bCs w:val="0"/>
              </w:rPr>
              <w:t>жных</w:t>
            </w:r>
            <w:r w:rsidRPr="008C660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документов </w:t>
            </w:r>
            <w:r w:rsidRPr="008C660A">
              <w:rPr>
                <w:b w:val="0"/>
                <w:bCs w:val="0"/>
              </w:rPr>
              <w:t>больше не будут использоваться, а любая проверка будет бесконтактной и безбумажной.</w:t>
            </w:r>
          </w:p>
        </w:tc>
      </w:tr>
    </w:tbl>
    <w:p w14:paraId="20DC2A17" w14:textId="63462826" w:rsidR="00E70647" w:rsidRPr="00121CB3" w:rsidRDefault="00E70647" w:rsidP="00E70647">
      <w:pPr>
        <w:pStyle w:val="H1G"/>
      </w:pPr>
      <w:r>
        <w:rPr>
          <w:bCs/>
        </w:rPr>
        <w:lastRenderedPageBreak/>
        <w:tab/>
        <w:t>G.</w:t>
      </w:r>
      <w:r>
        <w:tab/>
      </w:r>
      <w:r>
        <w:tab/>
      </w:r>
      <w:r>
        <w:rPr>
          <w:bCs/>
        </w:rPr>
        <w:t xml:space="preserve">Инструмент «Показатели устойчивой связанности внутреннего транспорта (ПУСВТ)» </w:t>
      </w:r>
      <w:r w:rsidR="001B3D0B">
        <w:rPr>
          <w:bCs/>
        </w:rPr>
        <w:t>—</w:t>
      </w:r>
      <w:r>
        <w:rPr>
          <w:bCs/>
        </w:rPr>
        <w:t xml:space="preserve"> WP.5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E70647" w:rsidRPr="00D43650" w14:paraId="043BDE7C" w14:textId="77777777" w:rsidTr="00FF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39476D60" w14:textId="77777777" w:rsidR="00E70647" w:rsidRPr="001B3D0B" w:rsidRDefault="00E70647" w:rsidP="00E82B0C">
            <w:pPr>
              <w:keepNext/>
              <w:keepLines/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1B3D0B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E70647" w:rsidRPr="00D43650" w14:paraId="660507E5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7D2F006" w14:textId="77777777" w:rsidR="00E70647" w:rsidRPr="00D012B7" w:rsidRDefault="00E70647" w:rsidP="00E82B0C">
            <w:pPr>
              <w:keepNext/>
              <w:keepLines/>
              <w:spacing w:before="40" w:after="120"/>
              <w:rPr>
                <w:color w:val="000000" w:themeColor="text1"/>
              </w:rPr>
            </w:pPr>
            <w:r w:rsidRPr="00D012B7">
              <w:t>Название инструмента:</w:t>
            </w:r>
          </w:p>
        </w:tc>
        <w:tc>
          <w:tcPr>
            <w:tcW w:w="6498" w:type="dxa"/>
          </w:tcPr>
          <w:p w14:paraId="424ED9C4" w14:textId="77777777" w:rsidR="00E70647" w:rsidRPr="00D012B7" w:rsidRDefault="00E70647" w:rsidP="00E82B0C">
            <w:pPr>
              <w:keepNext/>
              <w:keepLines/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 xml:space="preserve">Инструмент ПУСВТ </w:t>
            </w:r>
            <w:r>
              <w:t>(</w:t>
            </w:r>
            <w:r w:rsidRPr="00D012B7">
              <w:t>SITCIN</w:t>
            </w:r>
            <w:r>
              <w:t>)</w:t>
            </w:r>
          </w:p>
        </w:tc>
      </w:tr>
      <w:tr w:rsidR="00E70647" w:rsidRPr="00D43650" w14:paraId="4FDE6930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A0CD845" w14:textId="77777777" w:rsidR="00E70647" w:rsidRPr="00D012B7" w:rsidRDefault="00E70647" w:rsidP="00E82B0C">
            <w:pPr>
              <w:keepNext/>
              <w:keepLines/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t>Тип инструмента:</w:t>
            </w:r>
          </w:p>
        </w:tc>
        <w:tc>
          <w:tcPr>
            <w:tcW w:w="6498" w:type="dxa"/>
          </w:tcPr>
          <w:p w14:paraId="09D1C77B" w14:textId="77777777" w:rsidR="00E70647" w:rsidRPr="00D012B7" w:rsidRDefault="00E70647" w:rsidP="00E82B0C">
            <w:pPr>
              <w:keepNext/>
              <w:keepLines/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 xml:space="preserve">Веб-приложение </w:t>
            </w:r>
          </w:p>
        </w:tc>
      </w:tr>
      <w:tr w:rsidR="00E70647" w:rsidRPr="00D43650" w14:paraId="275C6F41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276366C" w14:textId="77777777" w:rsidR="00E70647" w:rsidRPr="00D012B7" w:rsidRDefault="00E70647" w:rsidP="00E82B0C">
            <w:pPr>
              <w:keepNext/>
              <w:keepLines/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t>Описание инструмента:</w:t>
            </w:r>
          </w:p>
          <w:p w14:paraId="2C129ADD" w14:textId="77777777" w:rsidR="00E70647" w:rsidRPr="00D012B7" w:rsidRDefault="00E70647" w:rsidP="00E82B0C">
            <w:pPr>
              <w:keepNext/>
              <w:keepLines/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rPr>
                <w:noProof/>
                <w:color w:val="000000" w:themeColor="text1"/>
              </w:rPr>
              <w:drawing>
                <wp:inline distT="0" distB="0" distL="0" distR="0" wp14:anchorId="701F3420" wp14:editId="781FAB2E">
                  <wp:extent cx="1308100" cy="1308100"/>
                  <wp:effectExtent l="0" t="0" r="6350" b="6350"/>
                  <wp:docPr id="45" name="Picture 44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A2B81-BF9A-481A-8A36-0BB50EBBCD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74A2B81-BF9A-481A-8A36-0BB50EBBCD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07" cy="130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60CBCAA7" w14:textId="77777777" w:rsidR="00E70647" w:rsidRPr="001558D1" w:rsidRDefault="00E70647" w:rsidP="00E82B0C">
            <w:pPr>
              <w:pStyle w:val="af3"/>
              <w:keepNext/>
              <w:keepLines/>
              <w:suppressAutoHyphens/>
              <w:spacing w:before="40" w:after="120"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Основная цель инструмента ПУСВТ заключается в том, чтобы позволить странам измерять степень связанности транспортных сетей как внутри страны, так и на двусторонней/субрегиональной основе, а также на уровне мягкой и жесткой инфраструктуры. Показатели связанности позволят правительствам анализировать и оценивать следующее:</w:t>
            </w:r>
          </w:p>
          <w:p w14:paraId="052A559E" w14:textId="77777777" w:rsidR="00E70647" w:rsidRPr="00D012B7" w:rsidRDefault="00E70647" w:rsidP="00E82B0C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достигнутый ими прогресс в реализации связанных с транспортом целей в области устойчивого развития и выполнении их обязательств в рамках Венской программы действий для развивающихся стран, не имеющих выхода к морю (РСНВМ), на десятилетие 2014–2024 годов;</w:t>
            </w:r>
          </w:p>
          <w:p w14:paraId="442345EC" w14:textId="77777777" w:rsidR="00E70647" w:rsidRPr="00D012B7" w:rsidRDefault="00E70647" w:rsidP="00E82B0C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эффективность и действенность транспортных систем и уровень соответствия национальной административно-правовой базы правовым документам Организации Объединенных Наций, касающимся облегчения перевозок и пересечения границ, обеспечивая внутреннюю и трансграничную перспективу и повышая конкурентоспособность, безопасность, энергоэффективность и надежность транспортного сектора;</w:t>
            </w:r>
          </w:p>
          <w:p w14:paraId="183E3911" w14:textId="77777777" w:rsidR="00E70647" w:rsidRPr="00D012B7" w:rsidRDefault="00E70647" w:rsidP="00E82B0C">
            <w:pPr>
              <w:pStyle w:val="Bullet1G"/>
              <w:numPr>
                <w:ilvl w:val="0"/>
                <w:numId w:val="22"/>
              </w:numPr>
              <w:tabs>
                <w:tab w:val="clear" w:pos="1701"/>
              </w:tabs>
              <w:ind w:left="369" w:right="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>их усилия по осуществлени</w:t>
            </w:r>
            <w:r>
              <w:t>ю</w:t>
            </w:r>
            <w:r w:rsidRPr="00D012B7">
              <w:t xml:space="preserve"> правовых документов Организации Объединенных Наций, касающихся транспорта, и их работу по согласованию и стандартизации правил и документов, в том числе посредством осуществления международных конвенций по транспорту и транзиту и региональных/двусторонних соглашений.</w:t>
            </w:r>
          </w:p>
          <w:p w14:paraId="261FFBD9" w14:textId="2B918870" w:rsidR="00E70647" w:rsidRPr="00D012B7" w:rsidRDefault="00E70647" w:rsidP="00E82B0C">
            <w:pPr>
              <w:pStyle w:val="af3"/>
              <w:keepNext/>
              <w:keepLines/>
              <w:suppressAutoHyphens/>
              <w:spacing w:before="40" w:after="120"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Было подготовлено 215 показателей, сгруппированных по трем видам внутреннего транспорта, трем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нентам устойчивости и 39</w:t>
            </w:r>
            <w:r w:rsidR="00E82B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тематическим блокам.</w:t>
            </w:r>
          </w:p>
          <w:p w14:paraId="340D6FED" w14:textId="089DA180" w:rsidR="00E70647" w:rsidRPr="00D012B7" w:rsidRDefault="0088714F" w:rsidP="00E82B0C">
            <w:pPr>
              <w:keepNext/>
              <w:keepLines/>
              <w:spacing w:before="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ab/>
            </w:r>
            <w:r w:rsidR="00E70647" w:rsidRPr="00D012B7">
              <w:t>Показатели связанности автомобильного транспорта:</w:t>
            </w:r>
          </w:p>
          <w:p w14:paraId="028BA481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Экономическая устойчивость (ЭК).</w:t>
            </w:r>
          </w:p>
          <w:p w14:paraId="42328E54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Социальная устойчивость (СО).</w:t>
            </w:r>
          </w:p>
          <w:p w14:paraId="288AFF77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Экологическая устойчивость (ЭКО).</w:t>
            </w:r>
          </w:p>
          <w:p w14:paraId="777745A1" w14:textId="77777777" w:rsidR="00E70647" w:rsidRPr="00D012B7" w:rsidRDefault="00E70647" w:rsidP="00E82B0C">
            <w:pPr>
              <w:keepNext/>
              <w:keepLines/>
              <w:spacing w:before="40" w:after="120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>Показатели связанности железнодорожного транспорта:</w:t>
            </w:r>
          </w:p>
          <w:p w14:paraId="35B723AE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Экономическая устойчивость (ЭК).</w:t>
            </w:r>
          </w:p>
          <w:p w14:paraId="4DE09D28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Социальная устойчивость (СО).</w:t>
            </w:r>
          </w:p>
          <w:p w14:paraId="3CF9E44B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>Экологическая устойчивость (ЭКО).</w:t>
            </w:r>
          </w:p>
          <w:p w14:paraId="59B7E623" w14:textId="77777777" w:rsidR="00E70647" w:rsidRPr="00D012B7" w:rsidRDefault="00E70647" w:rsidP="00E82B0C">
            <w:pPr>
              <w:keepNext/>
              <w:keepLines/>
              <w:spacing w:before="40" w:after="120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>Показатели связанности внутреннего водного транспорта:</w:t>
            </w:r>
          </w:p>
          <w:p w14:paraId="7F04C532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Экономическая устойчивость (ЭК).</w:t>
            </w:r>
          </w:p>
          <w:p w14:paraId="750E125C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2B7">
              <w:t>Социальная устойчивость (СО).</w:t>
            </w:r>
          </w:p>
          <w:p w14:paraId="37E355B9" w14:textId="77777777" w:rsidR="00E70647" w:rsidRPr="00D012B7" w:rsidRDefault="00E70647" w:rsidP="00E82B0C">
            <w:pPr>
              <w:pStyle w:val="Bullet2G"/>
              <w:numPr>
                <w:ilvl w:val="0"/>
                <w:numId w:val="23"/>
              </w:numPr>
              <w:tabs>
                <w:tab w:val="clear" w:pos="2268"/>
              </w:tabs>
              <w:ind w:left="7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>Экологическая устойчивость (ЭКО).</w:t>
            </w:r>
          </w:p>
        </w:tc>
      </w:tr>
      <w:tr w:rsidR="00E70647" w:rsidRPr="00D43650" w14:paraId="3874D2DC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024CA4F" w14:textId="77777777" w:rsidR="00E70647" w:rsidRPr="00D012B7" w:rsidRDefault="00E70647" w:rsidP="00E82B0C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t>URL:</w:t>
            </w:r>
          </w:p>
        </w:tc>
        <w:tc>
          <w:tcPr>
            <w:tcW w:w="6498" w:type="dxa"/>
          </w:tcPr>
          <w:p w14:paraId="3E720D4B" w14:textId="54089F38" w:rsidR="00E70647" w:rsidRPr="00D012B7" w:rsidRDefault="0088412E" w:rsidP="00E82B0C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8" w:history="1">
              <w:hyperlink r:id="rId29" w:history="1">
                <w:r w:rsidR="0088714F" w:rsidRPr="00D43650">
                  <w:rPr>
                    <w:rStyle w:val="af1"/>
                    <w:rFonts w:asciiTheme="majorBidi" w:hAnsiTheme="majorBidi" w:cstheme="majorBidi"/>
                  </w:rPr>
                  <w:t>sitcin.org</w:t>
                </w:r>
              </w:hyperlink>
              <w:r w:rsidR="00E70647" w:rsidRPr="00EC648B">
                <w:rPr>
                  <w:color w:val="0070C0"/>
                </w:rPr>
                <w:t xml:space="preserve"> </w:t>
              </w:r>
            </w:hyperlink>
          </w:p>
        </w:tc>
      </w:tr>
      <w:tr w:rsidR="00E70647" w:rsidRPr="00D43650" w14:paraId="373013AF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4CA08E0" w14:textId="77777777" w:rsidR="00E70647" w:rsidRPr="00D012B7" w:rsidRDefault="00E70647" w:rsidP="00E82B0C">
            <w:pPr>
              <w:spacing w:before="40" w:after="120"/>
              <w:rPr>
                <w:color w:val="000000" w:themeColor="text1"/>
              </w:rPr>
            </w:pPr>
            <w:r w:rsidRPr="00D012B7">
              <w:lastRenderedPageBreak/>
              <w:t>Дата введения инструмента в действие:</w:t>
            </w:r>
          </w:p>
        </w:tc>
        <w:tc>
          <w:tcPr>
            <w:tcW w:w="6498" w:type="dxa"/>
          </w:tcPr>
          <w:p w14:paraId="05C37A1B" w14:textId="77777777" w:rsidR="00E70647" w:rsidRPr="00D012B7" w:rsidRDefault="00E70647" w:rsidP="00E82B0C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>2022 год</w:t>
            </w:r>
          </w:p>
        </w:tc>
      </w:tr>
      <w:tr w:rsidR="00E70647" w:rsidRPr="00FD5800" w14:paraId="0C53A085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A6FEB0D" w14:textId="77777777" w:rsidR="00E70647" w:rsidRPr="00D012B7" w:rsidRDefault="00E70647" w:rsidP="00E82B0C">
            <w:pPr>
              <w:spacing w:before="40" w:after="120"/>
              <w:rPr>
                <w:color w:val="000000" w:themeColor="text1"/>
              </w:rPr>
            </w:pPr>
            <w:r w:rsidRPr="00D012B7">
              <w:t xml:space="preserve">Разработчики инструмента: </w:t>
            </w:r>
          </w:p>
        </w:tc>
        <w:tc>
          <w:tcPr>
            <w:tcW w:w="6498" w:type="dxa"/>
          </w:tcPr>
          <w:p w14:paraId="429940B1" w14:textId="7569B615" w:rsidR="00E70647" w:rsidRPr="00D012B7" w:rsidRDefault="00E70647" w:rsidP="00E82B0C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 xml:space="preserve">Внешние консультанты/Отдел устойчивого транспорта </w:t>
            </w:r>
          </w:p>
        </w:tc>
      </w:tr>
      <w:tr w:rsidR="00E70647" w:rsidRPr="00FD5800" w14:paraId="16F3EE98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4" w:space="0" w:color="999999" w:themeColor="text1" w:themeTint="66"/>
            </w:tcBorders>
          </w:tcPr>
          <w:p w14:paraId="7F41B61A" w14:textId="5A7BB8FC" w:rsidR="00E70647" w:rsidRPr="00D012B7" w:rsidRDefault="00E70647" w:rsidP="00E82B0C">
            <w:pPr>
              <w:keepNext/>
              <w:keepLines/>
              <w:spacing w:before="40" w:after="120"/>
              <w:jc w:val="center"/>
              <w:rPr>
                <w:color w:val="000000" w:themeColor="text1"/>
              </w:rPr>
            </w:pPr>
            <w:r w:rsidRPr="00D012B7">
              <w:t xml:space="preserve">Связь с центральной темой семидесятой сессии ЕЭК </w:t>
            </w:r>
            <w:r w:rsidRPr="00693AD6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D012B7">
              <w:t>«Цифровые и “зеленыe” преобразования в интересах устойчивого развития в регионе ЕЭК</w:t>
            </w:r>
            <w:r w:rsidR="00E82B0C">
              <w:t> </w:t>
            </w:r>
            <w:r w:rsidRPr="00D012B7">
              <w:t>ООН».</w:t>
            </w:r>
          </w:p>
        </w:tc>
      </w:tr>
      <w:tr w:rsidR="00E70647" w:rsidRPr="00FD5800" w14:paraId="6DB27CAC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27150D78" w14:textId="77777777" w:rsidR="00E70647" w:rsidRPr="00CA1537" w:rsidRDefault="00E70647" w:rsidP="00E82B0C">
            <w:pPr>
              <w:keepNext/>
              <w:keepLines/>
              <w:spacing w:before="40" w:after="120"/>
              <w:jc w:val="both"/>
              <w:rPr>
                <w:b w:val="0"/>
                <w:bCs w:val="0"/>
                <w:color w:val="000000" w:themeColor="text1"/>
              </w:rPr>
            </w:pPr>
            <w:r w:rsidRPr="00CA1537">
              <w:rPr>
                <w:b w:val="0"/>
                <w:bCs w:val="0"/>
              </w:rPr>
              <w:t>Показатели ПУСВТ являются инструментами сравнительного анализа. Они помогают лицам, принимающим решения, сопоставлять свои усилия по обеспечению связанности с усилиями других стран, что способствует дальнейшему повышению эффективности их работы. В этом смысле они являются показателями, которые позволяют сравнивать достигнутый в странах уровень цифровых и «зеленых» преобразований, имеющих отношение к связанности.</w:t>
            </w:r>
          </w:p>
        </w:tc>
      </w:tr>
    </w:tbl>
    <w:p w14:paraId="7365C8A5" w14:textId="7AB5EDB8" w:rsidR="00E70647" w:rsidRPr="00121CB3" w:rsidRDefault="00E70647" w:rsidP="00E70647">
      <w:pPr>
        <w:pStyle w:val="H1G"/>
      </w:pPr>
      <w:r>
        <w:rPr>
          <w:bCs/>
        </w:rPr>
        <w:tab/>
        <w:t>H.</w:t>
      </w:r>
      <w:r>
        <w:tab/>
      </w:r>
      <w:r>
        <w:rPr>
          <w:bCs/>
        </w:rPr>
        <w:t>Центр мониторинга ситуации с пересечением границ в связи с</w:t>
      </w:r>
      <w:r w:rsidR="000015D6">
        <w:rPr>
          <w:bCs/>
        </w:rPr>
        <w:t> </w:t>
      </w:r>
      <w:r>
        <w:rPr>
          <w:bCs/>
        </w:rPr>
        <w:t xml:space="preserve">COVID-19 </w:t>
      </w:r>
      <w:r w:rsidR="000015D6">
        <w:rPr>
          <w:bCs/>
        </w:rPr>
        <w:t>—</w:t>
      </w:r>
      <w:r>
        <w:rPr>
          <w:bCs/>
        </w:rPr>
        <w:t xml:space="preserve"> Рабочая группа по таможенным вопросам, связанным с транспортом (WP.30)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E70647" w:rsidRPr="00D43650" w14:paraId="05CA5BA9" w14:textId="77777777" w:rsidTr="00FF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22CF4D04" w14:textId="77777777" w:rsidR="00E70647" w:rsidRPr="00DD0B46" w:rsidRDefault="00E70647" w:rsidP="00F341D4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DD0B46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E70647" w:rsidRPr="00FD5800" w14:paraId="015F640E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F2B27A1" w14:textId="77777777" w:rsidR="00E70647" w:rsidRPr="00635D4F" w:rsidRDefault="00E70647" w:rsidP="00F341D4">
            <w:pPr>
              <w:spacing w:before="40" w:after="120"/>
              <w:rPr>
                <w:color w:val="000000" w:themeColor="text1"/>
              </w:rPr>
            </w:pPr>
            <w:r w:rsidRPr="00635D4F">
              <w:t>Название инструмента:</w:t>
            </w:r>
          </w:p>
        </w:tc>
        <w:tc>
          <w:tcPr>
            <w:tcW w:w="6498" w:type="dxa"/>
          </w:tcPr>
          <w:p w14:paraId="759C1F08" w14:textId="77777777" w:rsidR="00E70647" w:rsidRPr="00635D4F" w:rsidRDefault="00E70647" w:rsidP="00F341D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5D4F">
              <w:rPr>
                <w:b/>
                <w:bCs/>
              </w:rPr>
              <w:t>Центр мониторинга ситуации с пересечением границ в связи с COVID-19</w:t>
            </w:r>
          </w:p>
        </w:tc>
      </w:tr>
      <w:tr w:rsidR="00E70647" w:rsidRPr="00D43650" w14:paraId="5C19C886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38E2129" w14:textId="4F347E17" w:rsidR="00E70647" w:rsidRPr="00635D4F" w:rsidRDefault="00F341D4" w:rsidP="00F341D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t>Тип инструмента:</w:t>
            </w:r>
          </w:p>
        </w:tc>
        <w:tc>
          <w:tcPr>
            <w:tcW w:w="6498" w:type="dxa"/>
          </w:tcPr>
          <w:p w14:paraId="3E9B04F4" w14:textId="77777777" w:rsidR="00E70647" w:rsidRPr="00635D4F" w:rsidRDefault="00E70647" w:rsidP="00F341D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5D4F">
              <w:t xml:space="preserve">Веб-приложение </w:t>
            </w:r>
          </w:p>
        </w:tc>
      </w:tr>
      <w:tr w:rsidR="00E70647" w:rsidRPr="00FD5800" w14:paraId="10184C63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D92D87B" w14:textId="7BA008DC" w:rsidR="00E70647" w:rsidRPr="00635D4F" w:rsidRDefault="00E70647" w:rsidP="00F341D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635D4F">
              <w:t>Описание инструмента:</w:t>
            </w:r>
          </w:p>
          <w:p w14:paraId="3587E098" w14:textId="77777777" w:rsidR="00E70647" w:rsidRPr="00635D4F" w:rsidRDefault="00E70647" w:rsidP="00F341D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635D4F">
              <w:rPr>
                <w:noProof/>
                <w:color w:val="000000" w:themeColor="text1"/>
              </w:rPr>
              <w:drawing>
                <wp:inline distT="0" distB="0" distL="0" distR="0" wp14:anchorId="71F6F1C7" wp14:editId="29A6590E">
                  <wp:extent cx="1339850" cy="1339850"/>
                  <wp:effectExtent l="0" t="0" r="0" b="0"/>
                  <wp:docPr id="20" name="Picture 19" descr="Scatter chart, 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DB9EF-47B2-4148-B01F-CB36A0AA1A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Scatter chart, 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3DB9EF-47B2-4148-B01F-CB36A0AA1A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671" cy="13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38BFEF13" w14:textId="0BB9DABE" w:rsidR="00E70647" w:rsidRPr="00635D4F" w:rsidRDefault="00E70647" w:rsidP="00F341D4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феврале 2020 года ЕЭК в партнерстве с другими региональными комиссиями ООН и партнерскими организациями создала Центр мониторинга ситуации с пересечением границ в связи с COVID-19. С</w:t>
            </w:r>
            <w:r w:rsidR="00F34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помощью этого инструмента систематически собираются и отображаются данные о состоянии внутренних грузоперевозок через пункты пересечения границ, включая политику и передовую практику. ЕЭК и ее партнеры проинформировали таможенные органы почти всех государств </w:t>
            </w:r>
            <w:r w:rsidR="00F34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членов Организации Объединенных Наций об этом инструменте и начали сбор их материалов, а также любой официальной, общедоступной информации, имеющей отношение к этой работе. Основное назначение Центра мониторинга — служить платформой для обмена информацией с целью содействия принятию решений о соответствующих мерах в отношении границ и облегчения перемещения грузов внутренним транспортом:</w:t>
            </w:r>
          </w:p>
          <w:p w14:paraId="36438D29" w14:textId="77777777" w:rsidR="00E70647" w:rsidRPr="00635D4F" w:rsidRDefault="00E70647" w:rsidP="00F341D4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a) 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транспортный сектор получает информацию о мерах, введенных правительствами различных стран, которые адаптируют соответствующим образом свои маршруты/транспортные решения; </w:t>
            </w:r>
          </w:p>
          <w:p w14:paraId="588B2EE4" w14:textId="77777777" w:rsidR="00E70647" w:rsidRPr="00635D4F" w:rsidRDefault="00E70647" w:rsidP="00F341D4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b)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правительства получают информацию о передовой практике, внедренной правительствами других стран, которые обеспечивают открытость границ, облегчая потоки грузов и предотвращая распространение вируса. </w:t>
            </w:r>
          </w:p>
          <w:p w14:paraId="6E92C83A" w14:textId="26B4A396" w:rsidR="00E70647" w:rsidRPr="00635D4F" w:rsidRDefault="00E70647" w:rsidP="00F341D4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состоянию на октябрь 2020 года Центр мониторинга — это платформа, позволяющая получать актуальную информацию о текущем положении дел в 174 государствах — членах Организации Объединенных Наций, в</w:t>
            </w:r>
            <w:r w:rsidR="00F34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 числе об их национальной практике и мерах, принятых в ответ на пандемию. За последние четыре месяца в Центре мониторинга было зарегистрировано 106 000 отдельных обращений из 207 стран и всех регионов мира.</w:t>
            </w:r>
          </w:p>
        </w:tc>
      </w:tr>
      <w:tr w:rsidR="00E70647" w:rsidRPr="00C1282B" w14:paraId="401830FC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F373A6C" w14:textId="77777777" w:rsidR="00E70647" w:rsidRPr="00635D4F" w:rsidRDefault="00E70647" w:rsidP="00F341D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635D4F">
              <w:lastRenderedPageBreak/>
              <w:t xml:space="preserve">URL: </w:t>
            </w:r>
          </w:p>
        </w:tc>
        <w:tc>
          <w:tcPr>
            <w:tcW w:w="6498" w:type="dxa"/>
          </w:tcPr>
          <w:p w14:paraId="54C90D83" w14:textId="200E12D4" w:rsidR="00E70647" w:rsidRPr="00E70647" w:rsidRDefault="0088412E" w:rsidP="00F341D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31" w:history="1">
              <w:r w:rsidR="0088714F" w:rsidRPr="0088714F">
                <w:rPr>
                  <w:rStyle w:val="af1"/>
                  <w:lang w:val="en-US"/>
                </w:rPr>
                <w:t>Observatory on Border Crossings Status due to COVID-19 Home - Observatory on Border Crossings Status due to COVID-19 - UNECE Wiki</w:t>
              </w:r>
            </w:hyperlink>
          </w:p>
        </w:tc>
      </w:tr>
      <w:tr w:rsidR="00E70647" w:rsidRPr="00D43650" w14:paraId="468FC87F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B1BF794" w14:textId="77777777" w:rsidR="00E70647" w:rsidRPr="00635D4F" w:rsidRDefault="00E70647" w:rsidP="00F341D4">
            <w:pPr>
              <w:spacing w:before="40" w:after="120"/>
              <w:rPr>
                <w:color w:val="000000" w:themeColor="text1"/>
              </w:rPr>
            </w:pPr>
            <w:r w:rsidRPr="00635D4F">
              <w:t>Дата введения инструмента в действие:</w:t>
            </w:r>
          </w:p>
        </w:tc>
        <w:tc>
          <w:tcPr>
            <w:tcW w:w="6498" w:type="dxa"/>
          </w:tcPr>
          <w:p w14:paraId="7AF5E644" w14:textId="77777777" w:rsidR="00E70647" w:rsidRPr="00635D4F" w:rsidRDefault="00E70647" w:rsidP="00F341D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5D4F">
              <w:t>2020 год</w:t>
            </w:r>
          </w:p>
        </w:tc>
      </w:tr>
      <w:tr w:rsidR="00E70647" w:rsidRPr="00D43650" w14:paraId="51C7B9FA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50B8B7A" w14:textId="77777777" w:rsidR="00E70647" w:rsidRPr="00635D4F" w:rsidRDefault="00E70647" w:rsidP="00F341D4">
            <w:pPr>
              <w:spacing w:before="40" w:after="120"/>
              <w:rPr>
                <w:color w:val="000000" w:themeColor="text1"/>
              </w:rPr>
            </w:pPr>
            <w:r w:rsidRPr="00635D4F">
              <w:t xml:space="preserve">Разработчик инструмента: </w:t>
            </w:r>
          </w:p>
        </w:tc>
        <w:tc>
          <w:tcPr>
            <w:tcW w:w="6498" w:type="dxa"/>
          </w:tcPr>
          <w:p w14:paraId="76F28AE7" w14:textId="77777777" w:rsidR="00E70647" w:rsidRPr="00635D4F" w:rsidRDefault="00E70647" w:rsidP="00F341D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С</w:t>
            </w:r>
            <w:r w:rsidRPr="00635D4F">
              <w:t xml:space="preserve">екретариат МДП </w:t>
            </w:r>
          </w:p>
        </w:tc>
      </w:tr>
      <w:tr w:rsidR="00E70647" w:rsidRPr="00FD5800" w14:paraId="24173D0D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7636819C" w14:textId="11AC17E6" w:rsidR="00E70647" w:rsidRPr="00635D4F" w:rsidRDefault="00E70647" w:rsidP="00F341D4">
            <w:pPr>
              <w:spacing w:before="40" w:after="120"/>
              <w:jc w:val="center"/>
              <w:rPr>
                <w:color w:val="000000" w:themeColor="text1"/>
              </w:rPr>
            </w:pPr>
            <w:r w:rsidRPr="00635D4F">
              <w:t xml:space="preserve">Связь с центральной темой семидесятой сессии ЕЭК </w:t>
            </w:r>
            <w:r w:rsidRPr="00693AD6">
              <w:rPr>
                <w:rFonts w:asciiTheme="majorBidi" w:hAnsiTheme="majorBidi" w:cstheme="majorBidi"/>
                <w:color w:val="000000" w:themeColor="text1"/>
              </w:rPr>
              <w:br/>
            </w:r>
            <w:r w:rsidRPr="00635D4F">
              <w:t xml:space="preserve"> «Цифровые и “зеленыe” преобразования в интересах устойчивого развития в регионе ЕЭК</w:t>
            </w:r>
            <w:r w:rsidR="00F341D4">
              <w:t> </w:t>
            </w:r>
            <w:r w:rsidRPr="00635D4F">
              <w:t>ООН».</w:t>
            </w:r>
          </w:p>
        </w:tc>
      </w:tr>
      <w:tr w:rsidR="00E70647" w:rsidRPr="00FD5800" w14:paraId="21DBF4F4" w14:textId="77777777" w:rsidTr="00FF33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2A8DED79" w14:textId="4A65526B" w:rsidR="00E70647" w:rsidRPr="00F341D4" w:rsidRDefault="00E70647" w:rsidP="00F341D4">
            <w:pPr>
              <w:spacing w:before="40" w:after="120"/>
              <w:jc w:val="both"/>
              <w:rPr>
                <w:b w:val="0"/>
                <w:bCs w:val="0"/>
                <w:color w:val="000000" w:themeColor="text1"/>
              </w:rPr>
            </w:pPr>
            <w:r w:rsidRPr="00F341D4">
              <w:rPr>
                <w:b w:val="0"/>
                <w:bCs w:val="0"/>
              </w:rPr>
              <w:t xml:space="preserve">Во время пандемии границы закрылись. Центр мониторинга помог тысячам пользователей получить информацию о текущем состоянии границ по каждому государству </w:t>
            </w:r>
            <w:r w:rsidR="0072777C">
              <w:rPr>
                <w:b w:val="0"/>
                <w:bCs w:val="0"/>
              </w:rPr>
              <w:t>—</w:t>
            </w:r>
            <w:r w:rsidRPr="00F341D4">
              <w:rPr>
                <w:b w:val="0"/>
                <w:bCs w:val="0"/>
              </w:rPr>
              <w:t xml:space="preserve"> члену Организации Объединенных Наций. Кроме того, страны использовали Центр мониторинга для того, чтобы учиться друг у друга и выявлять внедренную передовую практику.</w:t>
            </w:r>
          </w:p>
        </w:tc>
      </w:tr>
    </w:tbl>
    <w:p w14:paraId="0E50FEC0" w14:textId="77777777" w:rsidR="00E70647" w:rsidRPr="00121CB3" w:rsidRDefault="00E70647" w:rsidP="00E70647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Рассмотрение Комитетом</w:t>
      </w:r>
    </w:p>
    <w:p w14:paraId="5449B183" w14:textId="235DB2E3" w:rsidR="00E70647" w:rsidRDefault="00E70647" w:rsidP="00E70647">
      <w:pPr>
        <w:pStyle w:val="SingleTxtG"/>
      </w:pPr>
      <w:r>
        <w:t>2.</w:t>
      </w:r>
      <w:r>
        <w:tab/>
        <w:t>Комитет, возможно, пожелает принять к сведению и поддержать вышеуказанную деятельность и инициативы/инструменты договаривающихся сторон, WP.30, WP.5, SC.1 и секретариата МДП в области технологий информации и компьютеризации в 2022 году.</w:t>
      </w:r>
    </w:p>
    <w:p w14:paraId="07F2ED03" w14:textId="05D03D71" w:rsidR="00E12C5F" w:rsidRPr="008D53B6" w:rsidRDefault="00E70647" w:rsidP="00E70647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E7064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67D1" w14:textId="77777777" w:rsidR="000A1064" w:rsidRPr="00A312BC" w:rsidRDefault="000A1064" w:rsidP="00A312BC"/>
  </w:endnote>
  <w:endnote w:type="continuationSeparator" w:id="0">
    <w:p w14:paraId="5D423159" w14:textId="77777777" w:rsidR="000A1064" w:rsidRPr="00A312BC" w:rsidRDefault="000A10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5C57" w14:textId="0AA0580F" w:rsidR="00E70647" w:rsidRPr="00E70647" w:rsidRDefault="00E70647">
    <w:pPr>
      <w:pStyle w:val="a8"/>
    </w:pPr>
    <w:r w:rsidRPr="00E70647">
      <w:rPr>
        <w:b/>
        <w:sz w:val="18"/>
      </w:rPr>
      <w:fldChar w:fldCharType="begin"/>
    </w:r>
    <w:r w:rsidRPr="00E70647">
      <w:rPr>
        <w:b/>
        <w:sz w:val="18"/>
      </w:rPr>
      <w:instrText xml:space="preserve"> PAGE  \* MERGEFORMAT </w:instrText>
    </w:r>
    <w:r w:rsidRPr="00E70647">
      <w:rPr>
        <w:b/>
        <w:sz w:val="18"/>
      </w:rPr>
      <w:fldChar w:fldCharType="separate"/>
    </w:r>
    <w:r w:rsidRPr="00E70647">
      <w:rPr>
        <w:b/>
        <w:noProof/>
        <w:sz w:val="18"/>
      </w:rPr>
      <w:t>2</w:t>
    </w:r>
    <w:r w:rsidRPr="00E70647">
      <w:rPr>
        <w:b/>
        <w:sz w:val="18"/>
      </w:rPr>
      <w:fldChar w:fldCharType="end"/>
    </w:r>
    <w:r>
      <w:rPr>
        <w:b/>
        <w:sz w:val="18"/>
      </w:rPr>
      <w:tab/>
    </w:r>
    <w:r>
      <w:t>GE.22-27904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CF29" w14:textId="3E0EE804" w:rsidR="00E70647" w:rsidRPr="00E70647" w:rsidRDefault="00E70647" w:rsidP="00E70647">
    <w:pPr>
      <w:pStyle w:val="a8"/>
      <w:tabs>
        <w:tab w:val="clear" w:pos="9639"/>
        <w:tab w:val="right" w:pos="9638"/>
      </w:tabs>
      <w:rPr>
        <w:b/>
        <w:sz w:val="18"/>
      </w:rPr>
    </w:pPr>
    <w:r>
      <w:t>GE.22-27904</w:t>
    </w:r>
    <w:r>
      <w:tab/>
    </w:r>
    <w:r w:rsidRPr="00E70647">
      <w:rPr>
        <w:b/>
        <w:sz w:val="18"/>
      </w:rPr>
      <w:fldChar w:fldCharType="begin"/>
    </w:r>
    <w:r w:rsidRPr="00E70647">
      <w:rPr>
        <w:b/>
        <w:sz w:val="18"/>
      </w:rPr>
      <w:instrText xml:space="preserve"> PAGE  \* MERGEFORMAT </w:instrText>
    </w:r>
    <w:r w:rsidRPr="00E70647">
      <w:rPr>
        <w:b/>
        <w:sz w:val="18"/>
      </w:rPr>
      <w:fldChar w:fldCharType="separate"/>
    </w:r>
    <w:r w:rsidRPr="00E70647">
      <w:rPr>
        <w:b/>
        <w:noProof/>
        <w:sz w:val="18"/>
      </w:rPr>
      <w:t>3</w:t>
    </w:r>
    <w:r w:rsidRPr="00E706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534" w14:textId="51450AF8" w:rsidR="00042B72" w:rsidRPr="00E70647" w:rsidRDefault="00E70647" w:rsidP="00E7064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3511F0" wp14:editId="34A5A78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22-27904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467832" wp14:editId="084A69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191222  201222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AB12" w14:textId="77777777" w:rsidR="000A1064" w:rsidRPr="001075E9" w:rsidRDefault="000A10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43471A" w14:textId="77777777" w:rsidR="000A1064" w:rsidRDefault="000A10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CF2B" w14:textId="0B2CEBE6" w:rsidR="00E70647" w:rsidRPr="00E70647" w:rsidRDefault="0088412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C26925">
      <w:t>ECE/TRANS/2023/20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DA15" w14:textId="3F538936" w:rsidR="00E70647" w:rsidRPr="00E70647" w:rsidRDefault="0088412E" w:rsidP="00E7064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6925">
      <w:t>ECE/TRANS/2023/20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39BE" w14:textId="77777777" w:rsidR="00E70647" w:rsidRDefault="00E70647" w:rsidP="00E7064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9"/>
  </w:num>
  <w:num w:numId="24">
    <w:abstractNumId w:val="16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64"/>
    <w:rsid w:val="000015D6"/>
    <w:rsid w:val="00002EC3"/>
    <w:rsid w:val="00033EE1"/>
    <w:rsid w:val="00042B72"/>
    <w:rsid w:val="000558BD"/>
    <w:rsid w:val="000A1064"/>
    <w:rsid w:val="000B57E7"/>
    <w:rsid w:val="000B6373"/>
    <w:rsid w:val="000E4E5B"/>
    <w:rsid w:val="000F09DF"/>
    <w:rsid w:val="000F61B2"/>
    <w:rsid w:val="001075E9"/>
    <w:rsid w:val="00133371"/>
    <w:rsid w:val="0014152F"/>
    <w:rsid w:val="00175035"/>
    <w:rsid w:val="00180183"/>
    <w:rsid w:val="0018024D"/>
    <w:rsid w:val="0018649F"/>
    <w:rsid w:val="00192E07"/>
    <w:rsid w:val="00196389"/>
    <w:rsid w:val="001B3D0B"/>
    <w:rsid w:val="001B3EF6"/>
    <w:rsid w:val="001C7A89"/>
    <w:rsid w:val="0022229F"/>
    <w:rsid w:val="0023331D"/>
    <w:rsid w:val="00255343"/>
    <w:rsid w:val="0026304E"/>
    <w:rsid w:val="0027151D"/>
    <w:rsid w:val="00271568"/>
    <w:rsid w:val="002A2EFC"/>
    <w:rsid w:val="002B0106"/>
    <w:rsid w:val="002B74B1"/>
    <w:rsid w:val="002C0E18"/>
    <w:rsid w:val="002C6F16"/>
    <w:rsid w:val="002D5AAC"/>
    <w:rsid w:val="002E5067"/>
    <w:rsid w:val="002F405F"/>
    <w:rsid w:val="002F7EEC"/>
    <w:rsid w:val="00301299"/>
    <w:rsid w:val="00302D3A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BC5"/>
    <w:rsid w:val="00407B78"/>
    <w:rsid w:val="00424203"/>
    <w:rsid w:val="004434E9"/>
    <w:rsid w:val="004455A5"/>
    <w:rsid w:val="00452493"/>
    <w:rsid w:val="00453318"/>
    <w:rsid w:val="00454AF2"/>
    <w:rsid w:val="00454E07"/>
    <w:rsid w:val="00455632"/>
    <w:rsid w:val="00472C5C"/>
    <w:rsid w:val="00483218"/>
    <w:rsid w:val="00485F8A"/>
    <w:rsid w:val="004A269C"/>
    <w:rsid w:val="004E05B7"/>
    <w:rsid w:val="0050108D"/>
    <w:rsid w:val="00513081"/>
    <w:rsid w:val="00517901"/>
    <w:rsid w:val="00526683"/>
    <w:rsid w:val="00526DB8"/>
    <w:rsid w:val="005639C1"/>
    <w:rsid w:val="00570890"/>
    <w:rsid w:val="005709E0"/>
    <w:rsid w:val="00572E19"/>
    <w:rsid w:val="005961C8"/>
    <w:rsid w:val="005966F1"/>
    <w:rsid w:val="005D7914"/>
    <w:rsid w:val="005E2B41"/>
    <w:rsid w:val="005F0B42"/>
    <w:rsid w:val="00617A43"/>
    <w:rsid w:val="00626DD4"/>
    <w:rsid w:val="006345DB"/>
    <w:rsid w:val="00640F49"/>
    <w:rsid w:val="00680D03"/>
    <w:rsid w:val="00681A10"/>
    <w:rsid w:val="00691E18"/>
    <w:rsid w:val="006A1ED8"/>
    <w:rsid w:val="006C2031"/>
    <w:rsid w:val="006D461A"/>
    <w:rsid w:val="006F35EE"/>
    <w:rsid w:val="007021FF"/>
    <w:rsid w:val="00712895"/>
    <w:rsid w:val="0072777C"/>
    <w:rsid w:val="00734ACB"/>
    <w:rsid w:val="00757357"/>
    <w:rsid w:val="00780527"/>
    <w:rsid w:val="00792497"/>
    <w:rsid w:val="007F63C4"/>
    <w:rsid w:val="00806737"/>
    <w:rsid w:val="00825F8D"/>
    <w:rsid w:val="00834B71"/>
    <w:rsid w:val="0086445C"/>
    <w:rsid w:val="0088412E"/>
    <w:rsid w:val="0088714F"/>
    <w:rsid w:val="00894693"/>
    <w:rsid w:val="008A08D7"/>
    <w:rsid w:val="008A37C8"/>
    <w:rsid w:val="008B6909"/>
    <w:rsid w:val="008C5605"/>
    <w:rsid w:val="008D4974"/>
    <w:rsid w:val="008D53B6"/>
    <w:rsid w:val="008D7DEC"/>
    <w:rsid w:val="008F7609"/>
    <w:rsid w:val="00906890"/>
    <w:rsid w:val="00911BE4"/>
    <w:rsid w:val="00934A8C"/>
    <w:rsid w:val="00951972"/>
    <w:rsid w:val="0095549A"/>
    <w:rsid w:val="009608F3"/>
    <w:rsid w:val="00983E6D"/>
    <w:rsid w:val="009A24AC"/>
    <w:rsid w:val="009C1A87"/>
    <w:rsid w:val="009C59D7"/>
    <w:rsid w:val="009C6FE6"/>
    <w:rsid w:val="009D7E7D"/>
    <w:rsid w:val="00A14DA8"/>
    <w:rsid w:val="00A312BC"/>
    <w:rsid w:val="00A3231E"/>
    <w:rsid w:val="00A84021"/>
    <w:rsid w:val="00A84D35"/>
    <w:rsid w:val="00A917B3"/>
    <w:rsid w:val="00AB4B51"/>
    <w:rsid w:val="00B10CC7"/>
    <w:rsid w:val="00B36DF7"/>
    <w:rsid w:val="00B539E7"/>
    <w:rsid w:val="00B62458"/>
    <w:rsid w:val="00B77CA3"/>
    <w:rsid w:val="00BB0E6D"/>
    <w:rsid w:val="00BC18B2"/>
    <w:rsid w:val="00BD33EE"/>
    <w:rsid w:val="00BE1CC7"/>
    <w:rsid w:val="00C106D6"/>
    <w:rsid w:val="00C119AE"/>
    <w:rsid w:val="00C1282B"/>
    <w:rsid w:val="00C14A87"/>
    <w:rsid w:val="00C26925"/>
    <w:rsid w:val="00C5062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2C25"/>
    <w:rsid w:val="00DD78D1"/>
    <w:rsid w:val="00DE32CD"/>
    <w:rsid w:val="00DF0C7B"/>
    <w:rsid w:val="00DF5767"/>
    <w:rsid w:val="00DF71B9"/>
    <w:rsid w:val="00E12C5F"/>
    <w:rsid w:val="00E42D22"/>
    <w:rsid w:val="00E70647"/>
    <w:rsid w:val="00E73F76"/>
    <w:rsid w:val="00E82B0C"/>
    <w:rsid w:val="00EA2C9F"/>
    <w:rsid w:val="00EA420E"/>
    <w:rsid w:val="00ED0BDA"/>
    <w:rsid w:val="00EE142A"/>
    <w:rsid w:val="00EF1360"/>
    <w:rsid w:val="00EF3220"/>
    <w:rsid w:val="00F2523A"/>
    <w:rsid w:val="00F341D4"/>
    <w:rsid w:val="00F43903"/>
    <w:rsid w:val="00F94155"/>
    <w:rsid w:val="00F9783F"/>
    <w:rsid w:val="00FC6402"/>
    <w:rsid w:val="00FD2EF7"/>
    <w:rsid w:val="00FE447E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7ED97"/>
  <w15:docId w15:val="{407A76BF-3A5B-4135-970D-837CFFA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7064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E70647"/>
    <w:rPr>
      <w:lang w:val="ru-RU" w:eastAsia="en-US"/>
    </w:rPr>
  </w:style>
  <w:style w:type="character" w:customStyle="1" w:styleId="H1GChar">
    <w:name w:val="_ H_1_G Char"/>
    <w:link w:val="H1G"/>
    <w:rsid w:val="00E70647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E70647"/>
    <w:pPr>
      <w:suppressAutoHyphens w:val="0"/>
      <w:spacing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/>
    </w:rPr>
  </w:style>
  <w:style w:type="table" w:styleId="-1">
    <w:name w:val="Grid Table 1 Light"/>
    <w:basedOn w:val="a1"/>
    <w:uiPriority w:val="46"/>
    <w:rsid w:val="00E70647"/>
    <w:rPr>
      <w:lang w:val="fr-FR" w:eastAsia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4">
    <w:name w:val="Unresolved Mention"/>
    <w:basedOn w:val="a0"/>
    <w:uiPriority w:val="99"/>
    <w:semiHidden/>
    <w:unhideWhenUsed/>
    <w:rsid w:val="00FF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cid:image014.png@01D90644.78AC7090" TargetMode="Externa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arnetdepassage.org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s://itdb.unece.or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1.png@01D90644.1C38AF40" TargetMode="External"/><Relationship Id="rId20" Type="http://schemas.openxmlformats.org/officeDocument/2006/relationships/hyperlink" Target="https://carnetdepassage.org/" TargetMode="External"/><Relationship Id="rId29" Type="http://schemas.openxmlformats.org/officeDocument/2006/relationships/hyperlink" Target="http://www.sitci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tio-gis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itio-gis.org" TargetMode="External"/><Relationship Id="rId28" Type="http://schemas.openxmlformats.org/officeDocument/2006/relationships/hyperlink" Target="http://www.sitcin.org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etir.org/how-does-etir-work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iki.unece.org/display/CTRBSBC/Observatory+on+Border+Crossings+Status+due+to+COVID-19+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ir.org" TargetMode="External"/><Relationship Id="rId14" Type="http://schemas.openxmlformats.org/officeDocument/2006/relationships/image" Target="cid:image010.png@01D90644.1C38AF4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11</TotalTime>
  <Pages>12</Pages>
  <Words>2915</Words>
  <Characters>21309</Characters>
  <Application>Microsoft Office Word</Application>
  <DocSecurity>0</DocSecurity>
  <Lines>564</Lines>
  <Paragraphs>213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ECE/TRANS/2023/20</vt:lpstr>
      <vt:lpstr>A/</vt:lpstr>
      <vt:lpstr>A/</vt:lpstr>
    </vt:vector>
  </TitlesOfParts>
  <Company>DCM</Company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ECE/TRANS/2023/20</dc:title>
  <dc:subject/>
  <dc:creator>Olga OVTCHINNIKOVA</dc:creator>
  <cp:keywords/>
  <cp:lastModifiedBy>Olga Ovchinnikova</cp:lastModifiedBy>
  <cp:revision>3</cp:revision>
  <cp:lastPrinted>2022-12-20T13:48:00Z</cp:lastPrinted>
  <dcterms:created xsi:type="dcterms:W3CDTF">2022-12-20T13:48:00Z</dcterms:created>
  <dcterms:modified xsi:type="dcterms:W3CDTF">2022-12-20T13:58:00Z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