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6850A815" w14:textId="77777777" w:rsidTr="00387CD4">
        <w:trPr>
          <w:trHeight w:hRule="exact" w:val="851"/>
        </w:trPr>
        <w:tc>
          <w:tcPr>
            <w:tcW w:w="142" w:type="dxa"/>
            <w:tcBorders>
              <w:bottom w:val="single" w:sz="4" w:space="0" w:color="auto"/>
            </w:tcBorders>
          </w:tcPr>
          <w:p w14:paraId="089895E8" w14:textId="77777777" w:rsidR="002D5AAC" w:rsidRDefault="002D5AAC" w:rsidP="002E69D2">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60BB9409"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172B044C" w14:textId="35BB0B42" w:rsidR="002D5AAC" w:rsidRDefault="002E69D2" w:rsidP="002E69D2">
            <w:pPr>
              <w:jc w:val="right"/>
            </w:pPr>
            <w:r w:rsidRPr="002E69D2">
              <w:rPr>
                <w:sz w:val="40"/>
              </w:rPr>
              <w:t>ECE</w:t>
            </w:r>
            <w:r>
              <w:t>/TRANS/2023/6</w:t>
            </w:r>
          </w:p>
        </w:tc>
      </w:tr>
      <w:tr w:rsidR="002D5AAC" w:rsidRPr="00490018" w14:paraId="34F14976" w14:textId="77777777" w:rsidTr="00387CD4">
        <w:trPr>
          <w:trHeight w:hRule="exact" w:val="2835"/>
        </w:trPr>
        <w:tc>
          <w:tcPr>
            <w:tcW w:w="1280" w:type="dxa"/>
            <w:gridSpan w:val="2"/>
            <w:tcBorders>
              <w:top w:val="single" w:sz="4" w:space="0" w:color="auto"/>
              <w:bottom w:val="single" w:sz="12" w:space="0" w:color="auto"/>
            </w:tcBorders>
          </w:tcPr>
          <w:p w14:paraId="794D0A9D" w14:textId="77777777" w:rsidR="002D5AAC" w:rsidRDefault="002E5067" w:rsidP="00387CD4">
            <w:pPr>
              <w:spacing w:before="120"/>
              <w:jc w:val="center"/>
            </w:pPr>
            <w:r>
              <w:rPr>
                <w:noProof/>
                <w:lang w:val="fr-CH" w:eastAsia="fr-CH"/>
              </w:rPr>
              <w:drawing>
                <wp:inline distT="0" distB="0" distL="0" distR="0" wp14:anchorId="29B69D3C" wp14:editId="5DBAD16D">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1B9D12D6"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4AA3AABE" w14:textId="77777777" w:rsidR="002D5AAC" w:rsidRDefault="002E69D2" w:rsidP="00387CD4">
            <w:pPr>
              <w:spacing w:before="240"/>
              <w:rPr>
                <w:lang w:val="en-US"/>
              </w:rPr>
            </w:pPr>
            <w:r>
              <w:rPr>
                <w:lang w:val="en-US"/>
              </w:rPr>
              <w:t>Distr.: General</w:t>
            </w:r>
          </w:p>
          <w:p w14:paraId="729EF5A8" w14:textId="77777777" w:rsidR="002E69D2" w:rsidRDefault="002E69D2" w:rsidP="002E69D2">
            <w:pPr>
              <w:spacing w:line="240" w:lineRule="exact"/>
              <w:rPr>
                <w:lang w:val="en-US"/>
              </w:rPr>
            </w:pPr>
            <w:r>
              <w:rPr>
                <w:lang w:val="en-US"/>
              </w:rPr>
              <w:t>21 December 2022</w:t>
            </w:r>
          </w:p>
          <w:p w14:paraId="5938401F" w14:textId="77777777" w:rsidR="002E69D2" w:rsidRDefault="002E69D2" w:rsidP="002E69D2">
            <w:pPr>
              <w:spacing w:line="240" w:lineRule="exact"/>
              <w:rPr>
                <w:lang w:val="en-US"/>
              </w:rPr>
            </w:pPr>
            <w:r>
              <w:rPr>
                <w:lang w:val="en-US"/>
              </w:rPr>
              <w:t>Russian</w:t>
            </w:r>
          </w:p>
          <w:p w14:paraId="73E8617F" w14:textId="5EAD0EBC" w:rsidR="002E69D2" w:rsidRPr="008D53B6" w:rsidRDefault="002E69D2" w:rsidP="002E69D2">
            <w:pPr>
              <w:spacing w:line="240" w:lineRule="exact"/>
              <w:rPr>
                <w:lang w:val="en-US"/>
              </w:rPr>
            </w:pPr>
            <w:r>
              <w:rPr>
                <w:lang w:val="en-US"/>
              </w:rPr>
              <w:t>Original: English</w:t>
            </w:r>
          </w:p>
        </w:tc>
      </w:tr>
    </w:tbl>
    <w:p w14:paraId="279C0551"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4BD0B90F" w14:textId="77777777" w:rsidR="002E69D2" w:rsidRPr="002E69D2" w:rsidRDefault="002E69D2" w:rsidP="002E69D2">
      <w:pPr>
        <w:spacing w:before="120"/>
        <w:rPr>
          <w:sz w:val="28"/>
          <w:szCs w:val="28"/>
        </w:rPr>
      </w:pPr>
      <w:r w:rsidRPr="002E69D2">
        <w:rPr>
          <w:sz w:val="28"/>
          <w:szCs w:val="28"/>
        </w:rPr>
        <w:t>Комитет по внутреннему транспорту</w:t>
      </w:r>
    </w:p>
    <w:p w14:paraId="2158533C" w14:textId="77777777" w:rsidR="002E69D2" w:rsidRPr="00214A79" w:rsidRDefault="002E69D2" w:rsidP="002E69D2">
      <w:pPr>
        <w:spacing w:before="120"/>
        <w:rPr>
          <w:b/>
          <w:bCs/>
        </w:rPr>
      </w:pPr>
      <w:r>
        <w:rPr>
          <w:b/>
          <w:bCs/>
        </w:rPr>
        <w:t>Восемьдесят пятая сессия</w:t>
      </w:r>
    </w:p>
    <w:p w14:paraId="547DF605" w14:textId="77777777" w:rsidR="002E69D2" w:rsidRPr="00214A79" w:rsidRDefault="002E69D2" w:rsidP="002E69D2">
      <w:r>
        <w:t>Женева, 21–24 февраля 2023 года</w:t>
      </w:r>
    </w:p>
    <w:p w14:paraId="7F53F3C1" w14:textId="77777777" w:rsidR="002E69D2" w:rsidRPr="00214A79" w:rsidRDefault="002E69D2" w:rsidP="002E69D2">
      <w:r>
        <w:t>Пункт 4 предварительной повестки дня</w:t>
      </w:r>
    </w:p>
    <w:p w14:paraId="52BB406D" w14:textId="6CFA427E" w:rsidR="002E69D2" w:rsidRPr="00214A79" w:rsidRDefault="002E69D2" w:rsidP="002E69D2">
      <w:pPr>
        <w:rPr>
          <w:b/>
          <w:bCs/>
        </w:rPr>
      </w:pPr>
      <w:r>
        <w:rPr>
          <w:b/>
          <w:bCs/>
        </w:rPr>
        <w:t xml:space="preserve">Вопросы управления и прочие вопросы, вытекающие </w:t>
      </w:r>
      <w:r>
        <w:rPr>
          <w:b/>
          <w:bCs/>
        </w:rPr>
        <w:br/>
        <w:t xml:space="preserve">из решений Европейской экономической комиссии </w:t>
      </w:r>
      <w:r>
        <w:rPr>
          <w:b/>
          <w:bCs/>
        </w:rPr>
        <w:br/>
        <w:t xml:space="preserve">Организации Объединенных Наций, Экономического </w:t>
      </w:r>
      <w:r>
        <w:rPr>
          <w:b/>
          <w:bCs/>
        </w:rPr>
        <w:br/>
        <w:t xml:space="preserve">и Социального Совета и других органов и конференций </w:t>
      </w:r>
      <w:r>
        <w:rPr>
          <w:b/>
          <w:bCs/>
        </w:rPr>
        <w:br/>
        <w:t>Организации Объединенных Наций</w:t>
      </w:r>
    </w:p>
    <w:p w14:paraId="74A3859D" w14:textId="45B534D5" w:rsidR="002E69D2" w:rsidRPr="00214A79" w:rsidRDefault="002E69D2" w:rsidP="002E69D2">
      <w:pPr>
        <w:pStyle w:val="HChG"/>
      </w:pPr>
      <w:r>
        <w:tab/>
      </w:r>
      <w:r>
        <w:tab/>
      </w:r>
      <w:r>
        <w:tab/>
      </w:r>
      <w:r>
        <w:rPr>
          <w:bCs/>
        </w:rPr>
        <w:t xml:space="preserve">Цифровые и «зеленые» трансформации в интересах устойчивого внутреннего транспорта: вклад Комитета </w:t>
      </w:r>
      <w:r>
        <w:rPr>
          <w:bCs/>
        </w:rPr>
        <w:br/>
        <w:t>по внутреннему транспорту в предстоящую семидесятую сессию Европейской экономической комиссии</w:t>
      </w:r>
    </w:p>
    <w:p w14:paraId="4049C714" w14:textId="77777777" w:rsidR="002E69D2" w:rsidRPr="00203237" w:rsidRDefault="002E69D2" w:rsidP="002E69D2">
      <w:pPr>
        <w:pStyle w:val="H1G"/>
        <w:rPr>
          <w:rStyle w:val="aa"/>
          <w:sz w:val="20"/>
        </w:rPr>
      </w:pPr>
      <w:r>
        <w:tab/>
      </w:r>
      <w:r>
        <w:tab/>
      </w:r>
      <w:r>
        <w:rPr>
          <w:bCs/>
        </w:rPr>
        <w:t>Записка секретариата</w:t>
      </w:r>
      <w:r w:rsidRPr="002E69D2">
        <w:rPr>
          <w:rStyle w:val="aa"/>
          <w:b w:val="0"/>
          <w:bCs/>
          <w:sz w:val="20"/>
          <w:vertAlign w:val="baseline"/>
        </w:rPr>
        <w:footnoteReference w:customMarkFollows="1" w:id="1"/>
        <w:t>*</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376"/>
      </w:tblGrid>
      <w:tr w:rsidR="002E69D2" w:rsidRPr="00EE3C61" w14:paraId="3600648C" w14:textId="77777777" w:rsidTr="009F2F2D">
        <w:tc>
          <w:tcPr>
            <w:tcW w:w="7376" w:type="dxa"/>
            <w:tcBorders>
              <w:bottom w:val="nil"/>
            </w:tcBorders>
            <w:shd w:val="clear" w:color="auto" w:fill="auto"/>
          </w:tcPr>
          <w:p w14:paraId="69672B98" w14:textId="77777777" w:rsidR="002E69D2" w:rsidRPr="0032128C" w:rsidRDefault="002E69D2" w:rsidP="009F2F2D">
            <w:pPr>
              <w:pStyle w:val="SingleTxtG"/>
              <w:spacing w:after="0" w:line="130" w:lineRule="atLeast"/>
              <w:ind w:left="153" w:right="130"/>
            </w:pPr>
          </w:p>
        </w:tc>
      </w:tr>
      <w:tr w:rsidR="002E69D2" w:rsidRPr="00E75606" w14:paraId="5CC3C6A4" w14:textId="77777777" w:rsidTr="009F2F2D">
        <w:tc>
          <w:tcPr>
            <w:tcW w:w="7376" w:type="dxa"/>
            <w:tcBorders>
              <w:top w:val="nil"/>
              <w:bottom w:val="nil"/>
            </w:tcBorders>
            <w:shd w:val="clear" w:color="auto" w:fill="auto"/>
          </w:tcPr>
          <w:p w14:paraId="481E3224" w14:textId="6CC9F52B" w:rsidR="002E69D2" w:rsidRPr="00214A79" w:rsidRDefault="002E69D2" w:rsidP="002E69D2">
            <w:pPr>
              <w:pStyle w:val="SingleTxtG"/>
              <w:tabs>
                <w:tab w:val="left" w:pos="566"/>
              </w:tabs>
              <w:ind w:left="153" w:right="130"/>
            </w:pPr>
            <w:r>
              <w:tab/>
              <w:t xml:space="preserve">Сегмент высокого уровня семидесятой сессии Европейской экономической комиссии (ЕЭК) будет посвящен теме «Цифровые и </w:t>
            </w:r>
            <w:r w:rsidR="00DA008E" w:rsidRPr="00DA008E">
              <w:t>“</w:t>
            </w:r>
            <w:r>
              <w:t>зеленые</w:t>
            </w:r>
            <w:r w:rsidR="00DA008E" w:rsidRPr="00DA008E">
              <w:t>”</w:t>
            </w:r>
            <w:r>
              <w:t xml:space="preserve"> трансформации в интересах устойчивого развития в регионе Европейской экономической комиссии». Связанные с этой темой вопросы на протяжении многих лет занимали видное место в работе Комитета, который по линии подпрограммы по транспорту разработал широкий комплекс документов и информационных продуктов в этой сфере. </w:t>
            </w:r>
          </w:p>
          <w:p w14:paraId="49765C67" w14:textId="77777777" w:rsidR="002E69D2" w:rsidRPr="00214A79" w:rsidRDefault="002E69D2" w:rsidP="002E69D2">
            <w:pPr>
              <w:pStyle w:val="SingleTxtG"/>
              <w:tabs>
                <w:tab w:val="left" w:pos="566"/>
              </w:tabs>
              <w:ind w:left="151" w:right="133"/>
            </w:pPr>
            <w:r>
              <w:tab/>
              <w:t xml:space="preserve">В настоящем документе изложена соответствующая работа, проделанная Комитетом и его рабочими группами, и представлены возможные проекты решений. Комитету предлагается обсудить проекты решений в настоящем документе и предложить Комиссии рассмотреть их для принятия на ее семидесятой сессии. </w:t>
            </w:r>
          </w:p>
        </w:tc>
      </w:tr>
      <w:tr w:rsidR="002E69D2" w:rsidRPr="00E75606" w14:paraId="1E5D8E55" w14:textId="77777777" w:rsidTr="009F2F2D">
        <w:tc>
          <w:tcPr>
            <w:tcW w:w="7376" w:type="dxa"/>
            <w:tcBorders>
              <w:top w:val="nil"/>
            </w:tcBorders>
            <w:shd w:val="clear" w:color="auto" w:fill="auto"/>
          </w:tcPr>
          <w:p w14:paraId="5DA858A5" w14:textId="77777777" w:rsidR="002E69D2" w:rsidRPr="00214A79" w:rsidRDefault="002E69D2" w:rsidP="009F2F2D">
            <w:pPr>
              <w:pStyle w:val="SingleTxtG"/>
              <w:spacing w:after="0" w:line="130" w:lineRule="atLeast"/>
              <w:ind w:left="153" w:right="130"/>
            </w:pPr>
          </w:p>
        </w:tc>
      </w:tr>
    </w:tbl>
    <w:p w14:paraId="062A04EF" w14:textId="77777777" w:rsidR="002E69D2" w:rsidRPr="00214A79" w:rsidRDefault="002E69D2" w:rsidP="002E69D2">
      <w:pPr>
        <w:pStyle w:val="SingleTxtG"/>
      </w:pPr>
      <w:r w:rsidRPr="00214A79">
        <w:br w:type="page"/>
      </w:r>
    </w:p>
    <w:p w14:paraId="150C0531" w14:textId="77777777" w:rsidR="002E69D2" w:rsidRPr="00214A79" w:rsidRDefault="002E69D2" w:rsidP="002E69D2">
      <w:pPr>
        <w:pStyle w:val="HChG"/>
      </w:pPr>
      <w:r>
        <w:rPr>
          <w:bCs/>
        </w:rPr>
        <w:lastRenderedPageBreak/>
        <w:tab/>
        <w:t>I.</w:t>
      </w:r>
      <w:r>
        <w:tab/>
      </w:r>
      <w:r>
        <w:rPr>
          <w:bCs/>
        </w:rPr>
        <w:t>Введение</w:t>
      </w:r>
    </w:p>
    <w:p w14:paraId="092FDD67" w14:textId="618C1668" w:rsidR="002E69D2" w:rsidRPr="00214A79" w:rsidRDefault="002E69D2" w:rsidP="002E69D2">
      <w:pPr>
        <w:pStyle w:val="SingleTxtG"/>
      </w:pPr>
      <w:r>
        <w:t>1.</w:t>
      </w:r>
      <w:r>
        <w:tab/>
        <w:t xml:space="preserve">Сегмент высокого уровня семидесятой сессии Европейской экономической комиссии (ЕЭК) будет посвящен теме «Цифровые и </w:t>
      </w:r>
      <w:r w:rsidR="00DA008E" w:rsidRPr="00DA008E">
        <w:t>“</w:t>
      </w:r>
      <w:r>
        <w:t>зеленые</w:t>
      </w:r>
      <w:r w:rsidR="00DA008E" w:rsidRPr="00DA008E">
        <w:t>”</w:t>
      </w:r>
      <w:r>
        <w:t xml:space="preserve"> трансформации в интересах устойчивого развития в регионе ЕЭК ООН».</w:t>
      </w:r>
    </w:p>
    <w:p w14:paraId="0C4D7F87" w14:textId="77777777" w:rsidR="002E69D2" w:rsidRPr="00214A79" w:rsidRDefault="002E69D2" w:rsidP="002E69D2">
      <w:pPr>
        <w:pStyle w:val="SingleTxtG"/>
      </w:pPr>
      <w:r>
        <w:t>2.</w:t>
      </w:r>
      <w:r>
        <w:tab/>
        <w:t xml:space="preserve">Связанные с этой темой вопросы занимали видное место в работе Комитета по внутреннему транспорту (КВТ) в течение нескольких лет, что привело к появлению большого количества документов высокого уровня, одобренных Комитетом, а также инструментов и информационных продуктов, созданных в рамках подпрограммы по транспорту. </w:t>
      </w:r>
    </w:p>
    <w:p w14:paraId="14221FFC" w14:textId="77777777" w:rsidR="002E69D2" w:rsidRPr="00214A79" w:rsidRDefault="002E69D2" w:rsidP="002E69D2">
      <w:pPr>
        <w:pStyle w:val="SingleTxtG"/>
      </w:pPr>
      <w:r>
        <w:t>3.</w:t>
      </w:r>
      <w:r>
        <w:tab/>
        <w:t>Все четыре основных направления Стратегии Комитета по внутреннему транспорту на период до 2030 года, принятой Комитетом на его восемьдесят второй сессии (ECE/TRANS/288/Add.2), включают в себя элементы, связанные с вышеупомянутыми темами. В числе этих элементов стоит выделить направление Стратегии КВТ как платформы Организации Объединенных Наций для поддержки новых технологий и инноваций во внутреннем транспорте. Для достижения этой цели, в частности, Комитет будет обеспечивать, чтобы при выполнении регулирующих функций учитывались передовые технологии, лежащие в основе транспортных инноваций, особенно в области интеллектуальных транспортных систем, автономных транспортных средств и цифровизации, что позволит повысить безопасность дорожного движения, экологические показатели, энергоэффективность, безопасность внутреннего транспорта и эффективность предоставления услуг в транспортном секторе. Долгосрочный план действий подпрограммы по транспорту включает в себя разработку региональных и глобальных платформ для цифровизации, автоматизированного вождения и интеллектуальных транспортных систем.</w:t>
      </w:r>
    </w:p>
    <w:p w14:paraId="7C31B406" w14:textId="77777777" w:rsidR="002E69D2" w:rsidRPr="00214A79" w:rsidRDefault="002E69D2" w:rsidP="002E69D2">
      <w:pPr>
        <w:pStyle w:val="SingleTxtG"/>
      </w:pPr>
      <w:r>
        <w:t>4.</w:t>
      </w:r>
      <w:r>
        <w:tab/>
        <w:t xml:space="preserve">В настоящем документе подводятся итоги хода работы и достижений Комитета и его рабочих групп в продвижении циклической экономики на региональном и глобальном уровнях в поддержку усилий государств-членов и договаривающихся сторон по созданию более циклических, а значит, устойчивых транспортных систем и/или внедрению соответствующих принципов в планирование транспортной политики и экономическую практику. </w:t>
      </w:r>
    </w:p>
    <w:p w14:paraId="19D45433" w14:textId="77777777" w:rsidR="002E69D2" w:rsidRPr="00214A79" w:rsidRDefault="002E69D2" w:rsidP="002E69D2">
      <w:pPr>
        <w:pStyle w:val="HChG"/>
      </w:pPr>
      <w:r>
        <w:rPr>
          <w:bCs/>
        </w:rPr>
        <w:tab/>
        <w:t>II.</w:t>
      </w:r>
      <w:r>
        <w:tab/>
      </w:r>
      <w:r>
        <w:rPr>
          <w:bCs/>
        </w:rPr>
        <w:t>Документы и достижения ЕЭК в области транспорта, связанные с цифровизацией и «зелеными» трансформациями</w:t>
      </w:r>
    </w:p>
    <w:p w14:paraId="01AEF27C" w14:textId="77777777" w:rsidR="002E69D2" w:rsidRPr="00214A79" w:rsidRDefault="002E69D2" w:rsidP="002E69D2">
      <w:pPr>
        <w:pStyle w:val="SingleTxtG"/>
      </w:pPr>
      <w:r>
        <w:t>5.</w:t>
      </w:r>
      <w:r>
        <w:tab/>
        <w:t xml:space="preserve">В приложении к настоящему документу кратко изложены ключевые аспекты круга ведения Комитета, итоговых документов высокого уровня (министерских резолюций и деклараций) и соответствующих решений. </w:t>
      </w:r>
    </w:p>
    <w:p w14:paraId="2F993D3D" w14:textId="77777777" w:rsidR="002E69D2" w:rsidRPr="00214A79" w:rsidRDefault="002E69D2" w:rsidP="002E69D2">
      <w:pPr>
        <w:pStyle w:val="SingleTxtG"/>
      </w:pPr>
      <w:r>
        <w:t>6.</w:t>
      </w:r>
      <w:r>
        <w:tab/>
        <w:t xml:space="preserve">Перечень достижений Комитета и его вспомогательных органов более полно раскрыт в двух документах Комиссии для ее семидесятой сессии, а именно: </w:t>
      </w:r>
    </w:p>
    <w:p w14:paraId="24CF1DDD" w14:textId="434C51D4" w:rsidR="002E69D2" w:rsidRPr="00214A79" w:rsidRDefault="002E69D2" w:rsidP="002E69D2">
      <w:pPr>
        <w:pStyle w:val="Bullet1G"/>
        <w:numPr>
          <w:ilvl w:val="0"/>
          <w:numId w:val="22"/>
        </w:numPr>
      </w:pPr>
      <w:r>
        <w:t xml:space="preserve">«Цифровые и </w:t>
      </w:r>
      <w:r w:rsidRPr="002E69D2">
        <w:t>“</w:t>
      </w:r>
      <w:r>
        <w:t>зеленые</w:t>
      </w:r>
      <w:r w:rsidRPr="002E69D2">
        <w:t>”</w:t>
      </w:r>
      <w:r>
        <w:t xml:space="preserve"> трансформации в интересах устойчивого развития в регионе Европейской экономической комиссии» (E/ECE/1504) и </w:t>
      </w:r>
    </w:p>
    <w:p w14:paraId="38B96374" w14:textId="77777777" w:rsidR="002E69D2" w:rsidRPr="00214A79" w:rsidRDefault="002E69D2" w:rsidP="002E69D2">
      <w:pPr>
        <w:pStyle w:val="Bullet1G"/>
        <w:numPr>
          <w:ilvl w:val="0"/>
          <w:numId w:val="22"/>
        </w:numPr>
      </w:pPr>
      <w:r>
        <w:t>«Инструментарий Европейской экономической комиссии, связанный с цифровой трансформацией» (E/ECE/1505).</w:t>
      </w:r>
    </w:p>
    <w:p w14:paraId="3B292D83" w14:textId="77777777" w:rsidR="002E69D2" w:rsidRPr="00214A79" w:rsidRDefault="002E69D2" w:rsidP="002E69D2">
      <w:pPr>
        <w:pStyle w:val="HChG"/>
      </w:pPr>
      <w:r>
        <w:rPr>
          <w:bCs/>
        </w:rPr>
        <w:tab/>
        <w:t>III.</w:t>
      </w:r>
      <w:r>
        <w:tab/>
      </w:r>
      <w:r>
        <w:rPr>
          <w:bCs/>
        </w:rPr>
        <w:t>Проекты решений, предлагаемые на рассмотрение Комиссии</w:t>
      </w:r>
    </w:p>
    <w:p w14:paraId="35C3C24C" w14:textId="77777777" w:rsidR="002E69D2" w:rsidRPr="00214A79" w:rsidRDefault="002E69D2" w:rsidP="002E69D2">
      <w:pPr>
        <w:pStyle w:val="SingleTxtG"/>
      </w:pPr>
      <w:r>
        <w:t>7.</w:t>
      </w:r>
      <w:r>
        <w:tab/>
        <w:t xml:space="preserve">Комитету, признающему высокую актуальность и влияние обсуждений в Комиссии по теме цифровых и «зеленых» трансформаций на ее семидесятой сессии для работы Комитета и его вспомогательных органов, </w:t>
      </w:r>
      <w:r>
        <w:rPr>
          <w:b/>
          <w:bCs/>
        </w:rPr>
        <w:t>предлагается рассмотреть</w:t>
      </w:r>
      <w:r>
        <w:t xml:space="preserve"> следующие проекты решений для передачи в Комиссию с целью возможного принятия на ее семидесятой сессии: </w:t>
      </w:r>
    </w:p>
    <w:p w14:paraId="3201B0EE" w14:textId="77777777" w:rsidR="002E69D2" w:rsidRPr="00214A79" w:rsidRDefault="002E69D2" w:rsidP="002E69D2">
      <w:pPr>
        <w:pStyle w:val="SingleTxtG"/>
      </w:pPr>
      <w:r>
        <w:lastRenderedPageBreak/>
        <w:tab/>
        <w:t xml:space="preserve">«Европейской экономической комиссии Организации Объединенных Наций </w:t>
      </w:r>
      <w:r>
        <w:rPr>
          <w:b/>
          <w:bCs/>
        </w:rPr>
        <w:t>предлагается рассмотреть для принятия</w:t>
      </w:r>
      <w:r>
        <w:t xml:space="preserve"> на ее семидесятой сессии следующие решения в поддержку работы Комитета по внутреннему транспорту и его вспомогательных органов в области цифровизации и «зеленых» трансфомаций:</w:t>
      </w:r>
    </w:p>
    <w:p w14:paraId="05ED73B4" w14:textId="61EC13B8" w:rsidR="002E69D2" w:rsidRPr="00214A79" w:rsidRDefault="002E69D2" w:rsidP="002E69D2">
      <w:pPr>
        <w:pStyle w:val="Bullet1G"/>
        <w:numPr>
          <w:ilvl w:val="0"/>
          <w:numId w:val="22"/>
        </w:numPr>
      </w:pPr>
      <w:r>
        <w:rPr>
          <w:b/>
          <w:bCs/>
        </w:rPr>
        <w:t>признать</w:t>
      </w:r>
      <w:r>
        <w:t xml:space="preserve"> важность Конвенции МДП и международной системы eTIR для беспрепятственного, безбумажного и эффективного пересечения границ в международном масштабе, дальнейшего содействия автомобильным/</w:t>
      </w:r>
      <w:r>
        <w:br/>
        <w:t xml:space="preserve">интермодальным перевозкам и торговле и </w:t>
      </w:r>
      <w:r>
        <w:rPr>
          <w:b/>
          <w:bCs/>
        </w:rPr>
        <w:t>просить</w:t>
      </w:r>
      <w:r>
        <w:t xml:space="preserve"> страны, которые еще не подключили свои таможенные системы к международной системе eTIR, сделать это по возможности максимально быстро с оперативной точки зрения; </w:t>
      </w:r>
    </w:p>
    <w:p w14:paraId="017C80AF" w14:textId="77777777" w:rsidR="002E69D2" w:rsidRPr="00214A79" w:rsidRDefault="002E69D2" w:rsidP="002E69D2">
      <w:pPr>
        <w:pStyle w:val="Bullet1G"/>
        <w:numPr>
          <w:ilvl w:val="0"/>
          <w:numId w:val="22"/>
        </w:numPr>
      </w:pPr>
      <w:r>
        <w:rPr>
          <w:b/>
          <w:bCs/>
        </w:rPr>
        <w:t>вновь заявить</w:t>
      </w:r>
      <w:r>
        <w:t xml:space="preserve"> о своей поддержке Конвенции МДП, признавая созданные ею после вступления в силу преимущества для облегчения перевозок и торговли, </w:t>
      </w:r>
      <w:r>
        <w:rPr>
          <w:b/>
          <w:bCs/>
        </w:rPr>
        <w:t>призывая</w:t>
      </w:r>
      <w:r>
        <w:t xml:space="preserve"> к ее дальнейшему географическому расширению и </w:t>
      </w:r>
      <w:r>
        <w:rPr>
          <w:b/>
          <w:bCs/>
        </w:rPr>
        <w:t>предлагая</w:t>
      </w:r>
      <w:r>
        <w:t xml:space="preserve"> государствам — членам ООН из всех регионов стать договаривающимися сторонами Конвенции; </w:t>
      </w:r>
    </w:p>
    <w:p w14:paraId="20616735" w14:textId="77777777" w:rsidR="002E69D2" w:rsidRPr="00214A79" w:rsidRDefault="002E69D2" w:rsidP="002E69D2">
      <w:pPr>
        <w:pStyle w:val="Bullet1G"/>
        <w:numPr>
          <w:ilvl w:val="0"/>
          <w:numId w:val="22"/>
        </w:numPr>
      </w:pPr>
      <w:r>
        <w:rPr>
          <w:b/>
          <w:bCs/>
        </w:rPr>
        <w:t>приветствовать</w:t>
      </w:r>
      <w:r>
        <w:t xml:space="preserve"> усилия секретариата и договаривающихся сторон по введению в действие Протокола eCMR к Конвенции КДПГ и </w:t>
      </w:r>
      <w:r>
        <w:rPr>
          <w:b/>
          <w:bCs/>
        </w:rPr>
        <w:t>предложить</w:t>
      </w:r>
      <w:r>
        <w:t xml:space="preserve"> всем соответствующим сторонам как можно скорее завершить выполнение этой сложной задачи и обеспечить, чтобы будущая система eCMR учитывала потребности всех заинтересованных сторон, участвующих сегодня в текущей</w:t>
      </w:r>
      <w:r w:rsidRPr="00AC3C5F">
        <w:t xml:space="preserve"> </w:t>
      </w:r>
      <w:r>
        <w:t xml:space="preserve">практической деятельности КДПГ, во всех регионах, поскольку это поможет создать устойчивое электронное решение, которое станет продолжением долговременного успеха Конвенции КДПГ и со временем позволит поместить интермодальные перевозки полностью в цифровую среду; </w:t>
      </w:r>
    </w:p>
    <w:p w14:paraId="53C1277B" w14:textId="77777777" w:rsidR="002E69D2" w:rsidRPr="00214A79" w:rsidRDefault="002E69D2" w:rsidP="002E69D2">
      <w:pPr>
        <w:pStyle w:val="Bullet1G"/>
        <w:numPr>
          <w:ilvl w:val="0"/>
          <w:numId w:val="22"/>
        </w:numPr>
      </w:pPr>
      <w:r>
        <w:rPr>
          <w:b/>
          <w:bCs/>
        </w:rPr>
        <w:t>отметить</w:t>
      </w:r>
      <w:r>
        <w:t xml:space="preserve"> развитие Международной обсерватории для мониторинга транспортной инфраструктуры на платформе географических информационных технологий, включая проделанную работу по адаптации транспортной инфраструктуры к изменению климата, </w:t>
      </w:r>
      <w:r>
        <w:rPr>
          <w:b/>
          <w:bCs/>
        </w:rPr>
        <w:t>предложить</w:t>
      </w:r>
      <w:r>
        <w:t xml:space="preserve"> странам начать использовать этот инструмент и воспользоваться его услугами, </w:t>
      </w:r>
      <w:r>
        <w:rPr>
          <w:b/>
          <w:bCs/>
        </w:rPr>
        <w:t>подчеркивая, что</w:t>
      </w:r>
      <w:r>
        <w:t xml:space="preserve"> эта работа является передовой практикой, создающей экономию масштаба и способствующей дальнейшему устойчивому развитию транспортной инфраструктуры;</w:t>
      </w:r>
    </w:p>
    <w:p w14:paraId="34148D1D" w14:textId="77777777" w:rsidR="002E69D2" w:rsidRPr="00214A79" w:rsidRDefault="002E69D2" w:rsidP="002E69D2">
      <w:pPr>
        <w:pStyle w:val="Bullet1G"/>
        <w:numPr>
          <w:ilvl w:val="0"/>
          <w:numId w:val="22"/>
        </w:numPr>
      </w:pPr>
      <w:r>
        <w:rPr>
          <w:b/>
          <w:bCs/>
        </w:rPr>
        <w:t>приветствовать</w:t>
      </w:r>
      <w:r>
        <w:t xml:space="preserve"> создание Всемирным форумом для согласования правил в области транспортных средств КВТ ЕЭК пакета правил ООН, касающихся автоматизации транспортных средств, которые обеспечивают техническую и правовую основу для сертификации автоматизированных систем вождения, позволяющих водителям выполнять определенные задачи, не связанные с вождением, во время их использования на автомагистралях, а также дополнительные нормативные элементы, охватывающие вопросы кибербезопасности или беспроводного обновления программного обеспечения, в результате чего использование этих транспортных средств становится безопасным, надежным и гибким для будущего развития;</w:t>
      </w:r>
    </w:p>
    <w:p w14:paraId="1376513A" w14:textId="77777777" w:rsidR="002E69D2" w:rsidRPr="00214A79" w:rsidRDefault="002E69D2" w:rsidP="002E69D2">
      <w:pPr>
        <w:pStyle w:val="Bullet1G"/>
        <w:numPr>
          <w:ilvl w:val="0"/>
          <w:numId w:val="22"/>
        </w:numPr>
      </w:pPr>
      <w:r>
        <w:rPr>
          <w:b/>
          <w:bCs/>
        </w:rPr>
        <w:t>будучи обеспокоена</w:t>
      </w:r>
      <w:r>
        <w:t xml:space="preserve"> отсутствием прогресса в решении глобального кризиса безопасности дорожного движения, </w:t>
      </w:r>
      <w:r>
        <w:rPr>
          <w:b/>
          <w:bCs/>
        </w:rPr>
        <w:t>приветствовать</w:t>
      </w:r>
      <w:r>
        <w:t xml:space="preserve"> деятельность в рамках Всемирного форума для согласования правил в области транспортных средств КВТ ЕЭК, направленную на установление минимальных технических требований безопасности и охраны окружающей среды для подержанных и новых транспортных средств, предназначенных для рынков стран с низким и средним уровнем дохода, где происходит около 90 процентов ДТП со смертельным исходом в мире;</w:t>
      </w:r>
    </w:p>
    <w:p w14:paraId="3D16E0AF" w14:textId="37CD07BC" w:rsidR="002E69D2" w:rsidRPr="00214A79" w:rsidRDefault="002E69D2" w:rsidP="002E69D2">
      <w:pPr>
        <w:pStyle w:val="Bullet1G"/>
        <w:numPr>
          <w:ilvl w:val="0"/>
          <w:numId w:val="22"/>
        </w:numPr>
      </w:pPr>
      <w:r>
        <w:rPr>
          <w:b/>
          <w:bCs/>
        </w:rPr>
        <w:t>отметить</w:t>
      </w:r>
      <w:r>
        <w:t xml:space="preserve"> текущую работу и результаты регламентирующей деятельности этого органа КВТ ЕЭК ООН в области безопасности, испытания на энергопотребление и углеродной оценки жизненного цикла электромобилей и водородных транспортных средств и </w:t>
      </w:r>
      <w:r>
        <w:rPr>
          <w:b/>
          <w:bCs/>
        </w:rPr>
        <w:t>подчеркнуть, что</w:t>
      </w:r>
      <w:r>
        <w:t xml:space="preserve"> эти инструменты регулирования обеспечивают надежную основу для эффективной декарбонизации автомобильного транспорта;</w:t>
      </w:r>
    </w:p>
    <w:p w14:paraId="31B65F69" w14:textId="77777777" w:rsidR="002E69D2" w:rsidRPr="00214A79" w:rsidRDefault="002E69D2" w:rsidP="002E69D2">
      <w:pPr>
        <w:pStyle w:val="Bullet1G"/>
        <w:numPr>
          <w:ilvl w:val="0"/>
          <w:numId w:val="22"/>
        </w:numPr>
      </w:pPr>
      <w:r>
        <w:rPr>
          <w:b/>
          <w:bCs/>
        </w:rPr>
        <w:lastRenderedPageBreak/>
        <w:t>напомнить</w:t>
      </w:r>
      <w:r>
        <w:t xml:space="preserve"> об использовании инструмента КВТ по моделированию выбросов углерода ForFITS и </w:t>
      </w:r>
      <w:r>
        <w:rPr>
          <w:b/>
          <w:bCs/>
        </w:rPr>
        <w:t>предложить</w:t>
      </w:r>
      <w:r>
        <w:t xml:space="preserve"> странам, регионам или муниципалитетам обратиться с просьбой о моделировании воздействия для различных мер политики, планируемых для снижения выбросов углерода от автомобильного транспорта».</w:t>
      </w:r>
    </w:p>
    <w:p w14:paraId="3C76FDB6" w14:textId="77777777" w:rsidR="002E69D2" w:rsidRDefault="002E69D2" w:rsidP="002E69D2">
      <w:pPr>
        <w:pStyle w:val="HChG"/>
        <w:rPr>
          <w:bCs/>
        </w:rPr>
      </w:pPr>
      <w:r>
        <w:rPr>
          <w:bCs/>
        </w:rPr>
        <w:br w:type="page"/>
      </w:r>
    </w:p>
    <w:p w14:paraId="3BEFFC4B" w14:textId="77777777" w:rsidR="002E69D2" w:rsidRPr="00214A79" w:rsidRDefault="002E69D2" w:rsidP="002E69D2">
      <w:pPr>
        <w:pStyle w:val="HChG"/>
        <w:rPr>
          <w:rFonts w:eastAsiaTheme="minorEastAsia"/>
        </w:rPr>
      </w:pPr>
      <w:r>
        <w:rPr>
          <w:bCs/>
        </w:rPr>
        <w:lastRenderedPageBreak/>
        <w:t>Приложение</w:t>
      </w:r>
      <w:r>
        <w:t xml:space="preserve"> </w:t>
      </w:r>
    </w:p>
    <w:p w14:paraId="00AEA689" w14:textId="5730F957" w:rsidR="002E69D2" w:rsidRPr="00214A79" w:rsidRDefault="002E69D2" w:rsidP="002E69D2">
      <w:pPr>
        <w:pStyle w:val="HChG"/>
        <w:rPr>
          <w:rFonts w:eastAsiaTheme="minorEastAsia"/>
        </w:rPr>
      </w:pPr>
      <w:r>
        <w:tab/>
      </w:r>
      <w:r>
        <w:tab/>
      </w:r>
      <w:r>
        <w:rPr>
          <w:bCs/>
        </w:rPr>
        <w:t xml:space="preserve">Круг ведения Комитета по внутреннему транспорту </w:t>
      </w:r>
      <w:r>
        <w:rPr>
          <w:bCs/>
        </w:rPr>
        <w:br/>
        <w:t xml:space="preserve">и отдельные решения, имеющие отношение </w:t>
      </w:r>
      <w:r>
        <w:rPr>
          <w:bCs/>
        </w:rPr>
        <w:br/>
        <w:t>к семидесятой сессии Европейской экономической комиссии ООН</w:t>
      </w:r>
    </w:p>
    <w:p w14:paraId="47378EB7" w14:textId="75D05163" w:rsidR="002E69D2" w:rsidRPr="00214A79" w:rsidRDefault="002E69D2" w:rsidP="002E69D2">
      <w:pPr>
        <w:pStyle w:val="HChG"/>
        <w:rPr>
          <w:rFonts w:eastAsiaTheme="minorEastAsia"/>
        </w:rPr>
      </w:pPr>
      <w:r>
        <w:rPr>
          <w:bCs/>
        </w:rPr>
        <w:tab/>
        <w:t>I.</w:t>
      </w:r>
      <w:r>
        <w:t xml:space="preserve"> </w:t>
      </w:r>
      <w:r>
        <w:tab/>
      </w:r>
      <w:r>
        <w:rPr>
          <w:bCs/>
        </w:rPr>
        <w:t xml:space="preserve">Круг ведения КВТ (одобрен ЭКОСОС 16 февраля </w:t>
      </w:r>
      <w:r>
        <w:rPr>
          <w:bCs/>
        </w:rPr>
        <w:br/>
        <w:t>2022 года (</w:t>
      </w:r>
      <w:hyperlink r:id="rId8" w:history="1">
        <w:r w:rsidRPr="006F5228">
          <w:rPr>
            <w:rStyle w:val="af1"/>
            <w:bCs/>
          </w:rPr>
          <w:t>E/RES/2022/2</w:t>
        </w:r>
      </w:hyperlink>
      <w:r>
        <w:rPr>
          <w:bCs/>
        </w:rPr>
        <w:t>))</w:t>
      </w:r>
    </w:p>
    <w:p w14:paraId="396ADE1F" w14:textId="77777777" w:rsidR="002E69D2" w:rsidRPr="00214A79" w:rsidRDefault="002E69D2" w:rsidP="002E69D2">
      <w:pPr>
        <w:pStyle w:val="SingleTxtG"/>
        <w:rPr>
          <w:rFonts w:eastAsiaTheme="minorEastAsia"/>
        </w:rPr>
      </w:pPr>
      <w:r>
        <w:t>(...)</w:t>
      </w:r>
    </w:p>
    <w:p w14:paraId="53D80FD2" w14:textId="77777777" w:rsidR="002E69D2" w:rsidRPr="00214A79" w:rsidRDefault="002E69D2" w:rsidP="002E69D2">
      <w:pPr>
        <w:pStyle w:val="SingleTxtG"/>
        <w:ind w:firstLine="567"/>
        <w:rPr>
          <w:rFonts w:eastAsiaTheme="minorEastAsia"/>
        </w:rPr>
      </w:pPr>
      <w:r>
        <w:t xml:space="preserve">g) </w:t>
      </w:r>
      <w:r>
        <w:tab/>
        <w:t>Комитет преследует цель обеспечения устойчивого развития транспорта путем содействия как сокращению негативного воздействия транспорта на окружающую среду, так и использованию экологически безопасных видов транспорта, включая развитие комбинированных перевозок; (...)</w:t>
      </w:r>
    </w:p>
    <w:p w14:paraId="22E3CCD9" w14:textId="77777777" w:rsidR="002E69D2" w:rsidRPr="00214A79" w:rsidRDefault="002E69D2" w:rsidP="002E69D2">
      <w:pPr>
        <w:pStyle w:val="SingleTxtG"/>
        <w:ind w:firstLine="567"/>
        <w:rPr>
          <w:rFonts w:eastAsiaTheme="minorEastAsia"/>
        </w:rPr>
      </w:pPr>
      <w:r>
        <w:t xml:space="preserve">i) </w:t>
      </w:r>
      <w:r>
        <w:tab/>
        <w:t>Он [</w:t>
      </w:r>
      <w:r>
        <w:rPr>
          <w:i/>
          <w:iCs/>
        </w:rPr>
        <w:t>Комитет</w:t>
      </w:r>
      <w:r>
        <w:t>] выступает в роли центра поддержки новых технологий и инноваций на внутреннем транспорте, обеспечивая платформу для рассмотрения проблематики цифровизации, автоматизированного вождения и интеллектуальных транспортных систем;</w:t>
      </w:r>
    </w:p>
    <w:p w14:paraId="18366758" w14:textId="09FB4982" w:rsidR="002E69D2" w:rsidRPr="00214A79" w:rsidRDefault="002E69D2" w:rsidP="002E69D2">
      <w:pPr>
        <w:pStyle w:val="HChG"/>
        <w:rPr>
          <w:rFonts w:eastAsiaTheme="minorEastAsia"/>
        </w:rPr>
      </w:pPr>
      <w:r>
        <w:rPr>
          <w:bCs/>
        </w:rPr>
        <w:tab/>
        <w:t>II.</w:t>
      </w:r>
      <w:r>
        <w:tab/>
      </w:r>
      <w:r>
        <w:rPr>
          <w:bCs/>
        </w:rPr>
        <w:t>Восемьдесят четвертая сессия Комитета по внутреннему транспорту (</w:t>
      </w:r>
      <w:hyperlink r:id="rId9" w:history="1">
        <w:r w:rsidRPr="006F5228">
          <w:rPr>
            <w:rStyle w:val="af1"/>
            <w:bCs/>
          </w:rPr>
          <w:t>ECE/TRANS/316</w:t>
        </w:r>
      </w:hyperlink>
      <w:r>
        <w:rPr>
          <w:bCs/>
        </w:rPr>
        <w:t>)</w:t>
      </w:r>
    </w:p>
    <w:p w14:paraId="7A274B85" w14:textId="17FAA91F" w:rsidR="002E69D2" w:rsidRPr="00214A79" w:rsidRDefault="002E69D2" w:rsidP="002E69D2">
      <w:pPr>
        <w:pStyle w:val="H1G"/>
        <w:rPr>
          <w:rFonts w:eastAsiaTheme="minorEastAsia"/>
        </w:rPr>
      </w:pPr>
      <w:r>
        <w:rPr>
          <w:bCs/>
        </w:rPr>
        <w:tab/>
        <w:t>A.</w:t>
      </w:r>
      <w:r>
        <w:t xml:space="preserve"> </w:t>
      </w:r>
      <w:r>
        <w:tab/>
      </w:r>
      <w:r>
        <w:rPr>
          <w:bCs/>
        </w:rPr>
        <w:t xml:space="preserve">Министерская резолюция «Вступая в десятилетие свершений </w:t>
      </w:r>
      <w:r w:rsidR="00C23B52">
        <w:rPr>
          <w:bCs/>
        </w:rPr>
        <w:br/>
      </w:r>
      <w:r>
        <w:rPr>
          <w:bCs/>
        </w:rPr>
        <w:t>в интересах устойчивого внутреннего транспорта и устойчивого развития» (</w:t>
      </w:r>
      <w:hyperlink r:id="rId10" w:history="1">
        <w:r w:rsidRPr="006F5228">
          <w:rPr>
            <w:rStyle w:val="af1"/>
            <w:bCs/>
          </w:rPr>
          <w:t>ECE/TRANS/316</w:t>
        </w:r>
      </w:hyperlink>
      <w:r>
        <w:rPr>
          <w:bCs/>
        </w:rPr>
        <w:t>, приложение I)</w:t>
      </w:r>
    </w:p>
    <w:p w14:paraId="50892221" w14:textId="77777777" w:rsidR="002E69D2" w:rsidRPr="00214A79" w:rsidRDefault="002E69D2" w:rsidP="002E69D2">
      <w:pPr>
        <w:pStyle w:val="SingleTxtG"/>
        <w:rPr>
          <w:rFonts w:eastAsiaTheme="minorEastAsia"/>
        </w:rPr>
      </w:pPr>
      <w:r>
        <w:t>[Мы, министры и другие главы делегаций (...)] (...)</w:t>
      </w:r>
    </w:p>
    <w:p w14:paraId="37EF2CB9" w14:textId="33A76F3D" w:rsidR="002E69D2" w:rsidRPr="00214A79" w:rsidRDefault="002E69D2" w:rsidP="002E69D2">
      <w:pPr>
        <w:pStyle w:val="SingleTxtG"/>
        <w:rPr>
          <w:rFonts w:eastAsiaTheme="minorEastAsia"/>
        </w:rPr>
      </w:pPr>
      <w:r>
        <w:rPr>
          <w:i/>
          <w:iCs/>
        </w:rPr>
        <w:tab/>
      </w:r>
      <w:r w:rsidRPr="00C71BFF">
        <w:rPr>
          <w:i/>
          <w:iCs/>
        </w:rPr>
        <w:t>высоко оценивая</w:t>
      </w:r>
      <w:r>
        <w:t xml:space="preserve"> роль Комитета по внутреннему транспорту в содействии устойчивым перевозкам грузов и пассажиров на международном, региональном и национальном уровнях, оптимизации </w:t>
      </w:r>
      <w:r w:rsidRPr="002E69D2">
        <w:t>смешанных</w:t>
      </w:r>
      <w:r>
        <w:t xml:space="preserve"> перевозок и поощрении развития общественного транспорта, экологических показателей, энергоэффективности и циклической экономики при одновременном стимулировании улучшений в области надежности и безопасности внутреннего транспорта, а также инфраструктуры для немоторизованного транспорта и эффективного предоставления услуг в транспортном секторе,</w:t>
      </w:r>
    </w:p>
    <w:p w14:paraId="6D937BC9" w14:textId="77777777" w:rsidR="002E69D2" w:rsidRPr="00214A79" w:rsidRDefault="002E69D2" w:rsidP="002E69D2">
      <w:pPr>
        <w:pStyle w:val="SingleTxtG"/>
        <w:ind w:firstLine="567"/>
        <w:rPr>
          <w:rFonts w:eastAsiaTheme="minorEastAsia"/>
        </w:rPr>
      </w:pPr>
      <w:r w:rsidRPr="00C71BFF">
        <w:rPr>
          <w:i/>
          <w:iCs/>
        </w:rPr>
        <w:t>признавая</w:t>
      </w:r>
      <w:r>
        <w:t xml:space="preserve"> ключевую роль Комитета по внутреннему транспорту в улучшении экологических показателей автомобильного транспорта, поддержке энергетического перехода в этом секторе, ускорении перехода к использованию экологически более чистых видов транспорта и решении проблемы роста уязвимости инфраструктуры внутреннего транспорта и мобильности,</w:t>
      </w:r>
    </w:p>
    <w:p w14:paraId="4E00D244" w14:textId="77777777" w:rsidR="002E69D2" w:rsidRPr="00214A79" w:rsidRDefault="002E69D2" w:rsidP="002E69D2">
      <w:pPr>
        <w:pStyle w:val="SingleTxtG"/>
        <w:ind w:firstLine="567"/>
        <w:rPr>
          <w:rFonts w:eastAsiaTheme="minorEastAsia"/>
        </w:rPr>
      </w:pPr>
      <w:r>
        <w:t>[</w:t>
      </w:r>
      <w:r>
        <w:rPr>
          <w:i/>
          <w:iCs/>
        </w:rPr>
        <w:t>постановляем</w:t>
      </w:r>
      <w:r>
        <w:t>: ] (...)</w:t>
      </w:r>
    </w:p>
    <w:p w14:paraId="108F6B79" w14:textId="77777777" w:rsidR="002E69D2" w:rsidRPr="00214A79" w:rsidRDefault="002E69D2" w:rsidP="002E69D2">
      <w:pPr>
        <w:pStyle w:val="SingleTxtG"/>
        <w:ind w:firstLine="567"/>
        <w:rPr>
          <w:rFonts w:eastAsiaTheme="minorEastAsia"/>
        </w:rPr>
      </w:pPr>
      <w:r>
        <w:t xml:space="preserve">b) </w:t>
      </w:r>
      <w:r>
        <w:tab/>
        <w:t>ускорить дальнейшее развитие и регулярное обновление правовых документов Комитета по внутреннему транспорту, с тем чтобы сократить фрагментарность нормативных рамок и повысить их согласованность, актуальность и эффективность с учетом быстро меняющегося стратегического ландшафта путем полноценной интеграции и поощрения технологических изменений на всех видах внутреннего транспорта, особенно в отношении интеллектуальных транспортных систем, автономных и подключенных транспортных средств, автоматизированного вождения и цифровизации транспортной документации и процедур в сфере международных перевозок; (...)</w:t>
      </w:r>
    </w:p>
    <w:p w14:paraId="691AC298" w14:textId="77777777" w:rsidR="002E69D2" w:rsidRPr="00214A79" w:rsidRDefault="002E69D2" w:rsidP="002E69D2">
      <w:pPr>
        <w:pStyle w:val="SingleTxtG"/>
        <w:ind w:firstLine="567"/>
        <w:rPr>
          <w:rFonts w:eastAsiaTheme="minorEastAsia"/>
        </w:rPr>
      </w:pPr>
      <w:r>
        <w:lastRenderedPageBreak/>
        <w:t xml:space="preserve">l) </w:t>
      </w:r>
      <w:r>
        <w:tab/>
        <w:t>задействовать в срочном порядке соответствующие функции Комитета по внутреннему транспорту в области регулирования и выработки рекомендаций по вопросам политики в целях сокращения вредных выбросов и энергопотребления, особенно на автомобильном транспорте, для поощрения интермодальности и согласованных решений в отношении климатических проблем и ухудшения состояния окружающей среды, а также для оптимизации комбинированного использования видов транспорта в ходе пассажирских и грузовых перевозок, с тем чтобы повысить вклад сектора внутреннего транспорта в реализацию целей и задач Рамочной конвенции Организации Объединенных Наций об изменении климата и Парижского соглашения, уделяя при этом особое внимание потребностям малых островных развивающихся государств, наименее развитых стран и развивающихся стран, не имеющих выхода к морю, для достижения их целей в области устойчивых транспортных систем с низким уровнем выбросов; (...)</w:t>
      </w:r>
    </w:p>
    <w:p w14:paraId="42A81F8E" w14:textId="77777777" w:rsidR="002E69D2" w:rsidRPr="00214A79" w:rsidRDefault="002E69D2" w:rsidP="002E69D2">
      <w:pPr>
        <w:pStyle w:val="SingleTxtG"/>
        <w:ind w:firstLine="567"/>
        <w:rPr>
          <w:rFonts w:eastAsiaTheme="minorEastAsia"/>
        </w:rPr>
      </w:pPr>
      <w:r>
        <w:t xml:space="preserve">n) </w:t>
      </w:r>
      <w:r>
        <w:tab/>
        <w:t xml:space="preserve">укрепить нормативные рамки для устойчивых интермодальных перевозок путем поощрения правовых и политических решений в области железнодорожного, внутреннего водного и интермодального транспорта и логистики с целью снижения воздействия транспорта на окружающую среду, расширения доступности и повышения эффективности; </w:t>
      </w:r>
    </w:p>
    <w:p w14:paraId="46CF585D" w14:textId="77777777" w:rsidR="002E69D2" w:rsidRPr="00214A79" w:rsidRDefault="002E69D2" w:rsidP="002E69D2">
      <w:pPr>
        <w:pStyle w:val="SingleTxtG"/>
        <w:ind w:firstLine="567"/>
        <w:rPr>
          <w:rFonts w:eastAsiaTheme="minorEastAsia"/>
        </w:rPr>
      </w:pPr>
      <w:r>
        <w:t xml:space="preserve">o) </w:t>
      </w:r>
      <w:r>
        <w:tab/>
        <w:t>укрепить также межсекторальную деятельность в рамках правовых документов Комитета по внутреннему транспорту и с другими отраслевыми комитетами Европейской экономической комиссии для дальнейшего развития практических результатов работы в поддержку циклической экономики в соответствии с решениями, принятыми на шестьдесят девятой сессии Европейской экономической комиссии, обращая особое внимание на то, что цикличность является важнейшим вопросом, приобретающим все большее значение, в отношении которого новые или обновленные правовые документы могли бы принести значительную пользу;</w:t>
      </w:r>
    </w:p>
    <w:p w14:paraId="1B7DB018" w14:textId="1C1996EC" w:rsidR="002E69D2" w:rsidRPr="00214A79" w:rsidRDefault="002E69D2" w:rsidP="002E69D2">
      <w:pPr>
        <w:pStyle w:val="H1G"/>
        <w:rPr>
          <w:rFonts w:eastAsiaTheme="minorEastAsia"/>
        </w:rPr>
      </w:pPr>
      <w:r>
        <w:rPr>
          <w:bCs/>
        </w:rPr>
        <w:tab/>
        <w:t>B.</w:t>
      </w:r>
      <w:r>
        <w:t xml:space="preserve"> </w:t>
      </w:r>
      <w:r>
        <w:tab/>
      </w:r>
      <w:r>
        <w:rPr>
          <w:bCs/>
        </w:rPr>
        <w:t>Решения Комитета по внутреннему транспорту (</w:t>
      </w:r>
      <w:hyperlink r:id="rId11" w:history="1">
        <w:r w:rsidRPr="00C23B52">
          <w:rPr>
            <w:rStyle w:val="af1"/>
            <w:bCs/>
          </w:rPr>
          <w:t>ECE/TRANS/316</w:t>
        </w:r>
      </w:hyperlink>
      <w:r>
        <w:rPr>
          <w:bCs/>
        </w:rPr>
        <w:t>)</w:t>
      </w:r>
    </w:p>
    <w:p w14:paraId="3FD9470F" w14:textId="77777777" w:rsidR="002E69D2" w:rsidRPr="00214A79" w:rsidRDefault="002E69D2" w:rsidP="002E69D2">
      <w:pPr>
        <w:pStyle w:val="SingleTxtG"/>
        <w:rPr>
          <w:rFonts w:eastAsiaTheme="minorEastAsia"/>
        </w:rPr>
      </w:pPr>
      <w:r>
        <w:t xml:space="preserve">12. </w:t>
      </w:r>
      <w:r>
        <w:tab/>
        <w:t xml:space="preserve">Комитет </w:t>
      </w:r>
      <w:r>
        <w:rPr>
          <w:b/>
          <w:bCs/>
        </w:rPr>
        <w:t>приветствовал и одобрил</w:t>
      </w:r>
      <w:r>
        <w:t xml:space="preserve"> резолюцию КВТ «Вступая в десятилетие свершений в интересах устойчивого внутреннего транспорта и устойчивого развития»</w:t>
      </w:r>
      <w:r w:rsidRPr="00C71BFF">
        <w:rPr>
          <w:rFonts w:eastAsiaTheme="minorEastAsia"/>
          <w:lang w:eastAsia="zh-CN"/>
        </w:rPr>
        <w:t xml:space="preserve"> (…). </w:t>
      </w:r>
      <w:r>
        <w:t xml:space="preserve"> </w:t>
      </w:r>
    </w:p>
    <w:p w14:paraId="0D87E916" w14:textId="77777777" w:rsidR="002E69D2" w:rsidRPr="00214A79" w:rsidRDefault="002E69D2" w:rsidP="002E69D2">
      <w:pPr>
        <w:pStyle w:val="SingleTxtG"/>
        <w:rPr>
          <w:rFonts w:eastAsiaTheme="minorEastAsia"/>
        </w:rPr>
      </w:pPr>
      <w:r>
        <w:t xml:space="preserve">16. </w:t>
      </w:r>
      <w:r>
        <w:tab/>
        <w:t xml:space="preserve">Комитет </w:t>
      </w:r>
      <w:r>
        <w:rPr>
          <w:b/>
          <w:bCs/>
        </w:rPr>
        <w:t>был также проинформирован</w:t>
      </w:r>
      <w:r>
        <w:t xml:space="preserve"> секретариатом по актуальным вопросам, вытекающим из деятельности Комиссии и представляющим интерес для Комитета, в том числе о следующем:  </w:t>
      </w:r>
    </w:p>
    <w:p w14:paraId="3205B447" w14:textId="77777777" w:rsidR="002E69D2" w:rsidRPr="00214A79" w:rsidRDefault="002E69D2" w:rsidP="002E69D2">
      <w:pPr>
        <w:pStyle w:val="SingleTxtG"/>
        <w:ind w:firstLine="567"/>
        <w:rPr>
          <w:rFonts w:eastAsiaTheme="minorEastAsia"/>
        </w:rPr>
      </w:pPr>
      <w:r>
        <w:t xml:space="preserve">a) </w:t>
      </w:r>
      <w:r>
        <w:tab/>
        <w:t xml:space="preserve">относящиеся к деятельности Комиссии решения по укреплению работы секторальных комитетов в области циклической экономики; и </w:t>
      </w:r>
    </w:p>
    <w:p w14:paraId="1FE1E5FB" w14:textId="7D7E09EC" w:rsidR="002E69D2" w:rsidRPr="00214A79" w:rsidRDefault="002E69D2" w:rsidP="002E69D2">
      <w:pPr>
        <w:pStyle w:val="SingleTxtG"/>
        <w:ind w:firstLine="567"/>
        <w:rPr>
          <w:rFonts w:eastAsiaTheme="minorEastAsia"/>
        </w:rPr>
      </w:pPr>
      <w:r>
        <w:t xml:space="preserve">b) </w:t>
      </w:r>
      <w:r>
        <w:tab/>
        <w:t>дальнейшее развитие общих для ЕЭК тем, т.</w:t>
      </w:r>
      <w:r w:rsidR="00C23B52">
        <w:rPr>
          <w:lang w:val="en-US"/>
        </w:rPr>
        <w:t> </w:t>
      </w:r>
      <w:r>
        <w:t>е. направлений межсекторальной (горизонтальной) координации в ЕЭК в рамках согласования работы ЕЭК с Целями устойчивого развития.</w:t>
      </w:r>
    </w:p>
    <w:p w14:paraId="38408E06" w14:textId="77777777" w:rsidR="002E69D2" w:rsidRPr="00214A79" w:rsidRDefault="002E69D2" w:rsidP="002E69D2">
      <w:pPr>
        <w:pStyle w:val="SingleTxtG"/>
        <w:rPr>
          <w:rFonts w:eastAsiaTheme="minorEastAsia"/>
        </w:rPr>
      </w:pPr>
      <w:r>
        <w:t xml:space="preserve">17. </w:t>
      </w:r>
      <w:r>
        <w:tab/>
        <w:t xml:space="preserve">Комитет </w:t>
      </w:r>
      <w:r>
        <w:rPr>
          <w:b/>
          <w:bCs/>
        </w:rPr>
        <w:t>приветствовал</w:t>
      </w:r>
      <w:r>
        <w:t xml:space="preserve"> связанные с Комиссией решения по активизации работы секторальных комитетов в области циклической экономики и </w:t>
      </w:r>
      <w:r>
        <w:rPr>
          <w:b/>
          <w:bCs/>
        </w:rPr>
        <w:t>предложил</w:t>
      </w:r>
      <w:r>
        <w:t xml:space="preserve"> своим рабочим группам укреплять и расширять по мере необходимости свою деятельность по конкретным аспектам, касающимся циклической экономики в транспортной отрасли. (...)</w:t>
      </w:r>
    </w:p>
    <w:p w14:paraId="1F954CBB" w14:textId="77777777" w:rsidR="002E69D2" w:rsidRPr="00214A79" w:rsidRDefault="002E69D2" w:rsidP="002E69D2">
      <w:pPr>
        <w:pStyle w:val="SingleTxtG"/>
        <w:rPr>
          <w:rFonts w:eastAsiaTheme="minorEastAsia"/>
        </w:rPr>
      </w:pPr>
      <w:r>
        <w:t xml:space="preserve">27.  </w:t>
      </w:r>
      <w:r>
        <w:tab/>
        <w:t xml:space="preserve">Комитет </w:t>
      </w:r>
      <w:r>
        <w:rPr>
          <w:b/>
          <w:bCs/>
        </w:rPr>
        <w:t xml:space="preserve">утвердил </w:t>
      </w:r>
      <w:r>
        <w:t>также пересмотренный круг ведения Рабочей группы по внутреннему водному транспорту (SC.3), содержащийся в приложении III к документу ECE/TRANS/2022/6</w:t>
      </w:r>
      <w:r w:rsidRPr="002E69D2">
        <w:rPr>
          <w:rFonts w:eastAsiaTheme="minorEastAsia"/>
          <w:sz w:val="18"/>
          <w:szCs w:val="18"/>
          <w:vertAlign w:val="superscript"/>
          <w:lang w:eastAsia="zh-CN"/>
        </w:rPr>
        <w:footnoteReference w:id="2"/>
      </w:r>
      <w:r>
        <w:t>, в соответствии с просьбой SC.3 (ECE/TRANS/SC.3/215).</w:t>
      </w:r>
    </w:p>
    <w:p w14:paraId="3DAD5F86" w14:textId="77777777" w:rsidR="002E69D2" w:rsidRPr="00214A79" w:rsidRDefault="002E69D2" w:rsidP="002E69D2">
      <w:pPr>
        <w:pStyle w:val="SingleTxtG"/>
        <w:keepNext/>
        <w:keepLines/>
        <w:rPr>
          <w:rFonts w:eastAsiaTheme="minorEastAsia"/>
        </w:rPr>
      </w:pPr>
      <w:r>
        <w:lastRenderedPageBreak/>
        <w:t xml:space="preserve">28. </w:t>
      </w:r>
      <w:r>
        <w:tab/>
        <w:t xml:space="preserve">Комитет </w:t>
      </w:r>
      <w:r>
        <w:rPr>
          <w:b/>
          <w:bCs/>
        </w:rPr>
        <w:t>одобрил</w:t>
      </w:r>
      <w:r>
        <w:t xml:space="preserve"> создание новой Группы экспертов по введению в действие процедуры e-CMR на двухлетний период на основе круга ведения, содержащегося в приложении IV к документу ECE/TRANS/2022/6, в соответствии с просьбой SC.1 (ECE/TRANS/SC.1/416). (...)</w:t>
      </w:r>
    </w:p>
    <w:p w14:paraId="3F367D5C" w14:textId="77777777" w:rsidR="002E69D2" w:rsidRPr="00214A79" w:rsidRDefault="002E69D2" w:rsidP="002E69D2">
      <w:pPr>
        <w:pStyle w:val="SingleTxtG"/>
        <w:rPr>
          <w:rFonts w:eastAsiaTheme="minorEastAsia"/>
        </w:rPr>
      </w:pPr>
      <w:r>
        <w:t xml:space="preserve">47. </w:t>
      </w:r>
      <w:r>
        <w:tab/>
        <w:t xml:space="preserve">Комитет </w:t>
      </w:r>
      <w:r>
        <w:rPr>
          <w:b/>
          <w:bCs/>
        </w:rPr>
        <w:t>поручил</w:t>
      </w:r>
      <w:r>
        <w:t xml:space="preserve"> секретариату в тесном сотрудничестве с Бюро подготовить к следующей сессии Комитета обзор текущей деятельности в области технологий информации и компьютеризации и интеллектуальных транспортных систем, осуществляемой рабочими группами КВТ, и увязать его при необходимости с центральной темой семидесятой сессии ЕЭК в 2023 году, которая будет посвящена теме «Цифровые и “зеленыe” трансформации в интересах устойчивого развития в регионе ЕЭК ООН».</w:t>
      </w:r>
    </w:p>
    <w:p w14:paraId="2873F88E" w14:textId="3C6446FE" w:rsidR="002E69D2" w:rsidRPr="00214A79" w:rsidRDefault="002E69D2" w:rsidP="002E69D2">
      <w:pPr>
        <w:pStyle w:val="HChG"/>
        <w:rPr>
          <w:rFonts w:eastAsiaTheme="minorEastAsia"/>
        </w:rPr>
      </w:pPr>
      <w:r>
        <w:rPr>
          <w:bCs/>
        </w:rPr>
        <w:tab/>
        <w:t>III.</w:t>
      </w:r>
      <w:r>
        <w:t xml:space="preserve"> </w:t>
      </w:r>
      <w:r>
        <w:tab/>
      </w:r>
      <w:r>
        <w:rPr>
          <w:bCs/>
        </w:rPr>
        <w:t>Восемьдесят третья сессия Комитета по внутреннему транспорту (</w:t>
      </w:r>
      <w:hyperlink r:id="rId12" w:history="1">
        <w:r w:rsidRPr="00C23B52">
          <w:rPr>
            <w:rStyle w:val="af1"/>
            <w:bCs/>
          </w:rPr>
          <w:t>ECE/TRANS/304</w:t>
        </w:r>
      </w:hyperlink>
      <w:r>
        <w:rPr>
          <w:bCs/>
        </w:rPr>
        <w:t>)</w:t>
      </w:r>
    </w:p>
    <w:p w14:paraId="04133A07" w14:textId="654D2825" w:rsidR="002E69D2" w:rsidRPr="00214A79" w:rsidRDefault="002E69D2" w:rsidP="002E69D2">
      <w:pPr>
        <w:pStyle w:val="H1G"/>
        <w:rPr>
          <w:rFonts w:eastAsiaTheme="minorEastAsia"/>
        </w:rPr>
      </w:pPr>
      <w:r>
        <w:rPr>
          <w:bCs/>
        </w:rPr>
        <w:tab/>
        <w:t>A.</w:t>
      </w:r>
      <w:r>
        <w:t xml:space="preserve"> </w:t>
      </w:r>
      <w:r>
        <w:tab/>
      </w:r>
      <w:r>
        <w:rPr>
          <w:bCs/>
        </w:rPr>
        <w:t>Министерская резолюция «Укрепление надежной связанности внутреннего транспорта в чрезвычайных ситуациях: настоятельный призыв к согласованным действиям» (</w:t>
      </w:r>
      <w:hyperlink r:id="rId13" w:history="1">
        <w:r w:rsidRPr="00C23B52">
          <w:rPr>
            <w:rStyle w:val="af1"/>
            <w:bCs/>
          </w:rPr>
          <w:t>ECE/TRANS/304</w:t>
        </w:r>
      </w:hyperlink>
      <w:r>
        <w:rPr>
          <w:bCs/>
        </w:rPr>
        <w:t>, приложение I)</w:t>
      </w:r>
    </w:p>
    <w:p w14:paraId="70A5DB3B" w14:textId="77777777" w:rsidR="002E69D2" w:rsidRPr="00214A79" w:rsidRDefault="002E69D2" w:rsidP="002E69D2">
      <w:pPr>
        <w:pStyle w:val="SingleTxtG"/>
        <w:rPr>
          <w:rFonts w:eastAsiaTheme="minorEastAsia"/>
        </w:rPr>
      </w:pPr>
      <w:r>
        <w:t>[Мы, министры и другие главы делегаций (...)] (...)</w:t>
      </w:r>
    </w:p>
    <w:p w14:paraId="25D86B95" w14:textId="77777777" w:rsidR="002E69D2" w:rsidRPr="00214A79" w:rsidRDefault="002E69D2" w:rsidP="002E69D2">
      <w:pPr>
        <w:pStyle w:val="SingleTxtG"/>
        <w:ind w:firstLine="567"/>
        <w:rPr>
          <w:rFonts w:eastAsiaTheme="minorEastAsia"/>
        </w:rPr>
      </w:pPr>
      <w:r w:rsidRPr="00C71BFF">
        <w:rPr>
          <w:i/>
          <w:iCs/>
        </w:rPr>
        <w:t>учитывая</w:t>
      </w:r>
      <w:r>
        <w:t>, что новые технологии в области цифровизации, автоматизации и интеллектуальных транспортных систем могут расширить вышеупомянутые возможности и способствовать глобальным усилиям по быстрому и устойчивому восстановлению, (...)</w:t>
      </w:r>
    </w:p>
    <w:p w14:paraId="7AA4046C" w14:textId="77777777" w:rsidR="002E69D2" w:rsidRPr="00214A79" w:rsidRDefault="002E69D2" w:rsidP="002E69D2">
      <w:pPr>
        <w:pStyle w:val="SingleTxtG"/>
        <w:ind w:firstLine="567"/>
        <w:rPr>
          <w:rFonts w:eastAsiaTheme="minorEastAsia"/>
        </w:rPr>
      </w:pPr>
      <w:r>
        <w:t>[постановляем] (...)</w:t>
      </w:r>
    </w:p>
    <w:p w14:paraId="014AA683" w14:textId="77777777" w:rsidR="002E69D2" w:rsidRPr="00214A79" w:rsidRDefault="002E69D2" w:rsidP="002E69D2">
      <w:pPr>
        <w:pStyle w:val="SingleTxtG"/>
        <w:ind w:firstLine="567"/>
        <w:rPr>
          <w:rFonts w:eastAsiaTheme="minorEastAsia"/>
        </w:rPr>
      </w:pPr>
      <w:r>
        <w:t xml:space="preserve">c) </w:t>
      </w:r>
      <w:r>
        <w:tab/>
        <w:t>содействовать — в качестве мер реагирования на эпидемиологические вспышки — внедрению цифровых технических и технологических решений на транспорте, включая дальнейшую цифровизацию правовых документов Организации Объединенных Наций по вопросам транспорта, в частности правовых документов, касающихся упрощения процедур перевозок и ведения безбумажной торговли;</w:t>
      </w:r>
    </w:p>
    <w:p w14:paraId="27E2AC0F" w14:textId="37777629" w:rsidR="002E69D2" w:rsidRPr="00214A79" w:rsidRDefault="002E69D2" w:rsidP="002E69D2">
      <w:pPr>
        <w:pStyle w:val="H1G"/>
        <w:rPr>
          <w:rFonts w:eastAsiaTheme="minorEastAsia"/>
        </w:rPr>
      </w:pPr>
      <w:r>
        <w:rPr>
          <w:bCs/>
        </w:rPr>
        <w:tab/>
        <w:t>B.</w:t>
      </w:r>
      <w:r>
        <w:t xml:space="preserve"> </w:t>
      </w:r>
      <w:r>
        <w:tab/>
      </w:r>
      <w:r>
        <w:rPr>
          <w:bCs/>
        </w:rPr>
        <w:t>Решения Комитета по внутреннему транспорту (</w:t>
      </w:r>
      <w:hyperlink r:id="rId14" w:history="1">
        <w:r w:rsidRPr="00C23B52">
          <w:rPr>
            <w:rStyle w:val="af1"/>
            <w:bCs/>
          </w:rPr>
          <w:t>ECE/TRANS/304</w:t>
        </w:r>
      </w:hyperlink>
      <w:r>
        <w:rPr>
          <w:bCs/>
        </w:rPr>
        <w:t>)</w:t>
      </w:r>
    </w:p>
    <w:p w14:paraId="3DEF8555" w14:textId="77777777" w:rsidR="002E69D2" w:rsidRPr="00214A79" w:rsidRDefault="002E69D2" w:rsidP="002E69D2">
      <w:pPr>
        <w:pStyle w:val="SingleTxtG"/>
        <w:rPr>
          <w:rFonts w:eastAsiaTheme="minorEastAsia"/>
        </w:rPr>
      </w:pPr>
      <w:r>
        <w:t xml:space="preserve">13. </w:t>
      </w:r>
      <w:r>
        <w:tab/>
        <w:t xml:space="preserve">Комитет </w:t>
      </w:r>
      <w:r>
        <w:rPr>
          <w:b/>
          <w:bCs/>
        </w:rPr>
        <w:t>приветствовал и одобрил</w:t>
      </w:r>
      <w:r>
        <w:t xml:space="preserve"> резолюцию КВТ «Укрепление надежной связанности внутреннего транспорта в чрезвычайных ситуациях: настоятельный призыв  к согласованным действиям» (...).</w:t>
      </w:r>
    </w:p>
    <w:p w14:paraId="28DAD09B" w14:textId="77777777" w:rsidR="002E69D2" w:rsidRPr="00214A79" w:rsidRDefault="002E69D2" w:rsidP="002E69D2">
      <w:pPr>
        <w:pStyle w:val="SingleTxtG"/>
        <w:rPr>
          <w:rFonts w:eastAsiaTheme="minorEastAsia"/>
        </w:rPr>
      </w:pPr>
      <w:r>
        <w:t>26.</w:t>
      </w:r>
      <w:r>
        <w:tab/>
        <w:t xml:space="preserve">Комитет </w:t>
      </w:r>
      <w:r>
        <w:rPr>
          <w:b/>
          <w:bCs/>
        </w:rPr>
        <w:t>одобрил</w:t>
      </w:r>
      <w:r>
        <w:t xml:space="preserve"> учреждение новой группы экспертов, которой поручено подготовить проект нового правового документа об использовании автоматизированных транспортных средств в дорожном движении, на основе ее круга ведения, содержащегося в документе ECE/TRANS/2021/6, приложение III (…).</w:t>
      </w:r>
    </w:p>
    <w:p w14:paraId="6D818773" w14:textId="14F2E2F3" w:rsidR="002E69D2" w:rsidRPr="00214A79" w:rsidRDefault="002E69D2" w:rsidP="002E69D2">
      <w:pPr>
        <w:pStyle w:val="SingleTxtG"/>
        <w:rPr>
          <w:rFonts w:eastAsiaTheme="minorEastAsia"/>
        </w:rPr>
      </w:pPr>
      <w:r>
        <w:t xml:space="preserve">117. </w:t>
      </w:r>
      <w:r>
        <w:tab/>
        <w:t xml:space="preserve">Комитет </w:t>
      </w:r>
      <w:r>
        <w:rPr>
          <w:b/>
          <w:bCs/>
        </w:rPr>
        <w:t>принял к сведению</w:t>
      </w:r>
      <w:r>
        <w:t xml:space="preserve"> а) основные выводы рабочего совещания по Целям устойчивого развития и способам их достижения на внутренних водных путях, которое состоялось 12 февраля 2020 года в ходе пятьдесят шестой сессии SC.3/WP.3; b) итоги рабочего совещания на тему «Циклическая экономика на внутреннем водном транспорте», которое состоялось в ходе шестьдесят четвертой сессии SC.3; а также с)</w:t>
      </w:r>
      <w:r>
        <w:rPr>
          <w:lang w:val="en-US"/>
        </w:rPr>
        <w:t> </w:t>
      </w:r>
      <w:r>
        <w:t>прогресс в области автоматизированного и «умного» судоходства на внутренних водных путях.</w:t>
      </w:r>
    </w:p>
    <w:p w14:paraId="1D362903" w14:textId="77777777" w:rsidR="002E69D2" w:rsidRPr="00214A79" w:rsidRDefault="002E69D2" w:rsidP="002E69D2">
      <w:pPr>
        <w:pStyle w:val="SingleTxtG"/>
        <w:rPr>
          <w:rFonts w:eastAsiaTheme="minorEastAsia"/>
        </w:rPr>
      </w:pPr>
      <w:r>
        <w:t xml:space="preserve">119. </w:t>
      </w:r>
      <w:r>
        <w:tab/>
        <w:t xml:space="preserve">Комитет </w:t>
      </w:r>
      <w:r>
        <w:rPr>
          <w:b/>
          <w:bCs/>
        </w:rPr>
        <w:t>принял к сведению</w:t>
      </w:r>
      <w:r>
        <w:t xml:space="preserve"> прогресс, достигнутый SC.3 и ее вспомогательными органами, </w:t>
      </w:r>
      <w:r>
        <w:rPr>
          <w:b/>
          <w:bCs/>
        </w:rPr>
        <w:t>выразил поддержку</w:t>
      </w:r>
      <w:r>
        <w:t xml:space="preserve"> деятельности секретариата в области создания циклической экономики на внутреннем водном транспорте и </w:t>
      </w:r>
      <w:r>
        <w:rPr>
          <w:b/>
          <w:bCs/>
        </w:rPr>
        <w:t>призвал</w:t>
      </w:r>
      <w:r>
        <w:t xml:space="preserve"> другие рабочие группы действовать аналогичным образом.</w:t>
      </w:r>
    </w:p>
    <w:p w14:paraId="41D010A9" w14:textId="7D487968" w:rsidR="002E69D2" w:rsidRPr="00214A79" w:rsidRDefault="002E69D2" w:rsidP="002E69D2">
      <w:pPr>
        <w:pStyle w:val="HChG"/>
        <w:rPr>
          <w:rFonts w:eastAsiaTheme="minorEastAsia"/>
        </w:rPr>
      </w:pPr>
      <w:r>
        <w:rPr>
          <w:bCs/>
        </w:rPr>
        <w:lastRenderedPageBreak/>
        <w:tab/>
        <w:t>IV.</w:t>
      </w:r>
      <w:r>
        <w:t xml:space="preserve"> </w:t>
      </w:r>
      <w:r>
        <w:tab/>
      </w:r>
      <w:r>
        <w:rPr>
          <w:bCs/>
        </w:rPr>
        <w:t>Восемьдесят вторая сессия Комитета по внутреннему транспорту —</w:t>
      </w:r>
      <w:r>
        <w:t xml:space="preserve"> Декларация министров «Совершенствование подходов в области устойчивого внутреннего транспорта с учетом глобальных климатических и экологических вызовов: единый призыв к действиям» (</w:t>
      </w:r>
      <w:hyperlink r:id="rId15" w:history="1">
        <w:r w:rsidRPr="00C23B52">
          <w:rPr>
            <w:rStyle w:val="af1"/>
          </w:rPr>
          <w:t>ECE/TRANS/294</w:t>
        </w:r>
      </w:hyperlink>
      <w:r>
        <w:t>, приложение I)</w:t>
      </w:r>
    </w:p>
    <w:p w14:paraId="661C028D" w14:textId="2FE0C7DF" w:rsidR="002E69D2" w:rsidRPr="00214A79" w:rsidRDefault="002E69D2" w:rsidP="002E69D2">
      <w:pPr>
        <w:pStyle w:val="HChG"/>
        <w:rPr>
          <w:rFonts w:eastAsiaTheme="minorEastAsia"/>
        </w:rPr>
      </w:pPr>
      <w:r>
        <w:rPr>
          <w:bCs/>
        </w:rPr>
        <w:tab/>
        <w:t>V.</w:t>
      </w:r>
      <w:r>
        <w:t xml:space="preserve"> </w:t>
      </w:r>
      <w:r>
        <w:tab/>
      </w:r>
      <w:r>
        <w:rPr>
          <w:bCs/>
        </w:rPr>
        <w:t>Восемьдесят первая сессия Комитета по внутреннему транспорту —</w:t>
      </w:r>
      <w:r>
        <w:t xml:space="preserve"> </w:t>
      </w:r>
      <w:r>
        <w:rPr>
          <w:bCs/>
        </w:rPr>
        <w:t>Резолюция министров «Укрепление сотрудничества, согласования и интеграции в эпоху цифровизации и автоматизации на транспорте» (</w:t>
      </w:r>
      <w:hyperlink r:id="rId16" w:history="1">
        <w:r w:rsidRPr="00C23B52">
          <w:rPr>
            <w:rStyle w:val="af1"/>
            <w:bCs/>
          </w:rPr>
          <w:t>ECE/TRANS/288</w:t>
        </w:r>
      </w:hyperlink>
      <w:r>
        <w:rPr>
          <w:bCs/>
        </w:rPr>
        <w:t>, приложение I).</w:t>
      </w:r>
    </w:p>
    <w:p w14:paraId="5B9ACF49" w14:textId="77777777" w:rsidR="002E69D2" w:rsidRPr="00214A79" w:rsidRDefault="002E69D2" w:rsidP="002E69D2">
      <w:pPr>
        <w:spacing w:before="240"/>
        <w:jc w:val="center"/>
        <w:rPr>
          <w:u w:val="single"/>
        </w:rPr>
      </w:pPr>
      <w:r w:rsidRPr="00214A79">
        <w:rPr>
          <w:u w:val="single"/>
        </w:rPr>
        <w:tab/>
      </w:r>
      <w:r w:rsidRPr="00214A79">
        <w:rPr>
          <w:u w:val="single"/>
        </w:rPr>
        <w:tab/>
      </w:r>
      <w:r w:rsidRPr="00214A79">
        <w:rPr>
          <w:u w:val="single"/>
        </w:rPr>
        <w:tab/>
      </w:r>
    </w:p>
    <w:p w14:paraId="69AB626A" w14:textId="77777777" w:rsidR="00E12C5F" w:rsidRPr="008D53B6" w:rsidRDefault="00E12C5F" w:rsidP="00D9145B"/>
    <w:sectPr w:rsidR="00E12C5F" w:rsidRPr="008D53B6" w:rsidSect="002E69D2">
      <w:headerReference w:type="even" r:id="rId17"/>
      <w:headerReference w:type="default" r:id="rId18"/>
      <w:footerReference w:type="even" r:id="rId19"/>
      <w:footerReference w:type="default" r:id="rId20"/>
      <w:footerReference w:type="first" r:id="rId21"/>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891E7" w14:textId="77777777" w:rsidR="00340037" w:rsidRPr="00A312BC" w:rsidRDefault="00340037" w:rsidP="00A312BC"/>
  </w:endnote>
  <w:endnote w:type="continuationSeparator" w:id="0">
    <w:p w14:paraId="1CA8C864" w14:textId="77777777" w:rsidR="00340037" w:rsidRPr="00A312BC" w:rsidRDefault="00340037"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3C825" w14:textId="025BC07B" w:rsidR="002E69D2" w:rsidRPr="002E69D2" w:rsidRDefault="002E69D2">
    <w:pPr>
      <w:pStyle w:val="a8"/>
    </w:pPr>
    <w:r w:rsidRPr="002E69D2">
      <w:rPr>
        <w:b/>
        <w:sz w:val="18"/>
      </w:rPr>
      <w:fldChar w:fldCharType="begin"/>
    </w:r>
    <w:r w:rsidRPr="002E69D2">
      <w:rPr>
        <w:b/>
        <w:sz w:val="18"/>
      </w:rPr>
      <w:instrText xml:space="preserve"> PAGE  \* MERGEFORMAT </w:instrText>
    </w:r>
    <w:r w:rsidRPr="002E69D2">
      <w:rPr>
        <w:b/>
        <w:sz w:val="18"/>
      </w:rPr>
      <w:fldChar w:fldCharType="separate"/>
    </w:r>
    <w:r w:rsidRPr="002E69D2">
      <w:rPr>
        <w:b/>
        <w:noProof/>
        <w:sz w:val="18"/>
      </w:rPr>
      <w:t>2</w:t>
    </w:r>
    <w:r w:rsidRPr="002E69D2">
      <w:rPr>
        <w:b/>
        <w:sz w:val="18"/>
      </w:rPr>
      <w:fldChar w:fldCharType="end"/>
    </w:r>
    <w:r>
      <w:rPr>
        <w:b/>
        <w:sz w:val="18"/>
      </w:rPr>
      <w:tab/>
    </w:r>
    <w:r>
      <w:t>GE.22-29100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7D5B9" w14:textId="69FE5A35" w:rsidR="002E69D2" w:rsidRPr="002E69D2" w:rsidRDefault="002E69D2" w:rsidP="002E69D2">
    <w:pPr>
      <w:pStyle w:val="a8"/>
      <w:tabs>
        <w:tab w:val="clear" w:pos="9639"/>
        <w:tab w:val="right" w:pos="9638"/>
      </w:tabs>
      <w:rPr>
        <w:b/>
        <w:sz w:val="18"/>
      </w:rPr>
    </w:pPr>
    <w:r>
      <w:t>GE.22-29100</w:t>
    </w:r>
    <w:r>
      <w:tab/>
    </w:r>
    <w:r w:rsidRPr="002E69D2">
      <w:rPr>
        <w:b/>
        <w:sz w:val="18"/>
      </w:rPr>
      <w:fldChar w:fldCharType="begin"/>
    </w:r>
    <w:r w:rsidRPr="002E69D2">
      <w:rPr>
        <w:b/>
        <w:sz w:val="18"/>
      </w:rPr>
      <w:instrText xml:space="preserve"> PAGE  \* MERGEFORMAT </w:instrText>
    </w:r>
    <w:r w:rsidRPr="002E69D2">
      <w:rPr>
        <w:b/>
        <w:sz w:val="18"/>
      </w:rPr>
      <w:fldChar w:fldCharType="separate"/>
    </w:r>
    <w:r w:rsidRPr="002E69D2">
      <w:rPr>
        <w:b/>
        <w:noProof/>
        <w:sz w:val="18"/>
      </w:rPr>
      <w:t>3</w:t>
    </w:r>
    <w:r w:rsidRPr="002E69D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4A7C1" w14:textId="2BE72F7C" w:rsidR="00042B72" w:rsidRPr="001A6F12" w:rsidRDefault="002E69D2" w:rsidP="002E69D2">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41C44594" wp14:editId="0530A10C">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22-29100  (R)</w:t>
    </w:r>
    <w:r>
      <w:rPr>
        <w:noProof/>
      </w:rPr>
      <w:drawing>
        <wp:anchor distT="0" distB="0" distL="114300" distR="114300" simplePos="0" relativeHeight="251659264" behindDoc="0" locked="0" layoutInCell="1" allowOverlap="1" wp14:anchorId="0ED46243" wp14:editId="4BF43064">
          <wp:simplePos x="0" y="0"/>
          <wp:positionH relativeFrom="margin">
            <wp:posOffset>5489575</wp:posOffset>
          </wp:positionH>
          <wp:positionV relativeFrom="margin">
            <wp:posOffset>8855710</wp:posOffset>
          </wp:positionV>
          <wp:extent cx="561975" cy="5619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1A6F12">
      <w:rPr>
        <w:lang w:val="en-US"/>
      </w:rPr>
      <w:t xml:space="preserve">   060123   120123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11923" w14:textId="77777777" w:rsidR="00340037" w:rsidRPr="001075E9" w:rsidRDefault="00340037" w:rsidP="001075E9">
      <w:pPr>
        <w:tabs>
          <w:tab w:val="right" w:pos="2155"/>
        </w:tabs>
        <w:spacing w:after="80" w:line="240" w:lineRule="auto"/>
        <w:ind w:left="680"/>
        <w:rPr>
          <w:u w:val="single"/>
        </w:rPr>
      </w:pPr>
      <w:r>
        <w:rPr>
          <w:u w:val="single"/>
        </w:rPr>
        <w:tab/>
      </w:r>
    </w:p>
  </w:footnote>
  <w:footnote w:type="continuationSeparator" w:id="0">
    <w:p w14:paraId="57285D9F" w14:textId="77777777" w:rsidR="00340037" w:rsidRDefault="00340037" w:rsidP="00407B78">
      <w:pPr>
        <w:tabs>
          <w:tab w:val="right" w:pos="2155"/>
        </w:tabs>
        <w:spacing w:after="80"/>
        <w:ind w:left="680"/>
        <w:rPr>
          <w:u w:val="single"/>
        </w:rPr>
      </w:pPr>
      <w:r>
        <w:rPr>
          <w:u w:val="single"/>
        </w:rPr>
        <w:tab/>
      </w:r>
    </w:p>
  </w:footnote>
  <w:footnote w:id="1">
    <w:p w14:paraId="5D0F0B38" w14:textId="77777777" w:rsidR="002E69D2" w:rsidRPr="00214A79" w:rsidRDefault="002E69D2" w:rsidP="002E69D2">
      <w:pPr>
        <w:pStyle w:val="ad"/>
      </w:pPr>
      <w:r>
        <w:tab/>
        <w:t>*</w:t>
      </w:r>
      <w:r>
        <w:tab/>
        <w:t>Настоящий документ был запланирован к изданию после установленного срока в силу обстоятельств, не зависящих от представившей его стороны.</w:t>
      </w:r>
    </w:p>
  </w:footnote>
  <w:footnote w:id="2">
    <w:p w14:paraId="252E4C2C" w14:textId="77777777" w:rsidR="002E69D2" w:rsidRPr="00214A79" w:rsidRDefault="002E69D2" w:rsidP="002E69D2">
      <w:pPr>
        <w:pStyle w:val="ad"/>
      </w:pPr>
      <w:r w:rsidRPr="0006430A">
        <w:tab/>
      </w:r>
      <w:r w:rsidRPr="008A0BE9">
        <w:rPr>
          <w:rStyle w:val="aa"/>
        </w:rPr>
        <w:footnoteRef/>
      </w:r>
      <w:r>
        <w:t xml:space="preserve"> </w:t>
      </w:r>
      <w:r>
        <w:tab/>
        <w:t>ECE/TRANS/2022/6, приложение III, пункт 5 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923E2" w14:textId="5740F772" w:rsidR="002E69D2" w:rsidRPr="002E69D2" w:rsidRDefault="00600FEC">
    <w:pPr>
      <w:pStyle w:val="a5"/>
    </w:pPr>
    <w:r>
      <w:fldChar w:fldCharType="begin"/>
    </w:r>
    <w:r>
      <w:instrText xml:space="preserve"> TITLE  \* MERGEFORMAT </w:instrText>
    </w:r>
    <w:r>
      <w:fldChar w:fldCharType="separate"/>
    </w:r>
    <w:r>
      <w:t>ECE/TRANS/2023/6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AEAB7" w14:textId="2915198C" w:rsidR="002E69D2" w:rsidRPr="002E69D2" w:rsidRDefault="00600FEC" w:rsidP="002E69D2">
    <w:pPr>
      <w:pStyle w:val="a5"/>
      <w:jc w:val="right"/>
    </w:pPr>
    <w:r>
      <w:fldChar w:fldCharType="begin"/>
    </w:r>
    <w:r>
      <w:instrText xml:space="preserve"> TITLE  \* MERGEFORMAT </w:instrText>
    </w:r>
    <w:r>
      <w:fldChar w:fldCharType="separate"/>
    </w:r>
    <w:r>
      <w:t>ECE/TRANS/2023/6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BD2D5C"/>
    <w:multiLevelType w:val="hybridMultilevel"/>
    <w:tmpl w:val="A59CF66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3"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8"/>
  </w:num>
  <w:num w:numId="2">
    <w:abstractNumId w:val="11"/>
  </w:num>
  <w:num w:numId="3">
    <w:abstractNumId w:val="10"/>
  </w:num>
  <w:num w:numId="4">
    <w:abstractNumId w:val="19"/>
  </w:num>
  <w:num w:numId="5">
    <w:abstractNumId w:val="1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7"/>
  </w:num>
  <w:num w:numId="17">
    <w:abstractNumId w:val="13"/>
  </w:num>
  <w:num w:numId="18">
    <w:abstractNumId w:val="15"/>
  </w:num>
  <w:num w:numId="19">
    <w:abstractNumId w:val="17"/>
  </w:num>
  <w:num w:numId="20">
    <w:abstractNumId w:val="13"/>
  </w:num>
  <w:num w:numId="21">
    <w:abstractNumId w:val="15"/>
  </w:num>
  <w:num w:numId="22">
    <w:abstractNumId w:val="16"/>
  </w:num>
  <w:num w:numId="23">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037"/>
    <w:rsid w:val="00033EE1"/>
    <w:rsid w:val="00042B72"/>
    <w:rsid w:val="000558BD"/>
    <w:rsid w:val="000B57E7"/>
    <w:rsid w:val="000B6373"/>
    <w:rsid w:val="000E4E5B"/>
    <w:rsid w:val="000F09DF"/>
    <w:rsid w:val="000F61B2"/>
    <w:rsid w:val="001075E9"/>
    <w:rsid w:val="0014152F"/>
    <w:rsid w:val="00180183"/>
    <w:rsid w:val="0018024D"/>
    <w:rsid w:val="0018649F"/>
    <w:rsid w:val="00196389"/>
    <w:rsid w:val="001A6F12"/>
    <w:rsid w:val="001B3EF6"/>
    <w:rsid w:val="001C7A89"/>
    <w:rsid w:val="00255343"/>
    <w:rsid w:val="0027151D"/>
    <w:rsid w:val="002A2EFC"/>
    <w:rsid w:val="002B0106"/>
    <w:rsid w:val="002B74B1"/>
    <w:rsid w:val="002C0E18"/>
    <w:rsid w:val="002D5AAC"/>
    <w:rsid w:val="002E5067"/>
    <w:rsid w:val="002E69D2"/>
    <w:rsid w:val="002F405F"/>
    <w:rsid w:val="002F7EEC"/>
    <w:rsid w:val="00301299"/>
    <w:rsid w:val="00305C08"/>
    <w:rsid w:val="00307FB6"/>
    <w:rsid w:val="00317339"/>
    <w:rsid w:val="00322004"/>
    <w:rsid w:val="00340037"/>
    <w:rsid w:val="003402C2"/>
    <w:rsid w:val="00381C24"/>
    <w:rsid w:val="00387CD4"/>
    <w:rsid w:val="003958D0"/>
    <w:rsid w:val="003A0D43"/>
    <w:rsid w:val="003A48CE"/>
    <w:rsid w:val="003B00E5"/>
    <w:rsid w:val="003E0B46"/>
    <w:rsid w:val="00407B78"/>
    <w:rsid w:val="00424203"/>
    <w:rsid w:val="00452493"/>
    <w:rsid w:val="00453318"/>
    <w:rsid w:val="00454AF2"/>
    <w:rsid w:val="00454E07"/>
    <w:rsid w:val="00472C5C"/>
    <w:rsid w:val="00485F8A"/>
    <w:rsid w:val="00490018"/>
    <w:rsid w:val="004E05B7"/>
    <w:rsid w:val="0050108D"/>
    <w:rsid w:val="00513081"/>
    <w:rsid w:val="00517901"/>
    <w:rsid w:val="00526683"/>
    <w:rsid w:val="00526DB8"/>
    <w:rsid w:val="005639C1"/>
    <w:rsid w:val="005709E0"/>
    <w:rsid w:val="00572E19"/>
    <w:rsid w:val="005961C8"/>
    <w:rsid w:val="005966F1"/>
    <w:rsid w:val="005D7914"/>
    <w:rsid w:val="005E2B41"/>
    <w:rsid w:val="005F0B42"/>
    <w:rsid w:val="00600FEC"/>
    <w:rsid w:val="00617A43"/>
    <w:rsid w:val="006345DB"/>
    <w:rsid w:val="00640F49"/>
    <w:rsid w:val="00680D03"/>
    <w:rsid w:val="00681A10"/>
    <w:rsid w:val="006A1ED8"/>
    <w:rsid w:val="006C2031"/>
    <w:rsid w:val="006D461A"/>
    <w:rsid w:val="006F35EE"/>
    <w:rsid w:val="006F5228"/>
    <w:rsid w:val="007021FF"/>
    <w:rsid w:val="00712895"/>
    <w:rsid w:val="00734ACB"/>
    <w:rsid w:val="00757357"/>
    <w:rsid w:val="00792497"/>
    <w:rsid w:val="00806737"/>
    <w:rsid w:val="00825F8D"/>
    <w:rsid w:val="00834B71"/>
    <w:rsid w:val="0086445C"/>
    <w:rsid w:val="00894693"/>
    <w:rsid w:val="008A08D7"/>
    <w:rsid w:val="008A37C8"/>
    <w:rsid w:val="008B6909"/>
    <w:rsid w:val="008D53B6"/>
    <w:rsid w:val="008F7609"/>
    <w:rsid w:val="00906890"/>
    <w:rsid w:val="00911BE4"/>
    <w:rsid w:val="00951972"/>
    <w:rsid w:val="009608F3"/>
    <w:rsid w:val="009A24AC"/>
    <w:rsid w:val="009C59D7"/>
    <w:rsid w:val="009C6FE6"/>
    <w:rsid w:val="009D7E7D"/>
    <w:rsid w:val="00A14DA8"/>
    <w:rsid w:val="00A312BC"/>
    <w:rsid w:val="00A84021"/>
    <w:rsid w:val="00A84D35"/>
    <w:rsid w:val="00A917B3"/>
    <w:rsid w:val="00AB4B51"/>
    <w:rsid w:val="00B10CC7"/>
    <w:rsid w:val="00B36DF7"/>
    <w:rsid w:val="00B539E7"/>
    <w:rsid w:val="00B62458"/>
    <w:rsid w:val="00BC18B2"/>
    <w:rsid w:val="00BD33EE"/>
    <w:rsid w:val="00BE1CC7"/>
    <w:rsid w:val="00C106D6"/>
    <w:rsid w:val="00C119AE"/>
    <w:rsid w:val="00C23B52"/>
    <w:rsid w:val="00C60F0C"/>
    <w:rsid w:val="00C71E84"/>
    <w:rsid w:val="00C805C9"/>
    <w:rsid w:val="00C92939"/>
    <w:rsid w:val="00CA1679"/>
    <w:rsid w:val="00CB151C"/>
    <w:rsid w:val="00CE5A1A"/>
    <w:rsid w:val="00CF55F6"/>
    <w:rsid w:val="00D33D63"/>
    <w:rsid w:val="00D5253A"/>
    <w:rsid w:val="00D873A8"/>
    <w:rsid w:val="00D90028"/>
    <w:rsid w:val="00D90138"/>
    <w:rsid w:val="00D9145B"/>
    <w:rsid w:val="00DA008E"/>
    <w:rsid w:val="00DD78D1"/>
    <w:rsid w:val="00DE32CD"/>
    <w:rsid w:val="00DF5767"/>
    <w:rsid w:val="00DF71B9"/>
    <w:rsid w:val="00E12C5F"/>
    <w:rsid w:val="00E73F76"/>
    <w:rsid w:val="00EA2C9F"/>
    <w:rsid w:val="00EA420E"/>
    <w:rsid w:val="00ED0BDA"/>
    <w:rsid w:val="00EE142A"/>
    <w:rsid w:val="00EF1360"/>
    <w:rsid w:val="00EF3220"/>
    <w:rsid w:val="00F2523A"/>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37D358"/>
  <w15:docId w15:val="{FF739621-2FCF-470C-97B5-9C6A34FCD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link w:val="H1GChar"/>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Footnote symbol,Footnote reference number,Footnote,Times 10 Point,Exposant 3 Point,Ref,de nota al pie,note TESI,SUPERS,EN Footnote text,EN Footnote Reference,Footnote Reference_LVL6,Footnote Reference_LVL61"/>
    <w:basedOn w:val="a0"/>
    <w:uiPriority w:val="99"/>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Footnote Text Char2,Footnote Text Char1 Char,Footnote Text Char Char Char,Footnote Text Char1 Char Char Char Char,Footnote Text Char Char Char Char Char Char,Footnote Text Char1 Char Char1 Char"/>
    <w:basedOn w:val="a"/>
    <w:link w:val="ae"/>
    <w:uiPriority w:val="99"/>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Footnote Text Char2 Знак,Footnote Text Char1 Char Знак,Footnote Text Char Char Char Знак,Footnote Text Char1 Char Char Char Char Знак,Footnote Text Char Char Char Char Char Char Знак,Footnote Text Char1 Char Char1 Char Знак"/>
    <w:basedOn w:val="a0"/>
    <w:link w:val="ad"/>
    <w:uiPriority w:val="99"/>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HChGChar">
    <w:name w:val="_ H _Ch_G Char"/>
    <w:link w:val="HChG"/>
    <w:rsid w:val="002E69D2"/>
    <w:rPr>
      <w:b/>
      <w:sz w:val="28"/>
      <w:lang w:val="ru-RU" w:eastAsia="ru-RU"/>
    </w:rPr>
  </w:style>
  <w:style w:type="character" w:customStyle="1" w:styleId="H1GChar">
    <w:name w:val="_ H_1_G Char"/>
    <w:link w:val="H1G"/>
    <w:rsid w:val="002E69D2"/>
    <w:rPr>
      <w:b/>
      <w:sz w:val="24"/>
      <w:lang w:val="ru-RU" w:eastAsia="ru-RU"/>
    </w:rPr>
  </w:style>
  <w:style w:type="character" w:customStyle="1" w:styleId="SingleTxtGChar">
    <w:name w:val="_ Single Txt_G Char"/>
    <w:link w:val="SingleTxtG"/>
    <w:rsid w:val="002E69D2"/>
    <w:rPr>
      <w:lang w:val="ru-RU" w:eastAsia="en-US"/>
    </w:rPr>
  </w:style>
  <w:style w:type="character" w:styleId="af3">
    <w:name w:val="Unresolved Mention"/>
    <w:basedOn w:val="a0"/>
    <w:uiPriority w:val="99"/>
    <w:semiHidden/>
    <w:unhideWhenUsed/>
    <w:rsid w:val="006F52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daccess-ods.un.org/access.nsf/Get?Open&amp;DS=E/RES/2022/2&amp;Lang=R" TargetMode="External"/><Relationship Id="rId13" Type="http://schemas.openxmlformats.org/officeDocument/2006/relationships/hyperlink" Target="chrome-extension://efaidnbmnnnibpcajpcglclefindmkaj/https:/unece.org/sites/default/files/2022-03/ECE_TRANS_304-R.pdf"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wmf"/><Relationship Id="rId12" Type="http://schemas.openxmlformats.org/officeDocument/2006/relationships/hyperlink" Target="https://unece.org/sites/default/files/2022-03/ECE_TRANS_304-R.pdf" TargetMode="External"/><Relationship Id="rId17" Type="http://schemas.openxmlformats.org/officeDocument/2006/relationships/header" Target="header1.xml"/><Relationship Id="rId25"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yperlink" Target="https://unece.org/DAM/trans/doc/2019/itc/ECE-TRANS-288e.pdf"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hrome-extension://efaidnbmnnnibpcajpcglclefindmkaj/https:/unece.org/sites/default/files/2022-04/ECE_TRANS_316e.pdf" TargetMode="External"/><Relationship Id="rId24"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yperlink" Target="https://unece.org/DAM/trans/doc/2020/itc/ECE-TRANS-294r.pdf" TargetMode="External"/><Relationship Id="rId23" Type="http://schemas.openxmlformats.org/officeDocument/2006/relationships/theme" Target="theme/theme1.xml"/><Relationship Id="rId10" Type="http://schemas.openxmlformats.org/officeDocument/2006/relationships/hyperlink" Target="chrome-extension://efaidnbmnnnibpcajpcglclefindmkaj/https:/unece.org/sites/default/files/2022-04/ECE_TRANS_316e.pdf"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unece.org/sites/default/files/2022-04/ECE_TRANS_316e.pdf" TargetMode="External"/><Relationship Id="rId14" Type="http://schemas.openxmlformats.org/officeDocument/2006/relationships/hyperlink" Target="chrome-extension://efaidnbmnnnibpcajpcglclefindmkaj/https:/unece.org/sites/default/files/2022-03/ECE_TRANS_304-R.pdf"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60456D-C42A-4FCD-833E-E885CA133DF6}"/>
</file>

<file path=customXml/itemProps2.xml><?xml version="1.0" encoding="utf-8"?>
<ds:datastoreItem xmlns:ds="http://schemas.openxmlformats.org/officeDocument/2006/customXml" ds:itemID="{6C022569-C11A-4CE9-AFFD-4DC037D67313}"/>
</file>

<file path=docProps/app.xml><?xml version="1.0" encoding="utf-8"?>
<Properties xmlns="http://schemas.openxmlformats.org/officeDocument/2006/extended-properties" xmlns:vt="http://schemas.openxmlformats.org/officeDocument/2006/docPropsVTypes">
  <Template>ECE.dotm</Template>
  <TotalTime>2</TotalTime>
  <Pages>8</Pages>
  <Words>2111</Words>
  <Characters>15488</Characters>
  <Application>Microsoft Office Word</Application>
  <DocSecurity>0</DocSecurity>
  <Lines>302</Lines>
  <Paragraphs>76</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ECE/TRANS/2023/6</vt:lpstr>
      <vt:lpstr>A/</vt:lpstr>
      <vt:lpstr>A/</vt:lpstr>
    </vt:vector>
  </TitlesOfParts>
  <Company>DCM</Company>
  <LinksUpToDate>false</LinksUpToDate>
  <CharactersWithSpaces>17618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ECE/TRANS/2023/6</dc:title>
  <dc:subject/>
  <dc:creator>Anna BLAGODATSKIKH</dc:creator>
  <cp:keywords/>
  <cp:lastModifiedBy>Anna Blagodatskikh</cp:lastModifiedBy>
  <cp:revision>3</cp:revision>
  <cp:lastPrinted>2023-01-12T12:35:00Z</cp:lastPrinted>
  <dcterms:created xsi:type="dcterms:W3CDTF">2023-01-12T12:35:00Z</dcterms:created>
  <dcterms:modified xsi:type="dcterms:W3CDTF">2023-01-12T12:37:00Z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