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0CDE7E6C" w14:textId="77777777" w:rsidTr="00B20551">
        <w:trPr>
          <w:cantSplit/>
          <w:trHeight w:hRule="exact" w:val="851"/>
        </w:trPr>
        <w:tc>
          <w:tcPr>
            <w:tcW w:w="1276" w:type="dxa"/>
            <w:tcBorders>
              <w:bottom w:val="single" w:sz="4" w:space="0" w:color="auto"/>
            </w:tcBorders>
            <w:vAlign w:val="bottom"/>
          </w:tcPr>
          <w:p w14:paraId="3B32D461" w14:textId="77777777" w:rsidR="009E6CB7" w:rsidRPr="00FF02F5" w:rsidRDefault="009E6CB7" w:rsidP="00B20551">
            <w:pPr>
              <w:spacing w:after="80"/>
            </w:pPr>
          </w:p>
        </w:tc>
        <w:tc>
          <w:tcPr>
            <w:tcW w:w="2268" w:type="dxa"/>
            <w:tcBorders>
              <w:bottom w:val="single" w:sz="4" w:space="0" w:color="auto"/>
            </w:tcBorders>
            <w:vAlign w:val="bottom"/>
          </w:tcPr>
          <w:p w14:paraId="280A6522"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31D67F4D" w14:textId="405178D8" w:rsidR="009E6CB7" w:rsidRPr="00FF02F5" w:rsidRDefault="006B25E0" w:rsidP="00954785">
            <w:pPr>
              <w:jc w:val="right"/>
            </w:pPr>
            <w:r w:rsidRPr="006B25E0">
              <w:rPr>
                <w:sz w:val="40"/>
              </w:rPr>
              <w:t>ECE</w:t>
            </w:r>
            <w:r>
              <w:t>/TRANS/202</w:t>
            </w:r>
            <w:r w:rsidR="00AC1F68">
              <w:t>3</w:t>
            </w:r>
            <w:r>
              <w:t>/</w:t>
            </w:r>
            <w:r w:rsidR="00AC1F68">
              <w:t>24</w:t>
            </w:r>
          </w:p>
        </w:tc>
      </w:tr>
      <w:tr w:rsidR="00FF02F5" w:rsidRPr="00FF02F5" w14:paraId="74EFC527" w14:textId="77777777" w:rsidTr="00B20551">
        <w:trPr>
          <w:cantSplit/>
          <w:trHeight w:hRule="exact" w:val="2835"/>
        </w:trPr>
        <w:tc>
          <w:tcPr>
            <w:tcW w:w="1276" w:type="dxa"/>
            <w:tcBorders>
              <w:top w:val="single" w:sz="4" w:space="0" w:color="auto"/>
              <w:bottom w:val="single" w:sz="12" w:space="0" w:color="auto"/>
            </w:tcBorders>
          </w:tcPr>
          <w:p w14:paraId="4EA4B9B8" w14:textId="77777777"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75A26F"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5BE546F4" w14:textId="77777777" w:rsidR="009E6CB7" w:rsidRPr="00FF02F5" w:rsidRDefault="00954785" w:rsidP="00954785">
            <w:pPr>
              <w:spacing w:before="240" w:line="240" w:lineRule="exact"/>
            </w:pPr>
            <w:r w:rsidRPr="00FF02F5">
              <w:t>Distr.: General</w:t>
            </w:r>
          </w:p>
          <w:p w14:paraId="05DFD530" w14:textId="02F04CA3" w:rsidR="00954785" w:rsidRPr="00FF02F5" w:rsidRDefault="00CF75C2" w:rsidP="00954785">
            <w:pPr>
              <w:spacing w:line="240" w:lineRule="exact"/>
            </w:pPr>
            <w:r>
              <w:t>13</w:t>
            </w:r>
            <w:r w:rsidR="00F56FDB">
              <w:t xml:space="preserve"> December</w:t>
            </w:r>
            <w:r w:rsidR="00CD3488">
              <w:t xml:space="preserve"> </w:t>
            </w:r>
            <w:r w:rsidR="00954785" w:rsidRPr="00FF02F5">
              <w:t>20</w:t>
            </w:r>
            <w:r w:rsidR="004F7088">
              <w:t>2</w:t>
            </w:r>
            <w:r w:rsidR="00AC1F68">
              <w:t>2</w:t>
            </w:r>
          </w:p>
          <w:p w14:paraId="77023E0B" w14:textId="77777777" w:rsidR="00954785" w:rsidRPr="00FF02F5" w:rsidRDefault="00954785" w:rsidP="00954785">
            <w:pPr>
              <w:spacing w:line="240" w:lineRule="exact"/>
            </w:pPr>
          </w:p>
          <w:p w14:paraId="2C132143" w14:textId="77777777" w:rsidR="00954785" w:rsidRPr="00FF02F5" w:rsidRDefault="00954785" w:rsidP="00954785">
            <w:pPr>
              <w:spacing w:line="240" w:lineRule="exact"/>
            </w:pPr>
            <w:r w:rsidRPr="00FF02F5">
              <w:t>Original: English</w:t>
            </w:r>
          </w:p>
        </w:tc>
      </w:tr>
    </w:tbl>
    <w:p w14:paraId="2D6B63C1" w14:textId="77777777" w:rsidR="00250503" w:rsidRPr="00FF02F5" w:rsidRDefault="00250503" w:rsidP="00250503">
      <w:pPr>
        <w:spacing w:before="120"/>
        <w:rPr>
          <w:b/>
          <w:bCs/>
          <w:sz w:val="28"/>
          <w:szCs w:val="28"/>
        </w:rPr>
      </w:pPr>
      <w:r w:rsidRPr="00FF02F5">
        <w:rPr>
          <w:b/>
          <w:bCs/>
          <w:sz w:val="28"/>
          <w:szCs w:val="28"/>
        </w:rPr>
        <w:t>Economic Commission for Europe</w:t>
      </w:r>
    </w:p>
    <w:p w14:paraId="0BDE9CE3" w14:textId="77777777" w:rsidR="00250503" w:rsidRPr="00FF02F5" w:rsidRDefault="00250503" w:rsidP="00250503">
      <w:pPr>
        <w:spacing w:before="120"/>
        <w:rPr>
          <w:sz w:val="28"/>
          <w:szCs w:val="28"/>
        </w:rPr>
      </w:pPr>
      <w:r w:rsidRPr="00FF02F5">
        <w:rPr>
          <w:sz w:val="28"/>
          <w:szCs w:val="28"/>
        </w:rPr>
        <w:t>Inland Transport Committee</w:t>
      </w:r>
    </w:p>
    <w:p w14:paraId="763565A9" w14:textId="517B0504" w:rsidR="00250503" w:rsidRPr="00FF02F5" w:rsidRDefault="00250503" w:rsidP="00250503">
      <w:pPr>
        <w:spacing w:before="120"/>
        <w:rPr>
          <w:b/>
          <w:bCs/>
        </w:rPr>
      </w:pPr>
      <w:r w:rsidRPr="00FF02F5">
        <w:rPr>
          <w:b/>
          <w:bCs/>
        </w:rPr>
        <w:t>Eighty-</w:t>
      </w:r>
      <w:r w:rsidR="00C83F69">
        <w:rPr>
          <w:b/>
          <w:bCs/>
        </w:rPr>
        <w:t>fifth</w:t>
      </w:r>
      <w:r w:rsidRPr="00FF02F5">
        <w:rPr>
          <w:b/>
          <w:bCs/>
        </w:rPr>
        <w:t xml:space="preserve"> session</w:t>
      </w:r>
    </w:p>
    <w:p w14:paraId="38E70EEA" w14:textId="52F8D1A9" w:rsidR="007A719A" w:rsidRDefault="00250503" w:rsidP="0031015F">
      <w:pPr>
        <w:rPr>
          <w:b/>
          <w:bCs/>
        </w:rPr>
      </w:pPr>
      <w:r w:rsidRPr="00FF02F5">
        <w:t>Geneva, 2</w:t>
      </w:r>
      <w:r w:rsidR="00C11FEA">
        <w:t>1</w:t>
      </w:r>
      <w:r w:rsidR="00B72466">
        <w:t>–</w:t>
      </w:r>
      <w:r w:rsidRPr="00FF02F5">
        <w:t>2</w:t>
      </w:r>
      <w:r w:rsidR="00C11FEA">
        <w:t>4</w:t>
      </w:r>
      <w:r w:rsidRPr="00FF02F5">
        <w:t xml:space="preserve"> February 202</w:t>
      </w:r>
      <w:r w:rsidR="00AC1F68">
        <w:t>3</w:t>
      </w:r>
      <w:r w:rsidRPr="00FF02F5">
        <w:br/>
        <w:t xml:space="preserve">Item </w:t>
      </w:r>
      <w:r w:rsidR="00AC1F68">
        <w:t>7</w:t>
      </w:r>
      <w:r w:rsidR="00FF6B68">
        <w:t xml:space="preserve"> (</w:t>
      </w:r>
      <w:r w:rsidR="0031015F">
        <w:t>h</w:t>
      </w:r>
      <w:r w:rsidR="00FF6B68">
        <w:t>)</w:t>
      </w:r>
      <w:r w:rsidRPr="00FF02F5">
        <w:t xml:space="preserve"> of the provisional agenda</w:t>
      </w:r>
      <w:r w:rsidRPr="00FF02F5">
        <w:br/>
      </w:r>
      <w:r w:rsidR="007A719A" w:rsidRPr="007A719A">
        <w:rPr>
          <w:b/>
          <w:bCs/>
        </w:rPr>
        <w:t xml:space="preserve">Strategic Questions of a Horizontal and </w:t>
      </w:r>
      <w:r w:rsidR="007A719A">
        <w:rPr>
          <w:b/>
          <w:bCs/>
        </w:rPr>
        <w:br/>
      </w:r>
      <w:r w:rsidR="007A719A" w:rsidRPr="007A719A">
        <w:rPr>
          <w:b/>
          <w:bCs/>
        </w:rPr>
        <w:t>Cross-Sectoral Policy or Regulatory Nature</w:t>
      </w:r>
    </w:p>
    <w:p w14:paraId="785DB053" w14:textId="2F71B986" w:rsidR="0031015F" w:rsidRDefault="0031015F" w:rsidP="0031015F">
      <w:pPr>
        <w:rPr>
          <w:b/>
          <w:bCs/>
        </w:rPr>
      </w:pPr>
      <w:r w:rsidRPr="0031015F">
        <w:rPr>
          <w:b/>
          <w:bCs/>
        </w:rPr>
        <w:t xml:space="preserve">Capacity </w:t>
      </w:r>
      <w:r w:rsidR="00CF75C2">
        <w:rPr>
          <w:b/>
          <w:bCs/>
        </w:rPr>
        <w:t>D</w:t>
      </w:r>
      <w:r w:rsidRPr="0031015F">
        <w:rPr>
          <w:b/>
          <w:bCs/>
        </w:rPr>
        <w:t xml:space="preserve">evelopment </w:t>
      </w:r>
      <w:r w:rsidR="00CF75C2">
        <w:rPr>
          <w:b/>
          <w:bCs/>
        </w:rPr>
        <w:t>A</w:t>
      </w:r>
      <w:r w:rsidRPr="0031015F">
        <w:rPr>
          <w:b/>
          <w:bCs/>
        </w:rPr>
        <w:t>ctivities in United Nations</w:t>
      </w:r>
    </w:p>
    <w:p w14:paraId="1751780C" w14:textId="7A6320F3" w:rsidR="0031015F" w:rsidRDefault="00CF75C2" w:rsidP="0031015F">
      <w:pPr>
        <w:rPr>
          <w:b/>
          <w:bCs/>
        </w:rPr>
      </w:pPr>
      <w:r>
        <w:rPr>
          <w:b/>
          <w:bCs/>
        </w:rPr>
        <w:t>P</w:t>
      </w:r>
      <w:r w:rsidR="0031015F" w:rsidRPr="0031015F">
        <w:rPr>
          <w:b/>
          <w:bCs/>
        </w:rPr>
        <w:t xml:space="preserve">rogramme </w:t>
      </w:r>
      <w:r>
        <w:rPr>
          <w:b/>
          <w:bCs/>
        </w:rPr>
        <w:t>C</w:t>
      </w:r>
      <w:r w:rsidR="0031015F" w:rsidRPr="0031015F">
        <w:rPr>
          <w:b/>
          <w:bCs/>
        </w:rPr>
        <w:t xml:space="preserve">ountries in the </w:t>
      </w:r>
    </w:p>
    <w:p w14:paraId="3EAB75A8" w14:textId="34ED8699" w:rsidR="00250503" w:rsidRPr="00FF02F5" w:rsidRDefault="0031015F" w:rsidP="0031015F">
      <w:pPr>
        <w:rPr>
          <w:b/>
          <w:bCs/>
        </w:rPr>
      </w:pPr>
      <w:r w:rsidRPr="0031015F">
        <w:rPr>
          <w:b/>
          <w:bCs/>
        </w:rPr>
        <w:t>United Nations Economic Commission for Europe region</w:t>
      </w:r>
    </w:p>
    <w:p w14:paraId="52CD8BEA" w14:textId="4DF7B30D" w:rsidR="00472091" w:rsidRDefault="00472091" w:rsidP="00CF75C2">
      <w:pPr>
        <w:pStyle w:val="HChG"/>
      </w:pPr>
      <w:r>
        <w:tab/>
      </w:r>
      <w:r>
        <w:tab/>
      </w:r>
      <w:r w:rsidRPr="00DC68B9">
        <w:t xml:space="preserve">Inland Transport Committee Capacity Development </w:t>
      </w:r>
      <w:r>
        <w:br/>
      </w:r>
      <w:r w:rsidRPr="00DC68B9">
        <w:t>Action Plan</w:t>
      </w:r>
      <w:r w:rsidR="00DE2D95">
        <w:t xml:space="preserve"> 2020-2025 – th</w:t>
      </w:r>
      <w:r w:rsidR="00C83F69">
        <w:t xml:space="preserve">ird year of </w:t>
      </w:r>
      <w:r w:rsidR="00C83F69" w:rsidRPr="00CF75C2">
        <w:t>implementation</w:t>
      </w:r>
    </w:p>
    <w:p w14:paraId="327D80B3" w14:textId="51CD9F2D" w:rsidR="00F569C1" w:rsidRDefault="00F569C1" w:rsidP="00F569C1">
      <w:pPr>
        <w:pStyle w:val="H1G"/>
        <w:rPr>
          <w:rFonts w:eastAsia="SimSun"/>
          <w:lang w:eastAsia="en-US"/>
        </w:rPr>
      </w:pPr>
      <w:r>
        <w:tab/>
      </w:r>
      <w:r w:rsidRPr="00EE67EB">
        <w:tab/>
      </w:r>
      <w:r w:rsidRPr="00F569C1">
        <w:rPr>
          <w:rFonts w:eastAsia="SimSun"/>
          <w:lang w:eastAsia="en-US"/>
        </w:rPr>
        <w:t xml:space="preserve">Note by the </w:t>
      </w:r>
      <w:r w:rsidR="00F7094C">
        <w:rPr>
          <w:rFonts w:eastAsia="SimSun"/>
          <w:lang w:eastAsia="en-US"/>
        </w:rPr>
        <w:t>S</w:t>
      </w:r>
      <w:r w:rsidRPr="00F569C1">
        <w:rPr>
          <w:rFonts w:eastAsia="SimSun"/>
          <w:lang w:eastAsia="en-US"/>
        </w:rPr>
        <w:t>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940A8" w14:paraId="293D05E8" w14:textId="77777777" w:rsidTr="00955EAA">
        <w:trPr>
          <w:jc w:val="center"/>
        </w:trPr>
        <w:tc>
          <w:tcPr>
            <w:tcW w:w="9637" w:type="dxa"/>
            <w:shd w:val="clear" w:color="auto" w:fill="auto"/>
          </w:tcPr>
          <w:p w14:paraId="13BF3410" w14:textId="77777777" w:rsidR="008940A8" w:rsidRPr="00C6263E" w:rsidRDefault="008940A8" w:rsidP="00955EAA">
            <w:pPr>
              <w:spacing w:before="240" w:after="120"/>
              <w:ind w:left="255"/>
              <w:rPr>
                <w:i/>
                <w:sz w:val="24"/>
              </w:rPr>
            </w:pPr>
            <w:r w:rsidRPr="00C6263E">
              <w:rPr>
                <w:i/>
                <w:sz w:val="24"/>
              </w:rPr>
              <w:t>Summary</w:t>
            </w:r>
          </w:p>
        </w:tc>
      </w:tr>
      <w:tr w:rsidR="008940A8" w14:paraId="338E9F67" w14:textId="77777777" w:rsidTr="00955EAA">
        <w:trPr>
          <w:jc w:val="center"/>
        </w:trPr>
        <w:tc>
          <w:tcPr>
            <w:tcW w:w="9637" w:type="dxa"/>
            <w:shd w:val="clear" w:color="auto" w:fill="auto"/>
          </w:tcPr>
          <w:p w14:paraId="251862AF" w14:textId="0512810B" w:rsidR="008940A8" w:rsidRDefault="008940A8" w:rsidP="008940A8">
            <w:pPr>
              <w:pStyle w:val="SingleTxtG"/>
            </w:pPr>
            <w:r>
              <w:tab/>
            </w:r>
            <w:r>
              <w:tab/>
            </w:r>
            <w:r w:rsidRPr="00DC68B9">
              <w:t xml:space="preserve">The </w:t>
            </w:r>
            <w:r>
              <w:t>eighty-</w:t>
            </w:r>
            <w:r w:rsidR="00821260">
              <w:t>second</w:t>
            </w:r>
            <w:r>
              <w:t xml:space="preserve"> </w:t>
            </w:r>
            <w:r w:rsidRPr="00DC68B9">
              <w:t xml:space="preserve">session of </w:t>
            </w:r>
            <w:bookmarkStart w:id="0" w:name="_Hlk121751502"/>
            <w:r w:rsidR="000048BE">
              <w:t>the Inland Transport Committee</w:t>
            </w:r>
            <w:r w:rsidR="000048BE" w:rsidRPr="00DC68B9">
              <w:t xml:space="preserve"> </w:t>
            </w:r>
            <w:r w:rsidR="000048BE">
              <w:t xml:space="preserve">(ITC) </w:t>
            </w:r>
            <w:bookmarkEnd w:id="0"/>
            <w:r w:rsidRPr="00DC68B9">
              <w:t xml:space="preserve">adopted the “Inland Transport Committee </w:t>
            </w:r>
            <w:r w:rsidR="00FA1913">
              <w:t>C</w:t>
            </w:r>
            <w:r w:rsidR="00821260">
              <w:t>apacity Development Action Plan</w:t>
            </w:r>
            <w:r w:rsidRPr="00DC68B9">
              <w:t>” (</w:t>
            </w:r>
            <w:r>
              <w:t xml:space="preserve">hereafter </w:t>
            </w:r>
            <w:r w:rsidRPr="00DC68B9">
              <w:t xml:space="preserve">the </w:t>
            </w:r>
            <w:r w:rsidR="00821260">
              <w:t>Action Plan</w:t>
            </w:r>
            <w:r w:rsidRPr="00DC68B9">
              <w:t xml:space="preserve">) as a document </w:t>
            </w:r>
            <w:r w:rsidR="00FA1913">
              <w:t xml:space="preserve">which will define, integrate and frame capacity development </w:t>
            </w:r>
            <w:r w:rsidR="00FA1913" w:rsidRPr="006A1F33">
              <w:t>acti</w:t>
            </w:r>
            <w:r w:rsidR="00FA1913">
              <w:t>vities done by the Sustainable Transport Division</w:t>
            </w:r>
            <w:r w:rsidRPr="00DC68B9">
              <w:t>.</w:t>
            </w:r>
            <w:r>
              <w:t xml:space="preserve"> </w:t>
            </w:r>
          </w:p>
        </w:tc>
      </w:tr>
      <w:tr w:rsidR="008940A8" w14:paraId="0D889D8D" w14:textId="77777777" w:rsidTr="00955EAA">
        <w:trPr>
          <w:jc w:val="center"/>
        </w:trPr>
        <w:tc>
          <w:tcPr>
            <w:tcW w:w="9637" w:type="dxa"/>
            <w:shd w:val="clear" w:color="auto" w:fill="auto"/>
          </w:tcPr>
          <w:p w14:paraId="0186055E" w14:textId="3C457AD3" w:rsidR="008940A8" w:rsidRDefault="008940A8" w:rsidP="00C11FEA">
            <w:pPr>
              <w:pStyle w:val="SingleTxtG"/>
            </w:pPr>
            <w:r>
              <w:tab/>
            </w:r>
            <w:r>
              <w:tab/>
            </w:r>
            <w:r w:rsidR="00821260">
              <w:t xml:space="preserve">Two years after </w:t>
            </w:r>
            <w:r w:rsidR="00FA1913">
              <w:t xml:space="preserve">adoption of </w:t>
            </w:r>
            <w:r w:rsidR="00821260">
              <w:t xml:space="preserve">the Action Plan, </w:t>
            </w:r>
            <w:r w:rsidRPr="00F569C1">
              <w:t>this document</w:t>
            </w:r>
            <w:r w:rsidR="00821260">
              <w:t xml:space="preserve"> is taking stock on results achieved and lesson</w:t>
            </w:r>
            <w:r w:rsidR="00606F35">
              <w:t>s</w:t>
            </w:r>
            <w:r w:rsidR="00821260">
              <w:t xml:space="preserve"> learned</w:t>
            </w:r>
            <w:r>
              <w:t xml:space="preserve">. </w:t>
            </w:r>
            <w:r w:rsidR="00C11FEA" w:rsidRPr="00915008">
              <w:t xml:space="preserve">The Committee is </w:t>
            </w:r>
            <w:r w:rsidR="00C11FEA" w:rsidRPr="00915008">
              <w:rPr>
                <w:b/>
                <w:bCs/>
              </w:rPr>
              <w:t>invited to take note</w:t>
            </w:r>
            <w:r w:rsidR="00C11FEA" w:rsidRPr="00915008">
              <w:t xml:space="preserve"> of progress </w:t>
            </w:r>
            <w:r w:rsidR="009639C7">
              <w:t xml:space="preserve">on </w:t>
            </w:r>
            <w:r w:rsidR="009639C7" w:rsidRPr="00915008">
              <w:t xml:space="preserve">the </w:t>
            </w:r>
            <w:r w:rsidR="00C11FEA" w:rsidRPr="00915008">
              <w:t>implementation of the ITC Capacity Development Action Plan (2020–2025), in particular in the capacity enhancement area (ECE/TRANS/2023/</w:t>
            </w:r>
            <w:r w:rsidR="00C11FEA">
              <w:t>24</w:t>
            </w:r>
            <w:r w:rsidR="00C11FEA" w:rsidRPr="00915008">
              <w:t xml:space="preserve">). The Committee </w:t>
            </w:r>
            <w:r w:rsidR="00C11FEA" w:rsidRPr="00915008">
              <w:rPr>
                <w:b/>
                <w:bCs/>
              </w:rPr>
              <w:t>will be informed</w:t>
            </w:r>
            <w:r w:rsidR="00C11FEA" w:rsidRPr="00915008">
              <w:t xml:space="preserve"> about the most recent developments in capacity development activities, in particular on-going Road Safety Performance Reviews. The Committee </w:t>
            </w:r>
            <w:r w:rsidR="00C11FEA" w:rsidRPr="00915008">
              <w:rPr>
                <w:b/>
                <w:bCs/>
              </w:rPr>
              <w:t>may wish to thank</w:t>
            </w:r>
            <w:r w:rsidR="00C11FEA" w:rsidRPr="00915008">
              <w:t xml:space="preserve"> the Regular Programme of Technical Cooperation (RPTC) for continuous financial support for the implementation of capacity development projects in </w:t>
            </w:r>
            <w:r w:rsidR="00C11FEA">
              <w:t xml:space="preserve">the past </w:t>
            </w:r>
            <w:r w:rsidR="00C11FEA" w:rsidRPr="00915008">
              <w:t>three years.</w:t>
            </w:r>
          </w:p>
        </w:tc>
      </w:tr>
      <w:tr w:rsidR="008940A8" w14:paraId="1A5841BD" w14:textId="77777777" w:rsidTr="00955EAA">
        <w:trPr>
          <w:jc w:val="center"/>
        </w:trPr>
        <w:tc>
          <w:tcPr>
            <w:tcW w:w="9637" w:type="dxa"/>
            <w:shd w:val="clear" w:color="auto" w:fill="auto"/>
          </w:tcPr>
          <w:p w14:paraId="4D10D8C1" w14:textId="77777777" w:rsidR="008940A8" w:rsidRDefault="008940A8" w:rsidP="00955EAA"/>
        </w:tc>
      </w:tr>
    </w:tbl>
    <w:p w14:paraId="46DEB4BE" w14:textId="77777777" w:rsidR="00472091" w:rsidRPr="00DC68B9" w:rsidRDefault="00472091" w:rsidP="00472091">
      <w:pPr>
        <w:pStyle w:val="HChG"/>
      </w:pPr>
      <w:r>
        <w:tab/>
        <w:t>I.</w:t>
      </w:r>
      <w:r>
        <w:tab/>
      </w:r>
      <w:r w:rsidRPr="00DC68B9">
        <w:t>Background</w:t>
      </w:r>
    </w:p>
    <w:p w14:paraId="7EFF62DA" w14:textId="2C81E9F8" w:rsidR="00850483" w:rsidRDefault="00472091" w:rsidP="00850483">
      <w:pPr>
        <w:pStyle w:val="SingleTxtG"/>
      </w:pPr>
      <w:r>
        <w:t>1.</w:t>
      </w:r>
      <w:r w:rsidR="00850483">
        <w:tab/>
        <w:t xml:space="preserve">The </w:t>
      </w:r>
      <w:r w:rsidR="000048BE">
        <w:t xml:space="preserve">eighty-first </w:t>
      </w:r>
      <w:r w:rsidR="00850483">
        <w:t xml:space="preserve">session of </w:t>
      </w:r>
      <w:r w:rsidR="000048BE" w:rsidRPr="000048BE">
        <w:t xml:space="preserve">the Inland Transport Committee (ITC) </w:t>
      </w:r>
      <w:r w:rsidR="00850483">
        <w:t xml:space="preserve">(held on 19-22 February 2019) adopted the “Inland Transport Committee Strategy until 2030” (hereafter the Strategy) as a basic document for future directions of the ITC development. The mission for ITC is defined as “to contribute to sustainable inland transport and mobility for achieving the sustainable development goals in the ECE and </w:t>
      </w:r>
      <w:r w:rsidR="000048BE">
        <w:t xml:space="preserve">United Nations </w:t>
      </w:r>
      <w:r w:rsidR="00850483">
        <w:t>Member States through policy dialogue, harmonizing regulatory frameworks, as appropriate, promoting new technologies, assisting in enhancing connectivity and supporting the implementation of legal instruments”.</w:t>
      </w:r>
      <w:r w:rsidR="000048BE">
        <w:t xml:space="preserve"> </w:t>
      </w:r>
    </w:p>
    <w:p w14:paraId="26802F85" w14:textId="6D55474C" w:rsidR="00850483" w:rsidRDefault="00850483" w:rsidP="00850483">
      <w:pPr>
        <w:pStyle w:val="SingleTxtG"/>
      </w:pPr>
      <w:r>
        <w:lastRenderedPageBreak/>
        <w:t>2.</w:t>
      </w:r>
      <w:r>
        <w:tab/>
        <w:t>The first pillar of the Strategy integrates several groups of activities</w:t>
      </w:r>
      <w:r w:rsidR="00E96B12">
        <w:t>.</w:t>
      </w:r>
      <w:r>
        <w:t xml:space="preserve"> </w:t>
      </w:r>
      <w:r w:rsidR="00D724D2">
        <w:t>In this context, t</w:t>
      </w:r>
      <w:r w:rsidR="007C3576">
        <w:t>he</w:t>
      </w:r>
      <w:r>
        <w:t xml:space="preserve"> support </w:t>
      </w:r>
      <w:r w:rsidR="007C3576">
        <w:t>of</w:t>
      </w:r>
      <w:r>
        <w:t xml:space="preserve"> </w:t>
      </w:r>
      <w:r w:rsidR="004D7CA3">
        <w:t>M</w:t>
      </w:r>
      <w:r>
        <w:t xml:space="preserve">ember States </w:t>
      </w:r>
      <w:r w:rsidR="00D724D2">
        <w:t xml:space="preserve">with </w:t>
      </w:r>
      <w:r>
        <w:t>facilitat</w:t>
      </w:r>
      <w:r w:rsidR="00D724D2">
        <w:t>ing</w:t>
      </w:r>
      <w:r>
        <w:t xml:space="preserve"> accession to and efficient implementation of </w:t>
      </w:r>
      <w:r w:rsidR="000048BE">
        <w:t xml:space="preserve">United Nations </w:t>
      </w:r>
      <w:r>
        <w:t xml:space="preserve">transport-related legal instruments plays an important role. For that purpose, the Secretariat is mandated to offer support to all </w:t>
      </w:r>
      <w:r w:rsidR="000048BE" w:rsidRPr="000048BE">
        <w:t xml:space="preserve">United Nations </w:t>
      </w:r>
      <w:r>
        <w:t>Member States through technical assistance and capacity development activities.</w:t>
      </w:r>
    </w:p>
    <w:p w14:paraId="1EABD191" w14:textId="7380C767" w:rsidR="00850483" w:rsidRDefault="00850483" w:rsidP="00850483">
      <w:pPr>
        <w:pStyle w:val="SingleTxtG"/>
      </w:pPr>
      <w:r>
        <w:t>3.</w:t>
      </w:r>
      <w:r>
        <w:tab/>
        <w:t>The Strategy mandate</w:t>
      </w:r>
      <w:r w:rsidR="001349CD">
        <w:t>s</w:t>
      </w:r>
      <w:r>
        <w:t xml:space="preserve"> the Secretariat to develop new or adjust/update existing capacity-building programme</w:t>
      </w:r>
      <w:r w:rsidR="00BF4870">
        <w:t>s</w:t>
      </w:r>
      <w:r>
        <w:t xml:space="preserve">, training manuals, guidelines, standards and competency criteria in cooperation with other organizations and institutions, to assist </w:t>
      </w:r>
      <w:r w:rsidR="00BF4870">
        <w:t>with</w:t>
      </w:r>
      <w:r>
        <w:t xml:space="preserve"> enhancing capacity in the accession and implementation of the legal instruments and organize training courses [Timeline: Short-, Medium- and Long-term] and to develop indicators for Contracting </w:t>
      </w:r>
      <w:r w:rsidR="00523B4B">
        <w:t>P</w:t>
      </w:r>
      <w:r>
        <w:t>arties to evaluate status and progress in the implementation of the legal instruments [Timeline: Short-, and Medium-</w:t>
      </w:r>
      <w:r w:rsidR="000048BE">
        <w:t>term</w:t>
      </w:r>
      <w:r>
        <w:t>].</w:t>
      </w:r>
    </w:p>
    <w:p w14:paraId="137E7276" w14:textId="687264B5" w:rsidR="00850483" w:rsidRDefault="00850483" w:rsidP="00850483">
      <w:pPr>
        <w:pStyle w:val="SingleTxtG"/>
      </w:pPr>
      <w:r>
        <w:t>4.</w:t>
      </w:r>
      <w:r>
        <w:tab/>
        <w:t>The Strategy define</w:t>
      </w:r>
      <w:r w:rsidR="00B47D81">
        <w:t>s</w:t>
      </w:r>
      <w:r>
        <w:t xml:space="preserve"> </w:t>
      </w:r>
      <w:r w:rsidR="00ED257D">
        <w:t xml:space="preserve">the </w:t>
      </w:r>
      <w:r>
        <w:t>preparation of a comprehensive programme of work which will define, integrate and frame all capacity development activities done by the Sustainable Transport Division</w:t>
      </w:r>
      <w:r w:rsidR="00ED257D">
        <w:t xml:space="preserve"> as the first priority</w:t>
      </w:r>
      <w:r>
        <w:t>. The ITC Capacity Development Action Plan</w:t>
      </w:r>
      <w:r w:rsidR="00C323B4">
        <w:t xml:space="preserve"> (hereafter the Action Plan</w:t>
      </w:r>
      <w:r>
        <w:t xml:space="preserve"> was presented and adopted at the </w:t>
      </w:r>
      <w:r w:rsidR="000048BE">
        <w:t xml:space="preserve">eighty-second </w:t>
      </w:r>
      <w:r>
        <w:t>session of ITC held in February 2020</w:t>
      </w:r>
      <w:r w:rsidR="00501922">
        <w:t>)</w:t>
      </w:r>
      <w:r>
        <w:t>.</w:t>
      </w:r>
    </w:p>
    <w:p w14:paraId="32A24CC8" w14:textId="106A8860" w:rsidR="00472091" w:rsidRPr="00DC68B9" w:rsidRDefault="00472091" w:rsidP="00472091">
      <w:pPr>
        <w:pStyle w:val="HChG"/>
      </w:pPr>
      <w:r>
        <w:tab/>
        <w:t>II.</w:t>
      </w:r>
      <w:r>
        <w:tab/>
        <w:t xml:space="preserve">The </w:t>
      </w:r>
      <w:r w:rsidR="00850483" w:rsidRPr="00850483">
        <w:t>ITC Capacity Development Action Plan</w:t>
      </w:r>
      <w:r w:rsidR="00E8179A">
        <w:t xml:space="preserve"> – activities implemented in 2022</w:t>
      </w:r>
    </w:p>
    <w:p w14:paraId="73C850BB" w14:textId="4FFD667C" w:rsidR="00850483" w:rsidRPr="00DC68B9" w:rsidRDefault="00850483" w:rsidP="00850483">
      <w:pPr>
        <w:pStyle w:val="SingleTxtG"/>
      </w:pPr>
      <w:r>
        <w:t>5</w:t>
      </w:r>
      <w:r w:rsidR="00472091">
        <w:t>.</w:t>
      </w:r>
      <w:r w:rsidR="00472091">
        <w:tab/>
      </w:r>
      <w:r>
        <w:t>The A</w:t>
      </w:r>
      <w:r w:rsidRPr="00BF6921">
        <w:t xml:space="preserve">ction </w:t>
      </w:r>
      <w:r>
        <w:t>P</w:t>
      </w:r>
      <w:r w:rsidRPr="00BF6921">
        <w:t xml:space="preserve">lan </w:t>
      </w:r>
      <w:r>
        <w:t>i</w:t>
      </w:r>
      <w:r w:rsidRPr="009A08FF">
        <w:t>ncorporat</w:t>
      </w:r>
      <w:r>
        <w:t>e</w:t>
      </w:r>
      <w:r w:rsidR="004D7CA3">
        <w:t>s</w:t>
      </w:r>
      <w:r>
        <w:t xml:space="preserve"> </w:t>
      </w:r>
      <w:r w:rsidRPr="002F1A26">
        <w:t xml:space="preserve">capacity development general principles and activities </w:t>
      </w:r>
      <w:r>
        <w:t>to “</w:t>
      </w:r>
      <w:r w:rsidRPr="002F1A26">
        <w:t xml:space="preserve">Enhance </w:t>
      </w:r>
      <w:r>
        <w:t xml:space="preserve">the </w:t>
      </w:r>
      <w:r w:rsidRPr="002F1A26">
        <w:t>role of ITC as the United Nations platform for inland transport conventions</w:t>
      </w:r>
      <w:r>
        <w:t>”</w:t>
      </w:r>
      <w:r w:rsidRPr="00BF6921">
        <w:t xml:space="preserve">. </w:t>
      </w:r>
      <w:r>
        <w:t xml:space="preserve">All activities </w:t>
      </w:r>
      <w:r w:rsidR="000F3394">
        <w:t xml:space="preserve">in </w:t>
      </w:r>
      <w:r w:rsidR="004A1B2A">
        <w:t xml:space="preserve">the below </w:t>
      </w:r>
      <w:r w:rsidR="000F3394">
        <w:t>T</w:t>
      </w:r>
      <w:r w:rsidR="000F3394" w:rsidRPr="00E95066">
        <w:t xml:space="preserve">able </w:t>
      </w:r>
      <w:r>
        <w:t>are</w:t>
      </w:r>
      <w:r w:rsidRPr="00BF6921">
        <w:t xml:space="preserve"> grouped into four strategic areas:</w:t>
      </w:r>
    </w:p>
    <w:p w14:paraId="66CE189C" w14:textId="1058891A" w:rsidR="00850483" w:rsidRPr="00DC68B9" w:rsidRDefault="00850483" w:rsidP="00850483">
      <w:pPr>
        <w:pStyle w:val="SingleTxtG"/>
        <w:ind w:firstLine="567"/>
      </w:pPr>
      <w:r w:rsidRPr="000F3747">
        <w:rPr>
          <w:bCs/>
        </w:rPr>
        <w:t>(a)</w:t>
      </w:r>
      <w:r w:rsidRPr="000F3747">
        <w:rPr>
          <w:bCs/>
        </w:rPr>
        <w:tab/>
      </w:r>
      <w:r w:rsidRPr="007133B7">
        <w:rPr>
          <w:b/>
          <w:bCs/>
        </w:rPr>
        <w:t>Awareness</w:t>
      </w:r>
      <w:r>
        <w:rPr>
          <w:b/>
          <w:bCs/>
        </w:rPr>
        <w:t>-</w:t>
      </w:r>
      <w:r w:rsidRPr="007133B7">
        <w:rPr>
          <w:b/>
          <w:bCs/>
        </w:rPr>
        <w:t>ra</w:t>
      </w:r>
      <w:r w:rsidRPr="002F1A26">
        <w:rPr>
          <w:b/>
          <w:bCs/>
        </w:rPr>
        <w:t>ising</w:t>
      </w:r>
      <w:r w:rsidRPr="002F1A26">
        <w:t xml:space="preserve"> </w:t>
      </w:r>
      <w:r w:rsidRPr="00DC68B9">
        <w:t xml:space="preserve">- Inform Member States on </w:t>
      </w:r>
      <w:r>
        <w:t>United Nations</w:t>
      </w:r>
      <w:r w:rsidRPr="00DC68B9">
        <w:t xml:space="preserve"> transport legal instruments and on benefits of its efficient implementation</w:t>
      </w:r>
      <w:r>
        <w:t>.</w:t>
      </w:r>
    </w:p>
    <w:p w14:paraId="0B92F5A9" w14:textId="1D84E438" w:rsidR="00850483" w:rsidRPr="00DC68B9" w:rsidRDefault="00850483" w:rsidP="00850483">
      <w:pPr>
        <w:pStyle w:val="SingleTxtG"/>
        <w:ind w:firstLine="567"/>
      </w:pPr>
      <w:r w:rsidRPr="000F3747">
        <w:rPr>
          <w:bCs/>
        </w:rPr>
        <w:t>(b)</w:t>
      </w:r>
      <w:r w:rsidRPr="000F3747">
        <w:rPr>
          <w:bCs/>
        </w:rPr>
        <w:tab/>
      </w:r>
      <w:r w:rsidRPr="00DC68B9">
        <w:rPr>
          <w:b/>
          <w:bCs/>
        </w:rPr>
        <w:t>Capacity enhancement</w:t>
      </w:r>
      <w:r w:rsidRPr="00DC68B9">
        <w:t xml:space="preserve"> - Assist </w:t>
      </w:r>
      <w:r w:rsidR="009F4104">
        <w:t>M</w:t>
      </w:r>
      <w:r w:rsidRPr="00DC68B9">
        <w:t xml:space="preserve">ember States in developing capacities for efficient implementation of </w:t>
      </w:r>
      <w:r>
        <w:t>United Nations</w:t>
      </w:r>
      <w:r w:rsidRPr="00DC68B9">
        <w:t xml:space="preserve"> inland transport legal instruments</w:t>
      </w:r>
      <w:r>
        <w:t>.</w:t>
      </w:r>
    </w:p>
    <w:p w14:paraId="1FE717D5" w14:textId="68BD2D6B" w:rsidR="00850483" w:rsidRPr="00DC68B9" w:rsidRDefault="00850483" w:rsidP="00850483">
      <w:pPr>
        <w:pStyle w:val="SingleTxtG"/>
        <w:ind w:firstLine="567"/>
      </w:pPr>
      <w:r w:rsidRPr="000F3747">
        <w:rPr>
          <w:bCs/>
        </w:rPr>
        <w:t>(c)</w:t>
      </w:r>
      <w:r w:rsidRPr="000F3747">
        <w:rPr>
          <w:bCs/>
        </w:rPr>
        <w:tab/>
      </w:r>
      <w:r w:rsidRPr="00DC68B9">
        <w:rPr>
          <w:b/>
          <w:bCs/>
        </w:rPr>
        <w:t>Seek synergies</w:t>
      </w:r>
      <w:r w:rsidRPr="00DC68B9">
        <w:t xml:space="preserve"> - Develop standards and competence criteria for accreditation of entities (academia, training </w:t>
      </w:r>
      <w:r w:rsidRPr="00B71DC3">
        <w:t>centres</w:t>
      </w:r>
      <w:r w:rsidRPr="00DC68B9">
        <w:t xml:space="preserve">, etc.) to promote </w:t>
      </w:r>
      <w:r>
        <w:t>United Nations</w:t>
      </w:r>
      <w:r w:rsidRPr="00DC68B9">
        <w:t xml:space="preserve"> inland transport legal instruments</w:t>
      </w:r>
      <w:r>
        <w:t>.</w:t>
      </w:r>
    </w:p>
    <w:p w14:paraId="7F8A0C22" w14:textId="77777777" w:rsidR="00850483" w:rsidRPr="00DC68B9" w:rsidRDefault="00850483" w:rsidP="00850483">
      <w:pPr>
        <w:pStyle w:val="SingleTxtG"/>
        <w:ind w:firstLine="567"/>
      </w:pPr>
      <w:r w:rsidRPr="000F3747">
        <w:rPr>
          <w:bCs/>
        </w:rPr>
        <w:t>(d)</w:t>
      </w:r>
      <w:r w:rsidRPr="000F3747">
        <w:rPr>
          <w:bCs/>
        </w:rPr>
        <w:tab/>
      </w:r>
      <w:r w:rsidRPr="00DC68B9">
        <w:rPr>
          <w:b/>
          <w:bCs/>
        </w:rPr>
        <w:t>Monitor and evaluate results</w:t>
      </w:r>
      <w:r w:rsidRPr="00DC68B9">
        <w:t xml:space="preserve"> and effectiveness of applied actions/methods.</w:t>
      </w:r>
    </w:p>
    <w:p w14:paraId="7B295203" w14:textId="475185BA" w:rsidR="00CF75C2" w:rsidRDefault="00696773" w:rsidP="00CF75C2">
      <w:pPr>
        <w:pStyle w:val="SingleTxtG"/>
      </w:pPr>
      <w:r>
        <w:t>6.</w:t>
      </w:r>
      <w:r>
        <w:tab/>
      </w:r>
      <w:r w:rsidR="00E8179A">
        <w:t xml:space="preserve">More information on </w:t>
      </w:r>
      <w:r w:rsidR="009F4104">
        <w:t xml:space="preserve">the </w:t>
      </w:r>
      <w:r w:rsidR="00E8179A">
        <w:t xml:space="preserve">implementation of activities </w:t>
      </w:r>
      <w:bookmarkStart w:id="1" w:name="_Hlk22048005"/>
      <w:r w:rsidR="009F4104">
        <w:t xml:space="preserve">as </w:t>
      </w:r>
      <w:r w:rsidR="00E8179A">
        <w:t>defined by the</w:t>
      </w:r>
      <w:r w:rsidR="00E8179A" w:rsidRPr="00DC68B9">
        <w:t xml:space="preserve"> ITC Capacity Development </w:t>
      </w:r>
      <w:r w:rsidR="00E8179A" w:rsidRPr="00CF75C2">
        <w:t>Action</w:t>
      </w:r>
      <w:r w:rsidR="00E8179A" w:rsidRPr="00DC68B9">
        <w:t xml:space="preserve"> Plan</w:t>
      </w:r>
      <w:bookmarkEnd w:id="1"/>
      <w:r w:rsidR="00E8179A">
        <w:t xml:space="preserve"> in year 2022 are presented in the T</w:t>
      </w:r>
      <w:r w:rsidRPr="00E95066">
        <w:t xml:space="preserve">able </w:t>
      </w:r>
      <w:r w:rsidR="00687B3D">
        <w:t>of the Annex</w:t>
      </w:r>
      <w:r w:rsidR="00E8179A">
        <w:t>.</w:t>
      </w:r>
    </w:p>
    <w:p w14:paraId="49620198" w14:textId="26B7FB1D" w:rsidR="00696773" w:rsidRDefault="00CC15F3" w:rsidP="00CF75C2">
      <w:pPr>
        <w:pStyle w:val="SingleTxtG"/>
        <w:sectPr w:rsidR="00696773" w:rsidSect="0095478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t xml:space="preserve"> </w:t>
      </w:r>
    </w:p>
    <w:p w14:paraId="4FE40B2B" w14:textId="7C9BFBF5" w:rsidR="00696773" w:rsidRDefault="00696773" w:rsidP="00696773">
      <w:pPr>
        <w:pStyle w:val="Heading1"/>
        <w:ind w:left="284"/>
        <w:rPr>
          <w:bCs/>
        </w:rPr>
      </w:pPr>
      <w:r w:rsidRPr="00BB2377">
        <w:lastRenderedPageBreak/>
        <w:t xml:space="preserve">Table </w:t>
      </w:r>
    </w:p>
    <w:p w14:paraId="7A8D607C" w14:textId="36099FB3" w:rsidR="00696773" w:rsidRPr="00EB5413" w:rsidRDefault="00696773" w:rsidP="00696773">
      <w:pPr>
        <w:pStyle w:val="SingleTxtG"/>
        <w:ind w:left="284"/>
        <w:rPr>
          <w:b/>
          <w:bCs/>
        </w:rPr>
      </w:pPr>
      <w:r w:rsidRPr="00EB5413">
        <w:rPr>
          <w:b/>
          <w:bCs/>
        </w:rPr>
        <w:t>The ITC Capacity Development Action Plan</w:t>
      </w:r>
      <w:r>
        <w:rPr>
          <w:b/>
          <w:bCs/>
        </w:rPr>
        <w:t xml:space="preserve"> – activities implemented in 2022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26"/>
        <w:gridCol w:w="1869"/>
        <w:gridCol w:w="1815"/>
        <w:gridCol w:w="6644"/>
      </w:tblGrid>
      <w:tr w:rsidR="009B4F97" w:rsidRPr="000673D1" w14:paraId="08028467" w14:textId="77777777" w:rsidTr="0035124D">
        <w:trPr>
          <w:cantSplit/>
          <w:tblHeader/>
        </w:trPr>
        <w:tc>
          <w:tcPr>
            <w:tcW w:w="782" w:type="pct"/>
            <w:tcBorders>
              <w:top w:val="single" w:sz="4" w:space="0" w:color="auto"/>
              <w:bottom w:val="single" w:sz="12" w:space="0" w:color="auto"/>
            </w:tcBorders>
            <w:shd w:val="clear" w:color="auto" w:fill="auto"/>
          </w:tcPr>
          <w:p w14:paraId="3D1AE985" w14:textId="77777777" w:rsidR="00FB07BD" w:rsidRPr="000673D1" w:rsidRDefault="00FB07BD" w:rsidP="00EA41E9">
            <w:pPr>
              <w:suppressAutoHyphens w:val="0"/>
              <w:spacing w:before="80" w:after="80" w:line="200" w:lineRule="exact"/>
              <w:ind w:right="113"/>
              <w:rPr>
                <w:i/>
                <w:sz w:val="16"/>
              </w:rPr>
            </w:pPr>
            <w:r w:rsidRPr="000673D1">
              <w:rPr>
                <w:i/>
                <w:sz w:val="16"/>
              </w:rPr>
              <w:t>Strategic goal</w:t>
            </w:r>
          </w:p>
        </w:tc>
        <w:tc>
          <w:tcPr>
            <w:tcW w:w="604" w:type="pct"/>
            <w:tcBorders>
              <w:top w:val="single" w:sz="4" w:space="0" w:color="auto"/>
              <w:bottom w:val="single" w:sz="12" w:space="0" w:color="auto"/>
            </w:tcBorders>
            <w:shd w:val="clear" w:color="auto" w:fill="auto"/>
          </w:tcPr>
          <w:p w14:paraId="4C7D62BD" w14:textId="77777777" w:rsidR="00FB07BD" w:rsidRPr="000673D1" w:rsidRDefault="00FB07BD" w:rsidP="00EA41E9">
            <w:pPr>
              <w:suppressAutoHyphens w:val="0"/>
              <w:spacing w:before="80" w:after="80" w:line="200" w:lineRule="exact"/>
              <w:ind w:right="113"/>
              <w:rPr>
                <w:i/>
                <w:sz w:val="16"/>
              </w:rPr>
            </w:pPr>
            <w:r w:rsidRPr="000673D1">
              <w:rPr>
                <w:i/>
                <w:sz w:val="16"/>
              </w:rPr>
              <w:t>Strategic area</w:t>
            </w:r>
          </w:p>
        </w:tc>
        <w:tc>
          <w:tcPr>
            <w:tcW w:w="654" w:type="pct"/>
            <w:tcBorders>
              <w:top w:val="single" w:sz="4" w:space="0" w:color="auto"/>
              <w:bottom w:val="single" w:sz="12" w:space="0" w:color="auto"/>
            </w:tcBorders>
            <w:shd w:val="clear" w:color="auto" w:fill="auto"/>
          </w:tcPr>
          <w:p w14:paraId="0141DB2F" w14:textId="77777777" w:rsidR="00FB07BD" w:rsidRPr="000673D1" w:rsidRDefault="00FB07BD" w:rsidP="00EA41E9">
            <w:pPr>
              <w:suppressAutoHyphens w:val="0"/>
              <w:spacing w:before="80" w:after="80" w:line="200" w:lineRule="exact"/>
              <w:ind w:right="113"/>
              <w:rPr>
                <w:i/>
                <w:sz w:val="16"/>
              </w:rPr>
            </w:pPr>
            <w:r w:rsidRPr="000673D1">
              <w:rPr>
                <w:i/>
                <w:sz w:val="16"/>
              </w:rPr>
              <w:t>Actions</w:t>
            </w:r>
          </w:p>
        </w:tc>
        <w:tc>
          <w:tcPr>
            <w:tcW w:w="635" w:type="pct"/>
            <w:tcBorders>
              <w:top w:val="single" w:sz="4" w:space="0" w:color="auto"/>
              <w:bottom w:val="single" w:sz="12" w:space="0" w:color="auto"/>
            </w:tcBorders>
            <w:shd w:val="clear" w:color="auto" w:fill="auto"/>
          </w:tcPr>
          <w:p w14:paraId="56824A7A" w14:textId="77777777" w:rsidR="00FB07BD" w:rsidRPr="000673D1" w:rsidRDefault="00FB07BD" w:rsidP="00EA41E9">
            <w:pPr>
              <w:suppressAutoHyphens w:val="0"/>
              <w:spacing w:before="80" w:after="80" w:line="200" w:lineRule="exact"/>
              <w:ind w:right="113"/>
              <w:rPr>
                <w:i/>
                <w:sz w:val="16"/>
              </w:rPr>
            </w:pPr>
            <w:r w:rsidRPr="000673D1">
              <w:rPr>
                <w:i/>
                <w:sz w:val="16"/>
              </w:rPr>
              <w:t>Outcomes/products</w:t>
            </w:r>
          </w:p>
        </w:tc>
        <w:tc>
          <w:tcPr>
            <w:tcW w:w="2326" w:type="pct"/>
            <w:tcBorders>
              <w:top w:val="single" w:sz="4" w:space="0" w:color="auto"/>
              <w:bottom w:val="single" w:sz="12" w:space="0" w:color="auto"/>
            </w:tcBorders>
          </w:tcPr>
          <w:p w14:paraId="61AA74DA" w14:textId="4C4CC776" w:rsidR="00FB07BD" w:rsidRDefault="00FB07BD" w:rsidP="00EA41E9">
            <w:pPr>
              <w:suppressAutoHyphens w:val="0"/>
              <w:spacing w:before="80" w:after="80" w:line="200" w:lineRule="exact"/>
              <w:ind w:right="113"/>
              <w:rPr>
                <w:i/>
                <w:sz w:val="16"/>
              </w:rPr>
            </w:pPr>
            <w:r>
              <w:rPr>
                <w:i/>
                <w:sz w:val="16"/>
              </w:rPr>
              <w:t>Implementation</w:t>
            </w:r>
          </w:p>
        </w:tc>
      </w:tr>
      <w:tr w:rsidR="009B4F97" w:rsidRPr="000673D1" w14:paraId="662D9340" w14:textId="77777777" w:rsidTr="0035124D">
        <w:trPr>
          <w:cantSplit/>
        </w:trPr>
        <w:tc>
          <w:tcPr>
            <w:tcW w:w="782" w:type="pct"/>
            <w:vMerge w:val="restart"/>
            <w:tcBorders>
              <w:top w:val="single" w:sz="12" w:space="0" w:color="auto"/>
            </w:tcBorders>
            <w:shd w:val="clear" w:color="auto" w:fill="auto"/>
          </w:tcPr>
          <w:p w14:paraId="639E1C23" w14:textId="28842E48" w:rsidR="00FB07BD" w:rsidRPr="000673D1" w:rsidRDefault="00FB07BD" w:rsidP="00EA41E9">
            <w:pPr>
              <w:suppressAutoHyphens w:val="0"/>
              <w:spacing w:before="40" w:after="120"/>
              <w:ind w:right="113"/>
            </w:pPr>
            <w:bookmarkStart w:id="2" w:name="_Hlk21943267"/>
            <w:r w:rsidRPr="000673D1">
              <w:t>Enhance role of ITC as the United Nations platform for inland transport Conventions</w:t>
            </w:r>
            <w:bookmarkEnd w:id="2"/>
          </w:p>
        </w:tc>
        <w:tc>
          <w:tcPr>
            <w:tcW w:w="604" w:type="pct"/>
            <w:vMerge w:val="restart"/>
            <w:tcBorders>
              <w:top w:val="single" w:sz="12" w:space="0" w:color="auto"/>
            </w:tcBorders>
            <w:shd w:val="clear" w:color="auto" w:fill="auto"/>
          </w:tcPr>
          <w:p w14:paraId="43AA57CF" w14:textId="77777777" w:rsidR="00FB07BD" w:rsidRPr="000673D1" w:rsidRDefault="00FB07BD" w:rsidP="00EA41E9">
            <w:pPr>
              <w:suppressAutoHyphens w:val="0"/>
              <w:spacing w:before="40" w:after="120"/>
              <w:ind w:right="113"/>
            </w:pPr>
            <w:r w:rsidRPr="0087664E">
              <w:rPr>
                <w:b/>
                <w:bCs/>
              </w:rPr>
              <w:t>Awareness Raising:</w:t>
            </w:r>
          </w:p>
          <w:p w14:paraId="78F78C05" w14:textId="2E235F81" w:rsidR="00FB07BD" w:rsidRPr="000673D1" w:rsidRDefault="00FB07BD" w:rsidP="00EA41E9">
            <w:pPr>
              <w:suppressAutoHyphens w:val="0"/>
              <w:spacing w:before="40" w:after="120"/>
              <w:ind w:right="113"/>
            </w:pPr>
            <w:r w:rsidRPr="000673D1">
              <w:t xml:space="preserve">Inform </w:t>
            </w:r>
            <w:r w:rsidR="00F30E37">
              <w:t>M</w:t>
            </w:r>
            <w:r w:rsidRPr="000673D1">
              <w:t>ember States on United Nations transport legal instruments and on benefits of its efficient implementation</w:t>
            </w:r>
          </w:p>
        </w:tc>
        <w:tc>
          <w:tcPr>
            <w:tcW w:w="654" w:type="pct"/>
            <w:tcBorders>
              <w:top w:val="single" w:sz="12" w:space="0" w:color="auto"/>
            </w:tcBorders>
            <w:shd w:val="clear" w:color="auto" w:fill="auto"/>
          </w:tcPr>
          <w:p w14:paraId="4BC38444" w14:textId="1E13A5EE" w:rsidR="00FB07BD" w:rsidRPr="000673D1" w:rsidRDefault="00FB07BD" w:rsidP="00EA41E9">
            <w:pPr>
              <w:suppressAutoHyphens w:val="0"/>
              <w:spacing w:before="40" w:after="120"/>
              <w:ind w:right="113"/>
            </w:pPr>
            <w:r w:rsidRPr="000673D1">
              <w:t>Develop and update webpage and leaflets</w:t>
            </w:r>
          </w:p>
        </w:tc>
        <w:tc>
          <w:tcPr>
            <w:tcW w:w="635" w:type="pct"/>
            <w:tcBorders>
              <w:top w:val="single" w:sz="12" w:space="0" w:color="auto"/>
            </w:tcBorders>
            <w:shd w:val="clear" w:color="auto" w:fill="auto"/>
          </w:tcPr>
          <w:p w14:paraId="26B606A3" w14:textId="123A8504" w:rsidR="00FB07BD" w:rsidRPr="000673D1" w:rsidRDefault="00FB07BD" w:rsidP="00EA41E9">
            <w:pPr>
              <w:suppressAutoHyphens w:val="0"/>
              <w:spacing w:before="40" w:after="120"/>
              <w:ind w:right="113"/>
            </w:pPr>
            <w:r w:rsidRPr="000673D1">
              <w:t xml:space="preserve">ECE </w:t>
            </w:r>
            <w:r w:rsidR="009B4F97" w:rsidRPr="000673D1">
              <w:t>webpage</w:t>
            </w:r>
            <w:r w:rsidRPr="000673D1">
              <w:t>, news and leaflets</w:t>
            </w:r>
          </w:p>
        </w:tc>
        <w:tc>
          <w:tcPr>
            <w:tcW w:w="2326" w:type="pct"/>
            <w:tcBorders>
              <w:top w:val="single" w:sz="12" w:space="0" w:color="auto"/>
            </w:tcBorders>
          </w:tcPr>
          <w:p w14:paraId="68F4C492" w14:textId="6A0DAFE9" w:rsidR="00FB07BD" w:rsidRDefault="00FB07BD" w:rsidP="00FB07BD">
            <w:pPr>
              <w:suppressAutoHyphens w:val="0"/>
              <w:spacing w:before="40" w:after="120"/>
              <w:ind w:right="113"/>
            </w:pPr>
            <w:r>
              <w:t xml:space="preserve">Webpage updated </w:t>
            </w:r>
            <w:r w:rsidR="008E0931">
              <w:t xml:space="preserve">in December </w:t>
            </w:r>
            <w:r>
              <w:t>2020</w:t>
            </w:r>
          </w:p>
          <w:p w14:paraId="528EA4BF" w14:textId="77777777" w:rsidR="00FB07BD" w:rsidRDefault="00FB07BD" w:rsidP="00EA41E9">
            <w:pPr>
              <w:suppressAutoHyphens w:val="0"/>
              <w:spacing w:before="40" w:after="120"/>
              <w:ind w:right="113"/>
            </w:pPr>
          </w:p>
        </w:tc>
      </w:tr>
      <w:tr w:rsidR="009B4F97" w:rsidRPr="000673D1" w14:paraId="0B2B1084" w14:textId="77777777" w:rsidTr="0035124D">
        <w:trPr>
          <w:cantSplit/>
        </w:trPr>
        <w:tc>
          <w:tcPr>
            <w:tcW w:w="782" w:type="pct"/>
            <w:vMerge/>
            <w:shd w:val="clear" w:color="auto" w:fill="auto"/>
          </w:tcPr>
          <w:p w14:paraId="7D76E1FA" w14:textId="77777777" w:rsidR="00FB07BD" w:rsidRPr="000673D1" w:rsidRDefault="00FB07BD" w:rsidP="00EA41E9">
            <w:pPr>
              <w:suppressAutoHyphens w:val="0"/>
              <w:spacing w:before="40" w:after="120"/>
              <w:ind w:right="113"/>
            </w:pPr>
          </w:p>
        </w:tc>
        <w:tc>
          <w:tcPr>
            <w:tcW w:w="604" w:type="pct"/>
            <w:vMerge/>
            <w:shd w:val="clear" w:color="auto" w:fill="auto"/>
          </w:tcPr>
          <w:p w14:paraId="54C82AF5" w14:textId="77777777" w:rsidR="00FB07BD" w:rsidRPr="000673D1" w:rsidRDefault="00FB07BD" w:rsidP="00EA41E9">
            <w:pPr>
              <w:suppressAutoHyphens w:val="0"/>
              <w:spacing w:before="40" w:after="120"/>
              <w:ind w:right="113"/>
            </w:pPr>
          </w:p>
        </w:tc>
        <w:tc>
          <w:tcPr>
            <w:tcW w:w="654" w:type="pct"/>
            <w:shd w:val="clear" w:color="auto" w:fill="auto"/>
          </w:tcPr>
          <w:p w14:paraId="1E24CBA7" w14:textId="77777777" w:rsidR="00FB07BD" w:rsidRPr="000673D1" w:rsidRDefault="00FB07BD" w:rsidP="00EA41E9">
            <w:pPr>
              <w:suppressAutoHyphens w:val="0"/>
              <w:spacing w:before="40" w:after="120"/>
              <w:ind w:right="113"/>
            </w:pPr>
            <w:r w:rsidRPr="000673D1">
              <w:t>Update Division’s profile including all transport-related instruments</w:t>
            </w:r>
          </w:p>
        </w:tc>
        <w:tc>
          <w:tcPr>
            <w:tcW w:w="635" w:type="pct"/>
            <w:shd w:val="clear" w:color="auto" w:fill="auto"/>
          </w:tcPr>
          <w:p w14:paraId="04A5868F" w14:textId="77777777" w:rsidR="00FB07BD" w:rsidRPr="000673D1" w:rsidRDefault="00FB07BD" w:rsidP="00EA41E9">
            <w:pPr>
              <w:suppressAutoHyphens w:val="0"/>
              <w:spacing w:before="40" w:after="120"/>
              <w:ind w:right="113"/>
            </w:pPr>
            <w:r w:rsidRPr="000673D1">
              <w:t>e-learning and knowledge sharing platform</w:t>
            </w:r>
          </w:p>
        </w:tc>
        <w:tc>
          <w:tcPr>
            <w:tcW w:w="2326" w:type="pct"/>
          </w:tcPr>
          <w:p w14:paraId="4349D0AC" w14:textId="074A7F2A" w:rsidR="00FB07BD" w:rsidRDefault="00FB07BD" w:rsidP="00EA41E9">
            <w:pPr>
              <w:suppressAutoHyphens w:val="0"/>
              <w:spacing w:before="40" w:after="120"/>
              <w:ind w:right="113"/>
            </w:pPr>
            <w:proofErr w:type="spellStart"/>
            <w:r>
              <w:t>LearnITC</w:t>
            </w:r>
            <w:proofErr w:type="spellEnd"/>
            <w:r>
              <w:t xml:space="preserve"> launched 05/09/2022</w:t>
            </w:r>
          </w:p>
          <w:p w14:paraId="1ED03481" w14:textId="39541B95" w:rsidR="00FB07BD" w:rsidRPr="000673D1" w:rsidRDefault="00FB07BD" w:rsidP="00EA41E9">
            <w:pPr>
              <w:suppressAutoHyphens w:val="0"/>
              <w:spacing w:before="40" w:after="120"/>
              <w:ind w:right="113"/>
            </w:pPr>
            <w:r w:rsidRPr="00FB07BD">
              <w:t>https://learnitc.unece.org/</w:t>
            </w:r>
          </w:p>
        </w:tc>
      </w:tr>
      <w:tr w:rsidR="009B4F97" w:rsidRPr="000673D1" w14:paraId="714F5F79" w14:textId="77777777" w:rsidTr="0035124D">
        <w:trPr>
          <w:cantSplit/>
        </w:trPr>
        <w:tc>
          <w:tcPr>
            <w:tcW w:w="782" w:type="pct"/>
            <w:vMerge/>
            <w:shd w:val="clear" w:color="auto" w:fill="auto"/>
          </w:tcPr>
          <w:p w14:paraId="0E254883" w14:textId="77777777" w:rsidR="00FB07BD" w:rsidRPr="000673D1" w:rsidRDefault="00FB07BD" w:rsidP="00EA41E9">
            <w:pPr>
              <w:suppressAutoHyphens w:val="0"/>
              <w:spacing w:before="40" w:after="120"/>
              <w:ind w:right="113"/>
            </w:pPr>
          </w:p>
        </w:tc>
        <w:tc>
          <w:tcPr>
            <w:tcW w:w="604" w:type="pct"/>
            <w:vMerge/>
            <w:shd w:val="clear" w:color="auto" w:fill="auto"/>
          </w:tcPr>
          <w:p w14:paraId="475B71AD" w14:textId="77777777" w:rsidR="00FB07BD" w:rsidRPr="000673D1" w:rsidRDefault="00FB07BD" w:rsidP="00EA41E9">
            <w:pPr>
              <w:suppressAutoHyphens w:val="0"/>
              <w:spacing w:before="40" w:after="120"/>
              <w:ind w:right="113"/>
            </w:pPr>
          </w:p>
        </w:tc>
        <w:tc>
          <w:tcPr>
            <w:tcW w:w="654" w:type="pct"/>
            <w:shd w:val="clear" w:color="auto" w:fill="auto"/>
          </w:tcPr>
          <w:p w14:paraId="1A24DA82" w14:textId="77777777" w:rsidR="00FB07BD" w:rsidRPr="000673D1" w:rsidRDefault="00FB07BD" w:rsidP="00EA41E9">
            <w:pPr>
              <w:suppressAutoHyphens w:val="0"/>
              <w:spacing w:before="40" w:after="120"/>
              <w:ind w:right="113"/>
            </w:pPr>
            <w:r w:rsidRPr="000673D1">
              <w:t>Develop and update sets of presentations</w:t>
            </w:r>
          </w:p>
        </w:tc>
        <w:tc>
          <w:tcPr>
            <w:tcW w:w="635" w:type="pct"/>
            <w:shd w:val="clear" w:color="auto" w:fill="auto"/>
          </w:tcPr>
          <w:p w14:paraId="12DF6CD8" w14:textId="77777777" w:rsidR="00FB07BD" w:rsidRPr="000673D1" w:rsidRDefault="00FB07BD" w:rsidP="00EA41E9">
            <w:pPr>
              <w:suppressAutoHyphens w:val="0"/>
              <w:spacing w:before="40" w:after="120"/>
              <w:ind w:right="113"/>
            </w:pPr>
            <w:r w:rsidRPr="000673D1">
              <w:t xml:space="preserve">Sustainable Transport Division intranet </w:t>
            </w:r>
          </w:p>
          <w:p w14:paraId="0477607E" w14:textId="77777777" w:rsidR="00FB07BD" w:rsidRPr="000673D1" w:rsidRDefault="00FB07BD" w:rsidP="00EA41E9">
            <w:pPr>
              <w:suppressAutoHyphens w:val="0"/>
              <w:spacing w:before="40" w:after="120"/>
              <w:ind w:right="113"/>
            </w:pPr>
            <w:r w:rsidRPr="000673D1">
              <w:t>Missions and presentations (organized by other entities)</w:t>
            </w:r>
          </w:p>
        </w:tc>
        <w:tc>
          <w:tcPr>
            <w:tcW w:w="2326" w:type="pct"/>
          </w:tcPr>
          <w:p w14:paraId="6AA15916" w14:textId="77777777" w:rsidR="00FB07BD" w:rsidRPr="000673D1" w:rsidRDefault="00FB07BD" w:rsidP="00EA41E9">
            <w:pPr>
              <w:suppressAutoHyphens w:val="0"/>
              <w:spacing w:before="40" w:after="120"/>
              <w:ind w:right="113"/>
            </w:pPr>
          </w:p>
        </w:tc>
      </w:tr>
      <w:tr w:rsidR="009B4F97" w:rsidRPr="000673D1" w14:paraId="3B97935F" w14:textId="77777777" w:rsidTr="0035124D">
        <w:trPr>
          <w:cantSplit/>
        </w:trPr>
        <w:tc>
          <w:tcPr>
            <w:tcW w:w="782" w:type="pct"/>
            <w:vMerge/>
            <w:shd w:val="clear" w:color="auto" w:fill="auto"/>
          </w:tcPr>
          <w:p w14:paraId="0D0E9AF9" w14:textId="77777777" w:rsidR="00FB07BD" w:rsidRPr="000673D1" w:rsidRDefault="00FB07BD" w:rsidP="00EA41E9">
            <w:pPr>
              <w:suppressAutoHyphens w:val="0"/>
              <w:spacing w:before="40" w:after="120"/>
              <w:ind w:right="113"/>
            </w:pPr>
          </w:p>
        </w:tc>
        <w:tc>
          <w:tcPr>
            <w:tcW w:w="604" w:type="pct"/>
            <w:vMerge/>
            <w:shd w:val="clear" w:color="auto" w:fill="auto"/>
          </w:tcPr>
          <w:p w14:paraId="045BF93C" w14:textId="77777777" w:rsidR="00FB07BD" w:rsidRPr="000673D1" w:rsidRDefault="00FB07BD" w:rsidP="00EA41E9">
            <w:pPr>
              <w:suppressAutoHyphens w:val="0"/>
              <w:spacing w:before="40" w:after="120"/>
              <w:ind w:right="113"/>
            </w:pPr>
          </w:p>
        </w:tc>
        <w:tc>
          <w:tcPr>
            <w:tcW w:w="654" w:type="pct"/>
            <w:shd w:val="clear" w:color="auto" w:fill="auto"/>
          </w:tcPr>
          <w:p w14:paraId="57751DCE" w14:textId="77777777" w:rsidR="00FB07BD" w:rsidRPr="000673D1" w:rsidRDefault="00FB07BD" w:rsidP="00EA41E9">
            <w:pPr>
              <w:suppressAutoHyphens w:val="0"/>
              <w:spacing w:before="40" w:after="120"/>
              <w:ind w:right="113"/>
            </w:pPr>
            <w:r w:rsidRPr="000673D1">
              <w:t>Develop “how to accede/road map for implementation” guides</w:t>
            </w:r>
          </w:p>
        </w:tc>
        <w:tc>
          <w:tcPr>
            <w:tcW w:w="635" w:type="pct"/>
            <w:shd w:val="clear" w:color="auto" w:fill="auto"/>
          </w:tcPr>
          <w:p w14:paraId="43054BB7" w14:textId="77777777" w:rsidR="00FB07BD" w:rsidRPr="000673D1" w:rsidRDefault="00FB07BD" w:rsidP="00EA41E9">
            <w:pPr>
              <w:suppressAutoHyphens w:val="0"/>
              <w:spacing w:before="40" w:after="120"/>
              <w:ind w:right="113"/>
            </w:pPr>
            <w:r w:rsidRPr="000673D1">
              <w:t>How to accede/road map for implementation publication</w:t>
            </w:r>
          </w:p>
        </w:tc>
        <w:tc>
          <w:tcPr>
            <w:tcW w:w="2326" w:type="pct"/>
          </w:tcPr>
          <w:p w14:paraId="093B7C97" w14:textId="67B067A6" w:rsidR="00FB07BD" w:rsidRDefault="00731D5C" w:rsidP="00EA41E9">
            <w:pPr>
              <w:suppressAutoHyphens w:val="0"/>
              <w:spacing w:before="40" w:after="120"/>
              <w:ind w:right="113"/>
            </w:pPr>
            <w:r w:rsidRPr="00731D5C">
              <w:t>ADR: Road map for accession and implementation</w:t>
            </w:r>
            <w:r>
              <w:t xml:space="preserve"> published in November 2022</w:t>
            </w:r>
          </w:p>
          <w:p w14:paraId="75852B6F" w14:textId="2D9A0B1C" w:rsidR="006460FA" w:rsidRDefault="006460FA" w:rsidP="00EA41E9">
            <w:pPr>
              <w:suppressAutoHyphens w:val="0"/>
              <w:spacing w:before="40" w:after="120"/>
              <w:ind w:right="113"/>
            </w:pPr>
            <w:r w:rsidRPr="006460FA">
              <w:t>World Forum for Harmonization of Vehicle Regulations (WP.29) – How It Works, How to Join It</w:t>
            </w:r>
            <w:r>
              <w:t xml:space="preserve"> – published in March 2022</w:t>
            </w:r>
          </w:p>
          <w:p w14:paraId="16C06E77" w14:textId="118C7C0A" w:rsidR="00731D5C" w:rsidRPr="000673D1" w:rsidRDefault="008E0931" w:rsidP="00EA41E9">
            <w:pPr>
              <w:suppressAutoHyphens w:val="0"/>
              <w:spacing w:before="40" w:after="120"/>
              <w:ind w:right="113"/>
            </w:pPr>
            <w:r w:rsidRPr="002C7015">
              <w:t>Roadmap for accession to and implementation of the 1997 Agreement for Bosnia and Herzegovina</w:t>
            </w:r>
            <w:r>
              <w:t xml:space="preserve"> prepared in June 2021</w:t>
            </w:r>
          </w:p>
        </w:tc>
      </w:tr>
      <w:tr w:rsidR="009B4F97" w:rsidRPr="000673D1" w14:paraId="505EDAA9" w14:textId="77777777" w:rsidTr="0035124D">
        <w:trPr>
          <w:cantSplit/>
        </w:trPr>
        <w:tc>
          <w:tcPr>
            <w:tcW w:w="782" w:type="pct"/>
            <w:vMerge/>
            <w:shd w:val="clear" w:color="auto" w:fill="auto"/>
          </w:tcPr>
          <w:p w14:paraId="40FD6A9E" w14:textId="77777777" w:rsidR="00FB07BD" w:rsidRPr="000673D1" w:rsidRDefault="00FB07BD" w:rsidP="00EA41E9">
            <w:pPr>
              <w:suppressAutoHyphens w:val="0"/>
              <w:spacing w:before="40" w:after="120"/>
              <w:ind w:right="113"/>
            </w:pPr>
          </w:p>
        </w:tc>
        <w:tc>
          <w:tcPr>
            <w:tcW w:w="604" w:type="pct"/>
            <w:vMerge/>
            <w:shd w:val="clear" w:color="auto" w:fill="auto"/>
          </w:tcPr>
          <w:p w14:paraId="54F017B3" w14:textId="77777777" w:rsidR="00FB07BD" w:rsidRPr="000673D1" w:rsidRDefault="00FB07BD" w:rsidP="00EA41E9">
            <w:pPr>
              <w:suppressAutoHyphens w:val="0"/>
              <w:spacing w:before="40" w:after="120"/>
              <w:ind w:right="113"/>
            </w:pPr>
          </w:p>
        </w:tc>
        <w:tc>
          <w:tcPr>
            <w:tcW w:w="654" w:type="pct"/>
            <w:shd w:val="clear" w:color="auto" w:fill="auto"/>
          </w:tcPr>
          <w:p w14:paraId="19CA01E0" w14:textId="77777777" w:rsidR="00FB07BD" w:rsidRPr="000673D1" w:rsidRDefault="00FB07BD" w:rsidP="00EA41E9">
            <w:pPr>
              <w:suppressAutoHyphens w:val="0"/>
              <w:spacing w:before="40" w:after="120"/>
              <w:ind w:right="113"/>
            </w:pPr>
            <w:r w:rsidRPr="000673D1">
              <w:t>Prepare official and informal documents on capacity development</w:t>
            </w:r>
          </w:p>
        </w:tc>
        <w:tc>
          <w:tcPr>
            <w:tcW w:w="635" w:type="pct"/>
            <w:shd w:val="clear" w:color="auto" w:fill="auto"/>
          </w:tcPr>
          <w:p w14:paraId="75B6ABAA" w14:textId="77777777" w:rsidR="00FB07BD" w:rsidRPr="000673D1" w:rsidRDefault="00FB07BD" w:rsidP="00EA41E9">
            <w:pPr>
              <w:suppressAutoHyphens w:val="0"/>
              <w:spacing w:before="40" w:after="120"/>
              <w:ind w:right="113"/>
            </w:pPr>
            <w:r w:rsidRPr="000673D1">
              <w:t>Presentations and discussion during ITC and its subsidiary bodies meetings</w:t>
            </w:r>
          </w:p>
        </w:tc>
        <w:tc>
          <w:tcPr>
            <w:tcW w:w="2326" w:type="pct"/>
          </w:tcPr>
          <w:p w14:paraId="7D42FCDB" w14:textId="4D891FBF" w:rsidR="00FB07BD" w:rsidRPr="000673D1" w:rsidRDefault="008E0931" w:rsidP="00EA41E9">
            <w:pPr>
              <w:suppressAutoHyphens w:val="0"/>
              <w:spacing w:before="40" w:after="120"/>
              <w:ind w:right="113"/>
            </w:pPr>
            <w:r>
              <w:t>Results and lesson learned during two years of implementation presented at 84</w:t>
            </w:r>
            <w:r w:rsidRPr="008E0931">
              <w:rPr>
                <w:vertAlign w:val="superscript"/>
              </w:rPr>
              <w:t>th</w:t>
            </w:r>
            <w:r>
              <w:t xml:space="preserve"> ITC session and 34</w:t>
            </w:r>
            <w:r w:rsidRPr="008E0931">
              <w:rPr>
                <w:vertAlign w:val="superscript"/>
              </w:rPr>
              <w:t>th</w:t>
            </w:r>
            <w:r>
              <w:t xml:space="preserve"> session of WP.5 </w:t>
            </w:r>
          </w:p>
        </w:tc>
      </w:tr>
      <w:tr w:rsidR="009B4F97" w:rsidRPr="000673D1" w14:paraId="3F32B1C9" w14:textId="77777777" w:rsidTr="0035124D">
        <w:trPr>
          <w:cantSplit/>
          <w:trHeight w:val="400"/>
        </w:trPr>
        <w:tc>
          <w:tcPr>
            <w:tcW w:w="782" w:type="pct"/>
            <w:vMerge/>
            <w:shd w:val="clear" w:color="auto" w:fill="auto"/>
          </w:tcPr>
          <w:p w14:paraId="61F77257" w14:textId="77777777" w:rsidR="00FB07BD" w:rsidRPr="000673D1" w:rsidRDefault="00FB07BD" w:rsidP="00EA41E9">
            <w:pPr>
              <w:suppressAutoHyphens w:val="0"/>
              <w:spacing w:before="40" w:after="120"/>
              <w:ind w:right="113"/>
            </w:pPr>
          </w:p>
        </w:tc>
        <w:tc>
          <w:tcPr>
            <w:tcW w:w="604" w:type="pct"/>
            <w:vMerge w:val="restart"/>
            <w:shd w:val="clear" w:color="auto" w:fill="auto"/>
          </w:tcPr>
          <w:p w14:paraId="6CEA517D" w14:textId="77777777" w:rsidR="00FB07BD" w:rsidRPr="0087664E" w:rsidRDefault="00FB07BD" w:rsidP="00EA41E9">
            <w:pPr>
              <w:suppressAutoHyphens w:val="0"/>
              <w:spacing w:before="40" w:after="120"/>
              <w:ind w:right="113"/>
              <w:rPr>
                <w:b/>
                <w:bCs/>
              </w:rPr>
            </w:pPr>
            <w:r w:rsidRPr="0087664E">
              <w:rPr>
                <w:b/>
                <w:bCs/>
              </w:rPr>
              <w:t>Capacity enhancement:</w:t>
            </w:r>
          </w:p>
          <w:p w14:paraId="74451919" w14:textId="72D17064" w:rsidR="00FB07BD" w:rsidRPr="000673D1" w:rsidRDefault="00FB07BD" w:rsidP="00EA41E9">
            <w:pPr>
              <w:suppressAutoHyphens w:val="0"/>
              <w:spacing w:before="40" w:after="120"/>
              <w:ind w:right="113"/>
            </w:pPr>
            <w:r w:rsidRPr="000673D1">
              <w:t xml:space="preserve">Assist </w:t>
            </w:r>
            <w:r w:rsidR="003A17F1">
              <w:t>M</w:t>
            </w:r>
            <w:r w:rsidRPr="000673D1">
              <w:t xml:space="preserve">ember States in </w:t>
            </w:r>
            <w:r w:rsidRPr="000673D1">
              <w:lastRenderedPageBreak/>
              <w:t>developing capacities for efficient implementation of United Nations inland transport legal instruments (ECE - catalyst of changes)</w:t>
            </w:r>
          </w:p>
        </w:tc>
        <w:tc>
          <w:tcPr>
            <w:tcW w:w="654" w:type="pct"/>
            <w:vMerge w:val="restart"/>
            <w:shd w:val="clear" w:color="auto" w:fill="auto"/>
          </w:tcPr>
          <w:p w14:paraId="19E0DB7B" w14:textId="77777777" w:rsidR="00FB07BD" w:rsidRPr="000673D1" w:rsidRDefault="00FB07BD" w:rsidP="00EA41E9">
            <w:pPr>
              <w:suppressAutoHyphens w:val="0"/>
              <w:spacing w:before="40" w:after="120"/>
              <w:ind w:right="113"/>
            </w:pPr>
            <w:r w:rsidRPr="000673D1">
              <w:lastRenderedPageBreak/>
              <w:t>Develop comprehensive plan on capacity development</w:t>
            </w:r>
          </w:p>
        </w:tc>
        <w:tc>
          <w:tcPr>
            <w:tcW w:w="635" w:type="pct"/>
            <w:vMerge w:val="restart"/>
            <w:shd w:val="clear" w:color="auto" w:fill="auto"/>
          </w:tcPr>
          <w:p w14:paraId="6250B9D9" w14:textId="77777777" w:rsidR="00FB07BD" w:rsidRPr="000673D1" w:rsidRDefault="00FB07BD" w:rsidP="00EA41E9">
            <w:pPr>
              <w:suppressAutoHyphens w:val="0"/>
              <w:spacing w:before="40" w:after="120"/>
              <w:ind w:right="113"/>
            </w:pPr>
            <w:r w:rsidRPr="000673D1">
              <w:t>ITC Capacity Development Action Plan</w:t>
            </w:r>
          </w:p>
        </w:tc>
        <w:tc>
          <w:tcPr>
            <w:tcW w:w="2326" w:type="pct"/>
          </w:tcPr>
          <w:p w14:paraId="1698F4B2" w14:textId="4BFD9946" w:rsidR="00FB07BD" w:rsidRPr="000673D1" w:rsidRDefault="008E0931" w:rsidP="00EA41E9">
            <w:pPr>
              <w:suppressAutoHyphens w:val="0"/>
              <w:spacing w:before="40" w:after="120"/>
              <w:ind w:right="113"/>
            </w:pPr>
            <w:r w:rsidRPr="000673D1">
              <w:t>ITC Capacity Development Action Plan</w:t>
            </w:r>
            <w:r>
              <w:t xml:space="preserve"> adopted on </w:t>
            </w:r>
            <w:r w:rsidRPr="00392319">
              <w:t>at the 82nd session of ITC</w:t>
            </w:r>
            <w:r>
              <w:t xml:space="preserve"> – February 2020</w:t>
            </w:r>
          </w:p>
        </w:tc>
      </w:tr>
      <w:tr w:rsidR="009B4F97" w:rsidRPr="000673D1" w14:paraId="0952607D" w14:textId="77777777" w:rsidTr="0035124D">
        <w:trPr>
          <w:cantSplit/>
          <w:trHeight w:val="400"/>
        </w:trPr>
        <w:tc>
          <w:tcPr>
            <w:tcW w:w="782" w:type="pct"/>
            <w:vMerge/>
            <w:shd w:val="clear" w:color="auto" w:fill="auto"/>
          </w:tcPr>
          <w:p w14:paraId="16DB3201" w14:textId="77777777" w:rsidR="00FB07BD" w:rsidRPr="000673D1" w:rsidRDefault="00FB07BD" w:rsidP="00EA41E9">
            <w:pPr>
              <w:suppressAutoHyphens w:val="0"/>
              <w:spacing w:before="40" w:after="120"/>
              <w:ind w:right="113"/>
            </w:pPr>
          </w:p>
        </w:tc>
        <w:tc>
          <w:tcPr>
            <w:tcW w:w="604" w:type="pct"/>
            <w:vMerge/>
            <w:shd w:val="clear" w:color="auto" w:fill="auto"/>
          </w:tcPr>
          <w:p w14:paraId="721A1CDD" w14:textId="77777777" w:rsidR="00FB07BD" w:rsidRPr="000673D1" w:rsidRDefault="00FB07BD" w:rsidP="00EA41E9">
            <w:pPr>
              <w:suppressAutoHyphens w:val="0"/>
              <w:spacing w:before="40" w:after="120"/>
              <w:ind w:right="113"/>
            </w:pPr>
          </w:p>
        </w:tc>
        <w:tc>
          <w:tcPr>
            <w:tcW w:w="654" w:type="pct"/>
            <w:vMerge/>
            <w:shd w:val="clear" w:color="auto" w:fill="auto"/>
          </w:tcPr>
          <w:p w14:paraId="6ED23594" w14:textId="77777777" w:rsidR="00FB07BD" w:rsidRPr="000673D1" w:rsidRDefault="00FB07BD" w:rsidP="00EA41E9">
            <w:pPr>
              <w:suppressAutoHyphens w:val="0"/>
              <w:spacing w:before="40" w:after="120"/>
              <w:ind w:right="113"/>
            </w:pPr>
          </w:p>
        </w:tc>
        <w:tc>
          <w:tcPr>
            <w:tcW w:w="635" w:type="pct"/>
            <w:vMerge/>
            <w:shd w:val="clear" w:color="auto" w:fill="auto"/>
          </w:tcPr>
          <w:p w14:paraId="115E732B" w14:textId="77777777" w:rsidR="00FB07BD" w:rsidRPr="000673D1" w:rsidRDefault="00FB07BD" w:rsidP="00EA41E9">
            <w:pPr>
              <w:suppressAutoHyphens w:val="0"/>
              <w:spacing w:before="40" w:after="120"/>
              <w:ind w:right="113"/>
            </w:pPr>
          </w:p>
        </w:tc>
        <w:tc>
          <w:tcPr>
            <w:tcW w:w="2326" w:type="pct"/>
          </w:tcPr>
          <w:p w14:paraId="0AB59E65" w14:textId="77777777" w:rsidR="00FB07BD" w:rsidRPr="000673D1" w:rsidRDefault="00FB07BD" w:rsidP="00EA41E9">
            <w:pPr>
              <w:suppressAutoHyphens w:val="0"/>
              <w:spacing w:before="40" w:after="120"/>
              <w:ind w:right="113"/>
            </w:pPr>
          </w:p>
        </w:tc>
      </w:tr>
      <w:tr w:rsidR="009B4F97" w:rsidRPr="000673D1" w14:paraId="60DC4C9F" w14:textId="77777777" w:rsidTr="0035124D">
        <w:trPr>
          <w:cantSplit/>
        </w:trPr>
        <w:tc>
          <w:tcPr>
            <w:tcW w:w="782" w:type="pct"/>
            <w:vMerge/>
            <w:shd w:val="clear" w:color="auto" w:fill="auto"/>
          </w:tcPr>
          <w:p w14:paraId="384C625E" w14:textId="77777777" w:rsidR="00FB07BD" w:rsidRPr="000673D1" w:rsidRDefault="00FB07BD" w:rsidP="00EA41E9">
            <w:pPr>
              <w:suppressAutoHyphens w:val="0"/>
              <w:spacing w:before="40" w:after="120"/>
              <w:ind w:right="113"/>
            </w:pPr>
          </w:p>
        </w:tc>
        <w:tc>
          <w:tcPr>
            <w:tcW w:w="604" w:type="pct"/>
            <w:vMerge/>
            <w:shd w:val="clear" w:color="auto" w:fill="auto"/>
          </w:tcPr>
          <w:p w14:paraId="65668A83" w14:textId="77777777" w:rsidR="00FB07BD" w:rsidRPr="000673D1" w:rsidRDefault="00FB07BD" w:rsidP="00EA41E9">
            <w:pPr>
              <w:suppressAutoHyphens w:val="0"/>
              <w:spacing w:before="40" w:after="120"/>
              <w:ind w:right="113"/>
            </w:pPr>
          </w:p>
        </w:tc>
        <w:tc>
          <w:tcPr>
            <w:tcW w:w="654" w:type="pct"/>
            <w:shd w:val="clear" w:color="auto" w:fill="auto"/>
          </w:tcPr>
          <w:p w14:paraId="29DC9FAE" w14:textId="77777777" w:rsidR="00FB07BD" w:rsidRPr="000673D1" w:rsidRDefault="00FB07BD" w:rsidP="00EA41E9">
            <w:pPr>
              <w:suppressAutoHyphens w:val="0"/>
              <w:spacing w:before="40" w:after="120"/>
              <w:ind w:right="113"/>
            </w:pPr>
            <w:r w:rsidRPr="000673D1">
              <w:t>Develop/update training manuals, and guidelines</w:t>
            </w:r>
          </w:p>
        </w:tc>
        <w:tc>
          <w:tcPr>
            <w:tcW w:w="635" w:type="pct"/>
            <w:shd w:val="clear" w:color="auto" w:fill="auto"/>
          </w:tcPr>
          <w:p w14:paraId="0FE692C2" w14:textId="77777777" w:rsidR="00FB07BD" w:rsidRPr="000673D1" w:rsidRDefault="00FB07BD" w:rsidP="00EA41E9">
            <w:pPr>
              <w:suppressAutoHyphens w:val="0"/>
              <w:spacing w:before="40" w:after="120"/>
              <w:ind w:right="113"/>
            </w:pPr>
            <w:r w:rsidRPr="000673D1">
              <w:t>Publications, training manuals, guidelines, webinars</w:t>
            </w:r>
          </w:p>
        </w:tc>
        <w:tc>
          <w:tcPr>
            <w:tcW w:w="2326" w:type="pct"/>
          </w:tcPr>
          <w:p w14:paraId="0DB0E7CB" w14:textId="77777777" w:rsidR="00FB07BD" w:rsidRDefault="006460FA" w:rsidP="00EA41E9">
            <w:pPr>
              <w:suppressAutoHyphens w:val="0"/>
              <w:spacing w:before="40" w:after="120"/>
              <w:ind w:right="113"/>
            </w:pPr>
            <w:r w:rsidRPr="006460FA">
              <w:t>Railways at the centre of a post-pandemic recovery: Measures to support international rail carriers</w:t>
            </w:r>
            <w:r>
              <w:t xml:space="preserve"> – November 2022</w:t>
            </w:r>
          </w:p>
          <w:p w14:paraId="20A0E038" w14:textId="77777777" w:rsidR="006460FA" w:rsidRDefault="006460FA" w:rsidP="00EA41E9">
            <w:pPr>
              <w:suppressAutoHyphens w:val="0"/>
              <w:spacing w:before="40" w:after="120"/>
              <w:ind w:right="113"/>
            </w:pPr>
            <w:r w:rsidRPr="006460FA">
              <w:t>River Information Services in the region of the Economic Commission for Europe</w:t>
            </w:r>
            <w:r>
              <w:t xml:space="preserve"> – published in March 2022</w:t>
            </w:r>
          </w:p>
          <w:p w14:paraId="241294CD" w14:textId="77777777" w:rsidR="00D62C12" w:rsidRDefault="00D62C12" w:rsidP="00EA41E9">
            <w:pPr>
              <w:suppressAutoHyphens w:val="0"/>
              <w:spacing w:before="40" w:after="120"/>
              <w:ind w:right="113"/>
            </w:pPr>
            <w:r w:rsidRPr="00D62C12">
              <w:t>ITC Recommendations for Enhancing National Road Safety Systems</w:t>
            </w:r>
            <w:r>
              <w:t xml:space="preserve"> – January 2022</w:t>
            </w:r>
          </w:p>
          <w:p w14:paraId="7704E5D9" w14:textId="282460C3" w:rsidR="00D62C12" w:rsidRPr="000673D1" w:rsidRDefault="00D62C12" w:rsidP="00EA41E9">
            <w:pPr>
              <w:suppressAutoHyphens w:val="0"/>
              <w:spacing w:before="40" w:after="120"/>
              <w:ind w:right="113"/>
            </w:pPr>
            <w:r w:rsidRPr="00D62C12">
              <w:t>All you need to know about Automated Vehicles</w:t>
            </w:r>
            <w:r>
              <w:t xml:space="preserve"> – January 2022</w:t>
            </w:r>
          </w:p>
        </w:tc>
      </w:tr>
      <w:tr w:rsidR="009B4F97" w:rsidRPr="000673D1" w14:paraId="43F3EEEE" w14:textId="77777777" w:rsidTr="0035124D">
        <w:trPr>
          <w:cantSplit/>
        </w:trPr>
        <w:tc>
          <w:tcPr>
            <w:tcW w:w="782" w:type="pct"/>
            <w:vMerge/>
            <w:shd w:val="clear" w:color="auto" w:fill="auto"/>
          </w:tcPr>
          <w:p w14:paraId="7E744D1E" w14:textId="77777777" w:rsidR="00FB07BD" w:rsidRPr="000673D1" w:rsidRDefault="00FB07BD" w:rsidP="00EA41E9">
            <w:pPr>
              <w:suppressAutoHyphens w:val="0"/>
              <w:spacing w:before="40" w:after="120"/>
              <w:ind w:right="113"/>
            </w:pPr>
          </w:p>
        </w:tc>
        <w:tc>
          <w:tcPr>
            <w:tcW w:w="604" w:type="pct"/>
            <w:vMerge/>
            <w:shd w:val="clear" w:color="auto" w:fill="auto"/>
          </w:tcPr>
          <w:p w14:paraId="4EBF848A" w14:textId="77777777" w:rsidR="00FB07BD" w:rsidRPr="000673D1" w:rsidRDefault="00FB07BD" w:rsidP="00EA41E9">
            <w:pPr>
              <w:suppressAutoHyphens w:val="0"/>
              <w:spacing w:before="40" w:after="120"/>
              <w:ind w:right="113"/>
            </w:pPr>
          </w:p>
        </w:tc>
        <w:tc>
          <w:tcPr>
            <w:tcW w:w="654" w:type="pct"/>
            <w:shd w:val="clear" w:color="auto" w:fill="auto"/>
          </w:tcPr>
          <w:p w14:paraId="244C79BA" w14:textId="77777777" w:rsidR="00FB07BD" w:rsidRPr="000673D1" w:rsidRDefault="00FB07BD" w:rsidP="00EA41E9">
            <w:pPr>
              <w:suppressAutoHyphens w:val="0"/>
              <w:spacing w:before="40" w:after="120"/>
              <w:ind w:right="113"/>
            </w:pPr>
            <w:r w:rsidRPr="000673D1">
              <w:t>Develop web-based platform for e-learning and knowledge sharing</w:t>
            </w:r>
          </w:p>
        </w:tc>
        <w:tc>
          <w:tcPr>
            <w:tcW w:w="635" w:type="pct"/>
            <w:shd w:val="clear" w:color="auto" w:fill="auto"/>
          </w:tcPr>
          <w:p w14:paraId="24E69503" w14:textId="77777777" w:rsidR="00FB07BD" w:rsidRPr="000673D1" w:rsidRDefault="00FB07BD" w:rsidP="00EA41E9">
            <w:pPr>
              <w:suppressAutoHyphens w:val="0"/>
              <w:spacing w:before="40" w:after="120"/>
              <w:ind w:right="113"/>
            </w:pPr>
            <w:r w:rsidRPr="000673D1">
              <w:t>e-learning and knowledge sharing platform (including archive of national case studies, examples, etc.</w:t>
            </w:r>
          </w:p>
        </w:tc>
        <w:tc>
          <w:tcPr>
            <w:tcW w:w="2326" w:type="pct"/>
          </w:tcPr>
          <w:p w14:paraId="69D06D57" w14:textId="77777777" w:rsidR="006460FA" w:rsidRDefault="006460FA" w:rsidP="006460FA">
            <w:pPr>
              <w:suppressAutoHyphens w:val="0"/>
              <w:spacing w:before="40" w:after="120"/>
              <w:ind w:right="113"/>
            </w:pPr>
            <w:proofErr w:type="spellStart"/>
            <w:r>
              <w:t>LearnITC</w:t>
            </w:r>
            <w:proofErr w:type="spellEnd"/>
            <w:r>
              <w:t xml:space="preserve"> launched 05/09/2022</w:t>
            </w:r>
          </w:p>
          <w:p w14:paraId="2818BF30" w14:textId="7BFF85A8" w:rsidR="00FB07BD" w:rsidRPr="000673D1" w:rsidRDefault="006460FA" w:rsidP="006460FA">
            <w:pPr>
              <w:suppressAutoHyphens w:val="0"/>
              <w:spacing w:before="40" w:after="120"/>
              <w:ind w:right="113"/>
            </w:pPr>
            <w:r w:rsidRPr="00FB07BD">
              <w:t>https://learnitc.unece.org/</w:t>
            </w:r>
          </w:p>
        </w:tc>
      </w:tr>
      <w:tr w:rsidR="009B4F97" w:rsidRPr="000673D1" w14:paraId="567BAD19" w14:textId="77777777" w:rsidTr="0035124D">
        <w:trPr>
          <w:cantSplit/>
        </w:trPr>
        <w:tc>
          <w:tcPr>
            <w:tcW w:w="782" w:type="pct"/>
            <w:vMerge/>
            <w:shd w:val="clear" w:color="auto" w:fill="auto"/>
          </w:tcPr>
          <w:p w14:paraId="0021EC25" w14:textId="77777777" w:rsidR="00FB07BD" w:rsidRPr="000673D1" w:rsidRDefault="00FB07BD" w:rsidP="00EA41E9">
            <w:pPr>
              <w:suppressAutoHyphens w:val="0"/>
              <w:spacing w:before="40" w:after="120"/>
              <w:ind w:right="113"/>
            </w:pPr>
          </w:p>
        </w:tc>
        <w:tc>
          <w:tcPr>
            <w:tcW w:w="604" w:type="pct"/>
            <w:vMerge/>
            <w:shd w:val="clear" w:color="auto" w:fill="auto"/>
          </w:tcPr>
          <w:p w14:paraId="306CE617" w14:textId="77777777" w:rsidR="00FB07BD" w:rsidRPr="000673D1" w:rsidRDefault="00FB07BD" w:rsidP="00EA41E9">
            <w:pPr>
              <w:suppressAutoHyphens w:val="0"/>
              <w:spacing w:before="40" w:after="120"/>
              <w:ind w:right="113"/>
            </w:pPr>
          </w:p>
        </w:tc>
        <w:tc>
          <w:tcPr>
            <w:tcW w:w="654" w:type="pct"/>
            <w:shd w:val="clear" w:color="auto" w:fill="auto"/>
          </w:tcPr>
          <w:p w14:paraId="5CC3BEFF" w14:textId="77777777" w:rsidR="00FB07BD" w:rsidRPr="000673D1" w:rsidRDefault="00FB07BD" w:rsidP="00EA41E9">
            <w:pPr>
              <w:suppressAutoHyphens w:val="0"/>
              <w:spacing w:before="40" w:after="120"/>
              <w:ind w:right="113"/>
            </w:pPr>
            <w:r w:rsidRPr="000673D1">
              <w:t>Develop a methodology for preparation of the national capacity development framework (NCDF)</w:t>
            </w:r>
          </w:p>
        </w:tc>
        <w:tc>
          <w:tcPr>
            <w:tcW w:w="635" w:type="pct"/>
            <w:shd w:val="clear" w:color="auto" w:fill="auto"/>
          </w:tcPr>
          <w:p w14:paraId="5C831F2A" w14:textId="77777777" w:rsidR="00FB07BD" w:rsidRPr="000673D1" w:rsidRDefault="00FB07BD" w:rsidP="00EA41E9">
            <w:pPr>
              <w:suppressAutoHyphens w:val="0"/>
              <w:spacing w:before="40" w:after="120"/>
              <w:ind w:right="113"/>
            </w:pPr>
            <w:r w:rsidRPr="000673D1">
              <w:t>Common methodology for preparation of the national capacity development framework</w:t>
            </w:r>
          </w:p>
        </w:tc>
        <w:tc>
          <w:tcPr>
            <w:tcW w:w="2326" w:type="pct"/>
          </w:tcPr>
          <w:p w14:paraId="2C7B0B14" w14:textId="71940C8C" w:rsidR="00FB07BD" w:rsidRPr="000673D1" w:rsidRDefault="006460FA" w:rsidP="00EA41E9">
            <w:pPr>
              <w:suppressAutoHyphens w:val="0"/>
              <w:spacing w:before="40" w:after="120"/>
              <w:ind w:right="113"/>
            </w:pPr>
            <w:r>
              <w:t>Postponed</w:t>
            </w:r>
          </w:p>
        </w:tc>
      </w:tr>
      <w:tr w:rsidR="009B4F97" w:rsidRPr="000673D1" w14:paraId="21A7D5D2" w14:textId="77777777" w:rsidTr="0035124D">
        <w:trPr>
          <w:cantSplit/>
        </w:trPr>
        <w:tc>
          <w:tcPr>
            <w:tcW w:w="782" w:type="pct"/>
            <w:vMerge/>
            <w:shd w:val="clear" w:color="auto" w:fill="auto"/>
          </w:tcPr>
          <w:p w14:paraId="61AC6C13" w14:textId="77777777" w:rsidR="00FB07BD" w:rsidRPr="000673D1" w:rsidRDefault="00FB07BD" w:rsidP="00EA41E9">
            <w:pPr>
              <w:suppressAutoHyphens w:val="0"/>
              <w:spacing w:before="40" w:after="120"/>
              <w:ind w:right="113"/>
            </w:pPr>
          </w:p>
        </w:tc>
        <w:tc>
          <w:tcPr>
            <w:tcW w:w="604" w:type="pct"/>
            <w:vMerge/>
            <w:shd w:val="clear" w:color="auto" w:fill="auto"/>
          </w:tcPr>
          <w:p w14:paraId="2EBB067F" w14:textId="77777777" w:rsidR="00FB07BD" w:rsidRPr="000673D1" w:rsidRDefault="00FB07BD" w:rsidP="00EA41E9">
            <w:pPr>
              <w:suppressAutoHyphens w:val="0"/>
              <w:spacing w:before="40" w:after="120"/>
              <w:ind w:right="113"/>
            </w:pPr>
          </w:p>
        </w:tc>
        <w:tc>
          <w:tcPr>
            <w:tcW w:w="654" w:type="pct"/>
            <w:shd w:val="clear" w:color="auto" w:fill="auto"/>
          </w:tcPr>
          <w:p w14:paraId="57F4F7B3" w14:textId="77777777" w:rsidR="00FB07BD" w:rsidRPr="000673D1" w:rsidRDefault="00FB07BD" w:rsidP="00EA41E9">
            <w:pPr>
              <w:suppressAutoHyphens w:val="0"/>
              <w:spacing w:before="40" w:after="120"/>
              <w:ind w:right="113"/>
            </w:pPr>
            <w:r w:rsidRPr="000673D1">
              <w:t>Identify five beneficiary countries for preparation of the NCDF</w:t>
            </w:r>
          </w:p>
        </w:tc>
        <w:tc>
          <w:tcPr>
            <w:tcW w:w="635" w:type="pct"/>
            <w:shd w:val="clear" w:color="auto" w:fill="auto"/>
          </w:tcPr>
          <w:p w14:paraId="6BCF6564" w14:textId="77777777" w:rsidR="00FB07BD" w:rsidRPr="000673D1" w:rsidRDefault="00FB07BD" w:rsidP="00EA41E9">
            <w:pPr>
              <w:suppressAutoHyphens w:val="0"/>
              <w:spacing w:before="40" w:after="120"/>
              <w:ind w:right="113"/>
            </w:pPr>
            <w:r w:rsidRPr="000673D1">
              <w:t>Five beneficiary countries committed to implement NCDF</w:t>
            </w:r>
          </w:p>
        </w:tc>
        <w:tc>
          <w:tcPr>
            <w:tcW w:w="2326" w:type="pct"/>
          </w:tcPr>
          <w:p w14:paraId="40D7CB98" w14:textId="05D7E777" w:rsidR="00FB07BD" w:rsidRPr="000673D1" w:rsidRDefault="006460FA" w:rsidP="00EA41E9">
            <w:pPr>
              <w:suppressAutoHyphens w:val="0"/>
              <w:spacing w:before="40" w:after="120"/>
              <w:ind w:right="113"/>
            </w:pPr>
            <w:r>
              <w:t>Postponed</w:t>
            </w:r>
          </w:p>
        </w:tc>
      </w:tr>
      <w:tr w:rsidR="009B4F97" w:rsidRPr="000673D1" w14:paraId="25DFCE3C" w14:textId="77777777" w:rsidTr="0035124D">
        <w:trPr>
          <w:cantSplit/>
        </w:trPr>
        <w:tc>
          <w:tcPr>
            <w:tcW w:w="782" w:type="pct"/>
            <w:vMerge/>
            <w:shd w:val="clear" w:color="auto" w:fill="auto"/>
          </w:tcPr>
          <w:p w14:paraId="3EC29F33" w14:textId="77777777" w:rsidR="00FB07BD" w:rsidRPr="000673D1" w:rsidRDefault="00FB07BD" w:rsidP="00EA41E9">
            <w:pPr>
              <w:suppressAutoHyphens w:val="0"/>
              <w:spacing w:before="40" w:after="120"/>
              <w:ind w:right="113"/>
            </w:pPr>
          </w:p>
        </w:tc>
        <w:tc>
          <w:tcPr>
            <w:tcW w:w="604" w:type="pct"/>
            <w:vMerge/>
            <w:shd w:val="clear" w:color="auto" w:fill="auto"/>
          </w:tcPr>
          <w:p w14:paraId="4B622D0F" w14:textId="77777777" w:rsidR="00FB07BD" w:rsidRPr="000673D1" w:rsidRDefault="00FB07BD" w:rsidP="00EA41E9">
            <w:pPr>
              <w:suppressAutoHyphens w:val="0"/>
              <w:spacing w:before="40" w:after="120"/>
              <w:ind w:right="113"/>
            </w:pPr>
          </w:p>
        </w:tc>
        <w:tc>
          <w:tcPr>
            <w:tcW w:w="654" w:type="pct"/>
            <w:shd w:val="clear" w:color="auto" w:fill="auto"/>
          </w:tcPr>
          <w:p w14:paraId="106787DF" w14:textId="77777777" w:rsidR="00FB07BD" w:rsidRPr="000673D1" w:rsidRDefault="00FB07BD" w:rsidP="00EA41E9">
            <w:pPr>
              <w:suppressAutoHyphens w:val="0"/>
              <w:spacing w:before="40" w:after="120"/>
              <w:ind w:right="113"/>
            </w:pPr>
            <w:r w:rsidRPr="000673D1">
              <w:t>Elaborate a NCDF/concrete action plan in cooperation with the beneficiary country that includes commonly agreed goals/objectives, time schedules, resources, etc.</w:t>
            </w:r>
          </w:p>
        </w:tc>
        <w:tc>
          <w:tcPr>
            <w:tcW w:w="635" w:type="pct"/>
            <w:shd w:val="clear" w:color="auto" w:fill="auto"/>
          </w:tcPr>
          <w:p w14:paraId="6ED42D4E" w14:textId="77777777" w:rsidR="00FB07BD" w:rsidRPr="000673D1" w:rsidRDefault="00FB07BD" w:rsidP="00EA41E9">
            <w:pPr>
              <w:suppressAutoHyphens w:val="0"/>
              <w:spacing w:before="40" w:after="120"/>
              <w:ind w:right="113"/>
            </w:pPr>
            <w:r w:rsidRPr="000673D1">
              <w:t>National capacity development framework for beneficiary countries</w:t>
            </w:r>
          </w:p>
        </w:tc>
        <w:tc>
          <w:tcPr>
            <w:tcW w:w="2326" w:type="pct"/>
          </w:tcPr>
          <w:p w14:paraId="7241F974" w14:textId="6CB329F2" w:rsidR="00FB07BD" w:rsidRPr="000673D1" w:rsidRDefault="006460FA" w:rsidP="00EA41E9">
            <w:pPr>
              <w:suppressAutoHyphens w:val="0"/>
              <w:spacing w:before="40" w:after="120"/>
              <w:ind w:right="113"/>
            </w:pPr>
            <w:r>
              <w:t>Postponed</w:t>
            </w:r>
          </w:p>
        </w:tc>
      </w:tr>
      <w:tr w:rsidR="009B4F97" w:rsidRPr="000673D1" w14:paraId="56AB82E1" w14:textId="77777777" w:rsidTr="0035124D">
        <w:trPr>
          <w:cantSplit/>
        </w:trPr>
        <w:tc>
          <w:tcPr>
            <w:tcW w:w="782" w:type="pct"/>
            <w:vMerge/>
            <w:shd w:val="clear" w:color="auto" w:fill="auto"/>
          </w:tcPr>
          <w:p w14:paraId="15F7A493" w14:textId="77777777" w:rsidR="00FB07BD" w:rsidRPr="000673D1" w:rsidRDefault="00FB07BD" w:rsidP="00EA41E9">
            <w:pPr>
              <w:suppressAutoHyphens w:val="0"/>
              <w:spacing w:before="40" w:after="120"/>
              <w:ind w:right="113"/>
            </w:pPr>
          </w:p>
        </w:tc>
        <w:tc>
          <w:tcPr>
            <w:tcW w:w="604" w:type="pct"/>
            <w:vMerge/>
            <w:shd w:val="clear" w:color="auto" w:fill="auto"/>
          </w:tcPr>
          <w:p w14:paraId="58714789" w14:textId="77777777" w:rsidR="00FB07BD" w:rsidRPr="000673D1" w:rsidRDefault="00FB07BD" w:rsidP="00EA41E9">
            <w:pPr>
              <w:suppressAutoHyphens w:val="0"/>
              <w:spacing w:before="40" w:after="120"/>
              <w:ind w:right="113"/>
            </w:pPr>
          </w:p>
        </w:tc>
        <w:tc>
          <w:tcPr>
            <w:tcW w:w="654" w:type="pct"/>
            <w:shd w:val="clear" w:color="auto" w:fill="auto"/>
          </w:tcPr>
          <w:p w14:paraId="0CD22C16" w14:textId="77777777" w:rsidR="00FB07BD" w:rsidRPr="000673D1" w:rsidRDefault="00FB07BD" w:rsidP="00EA41E9">
            <w:pPr>
              <w:suppressAutoHyphens w:val="0"/>
              <w:spacing w:before="40" w:after="120"/>
              <w:ind w:right="113"/>
            </w:pPr>
            <w:r w:rsidRPr="000673D1">
              <w:t>Establish a coalition for implementation of national capacity development framework</w:t>
            </w:r>
          </w:p>
        </w:tc>
        <w:tc>
          <w:tcPr>
            <w:tcW w:w="635" w:type="pct"/>
            <w:shd w:val="clear" w:color="auto" w:fill="auto"/>
          </w:tcPr>
          <w:p w14:paraId="75F20F3F" w14:textId="77777777" w:rsidR="00FB07BD" w:rsidRPr="000673D1" w:rsidRDefault="00FB07BD" w:rsidP="00EA41E9">
            <w:pPr>
              <w:suppressAutoHyphens w:val="0"/>
              <w:spacing w:before="40" w:after="120"/>
              <w:ind w:right="113"/>
            </w:pPr>
            <w:r w:rsidRPr="000673D1">
              <w:t>National coalition for implementation</w:t>
            </w:r>
          </w:p>
        </w:tc>
        <w:tc>
          <w:tcPr>
            <w:tcW w:w="2326" w:type="pct"/>
          </w:tcPr>
          <w:p w14:paraId="25772900" w14:textId="61F3DCF5" w:rsidR="00FB07BD" w:rsidRPr="000673D1" w:rsidRDefault="006460FA" w:rsidP="00EA41E9">
            <w:pPr>
              <w:suppressAutoHyphens w:val="0"/>
              <w:spacing w:before="40" w:after="120"/>
              <w:ind w:right="113"/>
            </w:pPr>
            <w:r>
              <w:t>Postponed</w:t>
            </w:r>
          </w:p>
        </w:tc>
      </w:tr>
      <w:tr w:rsidR="009B4F97" w:rsidRPr="000673D1" w14:paraId="0A3F4CEB" w14:textId="77777777" w:rsidTr="0035124D">
        <w:trPr>
          <w:cantSplit/>
        </w:trPr>
        <w:tc>
          <w:tcPr>
            <w:tcW w:w="782" w:type="pct"/>
            <w:vMerge/>
            <w:shd w:val="clear" w:color="auto" w:fill="auto"/>
          </w:tcPr>
          <w:p w14:paraId="0CC8CE5A" w14:textId="77777777" w:rsidR="00FB07BD" w:rsidRPr="000673D1" w:rsidRDefault="00FB07BD" w:rsidP="00EA41E9">
            <w:pPr>
              <w:suppressAutoHyphens w:val="0"/>
              <w:spacing w:before="40" w:after="120"/>
              <w:ind w:right="113"/>
            </w:pPr>
          </w:p>
        </w:tc>
        <w:tc>
          <w:tcPr>
            <w:tcW w:w="604" w:type="pct"/>
            <w:vMerge/>
            <w:shd w:val="clear" w:color="auto" w:fill="auto"/>
          </w:tcPr>
          <w:p w14:paraId="0EA119A8" w14:textId="77777777" w:rsidR="00FB07BD" w:rsidRPr="000673D1" w:rsidRDefault="00FB07BD" w:rsidP="00EA41E9">
            <w:pPr>
              <w:suppressAutoHyphens w:val="0"/>
              <w:spacing w:before="40" w:after="120"/>
              <w:ind w:right="113"/>
            </w:pPr>
          </w:p>
        </w:tc>
        <w:tc>
          <w:tcPr>
            <w:tcW w:w="654" w:type="pct"/>
            <w:shd w:val="clear" w:color="auto" w:fill="auto"/>
          </w:tcPr>
          <w:p w14:paraId="5561F608" w14:textId="77777777" w:rsidR="00FB07BD" w:rsidRPr="000673D1" w:rsidRDefault="00FB07BD" w:rsidP="00EA41E9">
            <w:pPr>
              <w:suppressAutoHyphens w:val="0"/>
              <w:spacing w:before="40" w:after="120"/>
              <w:ind w:right="113"/>
            </w:pPr>
            <w:r w:rsidRPr="000673D1">
              <w:t>Organize capacity development events (seminars, workshops, etc.) and national capacity reviews</w:t>
            </w:r>
          </w:p>
        </w:tc>
        <w:tc>
          <w:tcPr>
            <w:tcW w:w="635" w:type="pct"/>
            <w:vMerge w:val="restart"/>
            <w:shd w:val="clear" w:color="auto" w:fill="auto"/>
          </w:tcPr>
          <w:p w14:paraId="2A286CFF" w14:textId="77777777" w:rsidR="00FB07BD" w:rsidRPr="000673D1" w:rsidRDefault="00FB07BD" w:rsidP="00EA41E9">
            <w:pPr>
              <w:suppressAutoHyphens w:val="0"/>
              <w:spacing w:before="40" w:after="120"/>
              <w:ind w:right="113"/>
            </w:pPr>
            <w:r w:rsidRPr="000673D1">
              <w:t>Capacity development workshops and events, training courses, peer learning missions, performance reviews (RSPR, EPR, etc.), advisory services and presentations and discussion during ITC and its subsidiary bodies meetings</w:t>
            </w:r>
          </w:p>
        </w:tc>
        <w:tc>
          <w:tcPr>
            <w:tcW w:w="2326" w:type="pct"/>
          </w:tcPr>
          <w:p w14:paraId="67D380F0" w14:textId="77777777" w:rsidR="00840ADC" w:rsidRDefault="00840ADC" w:rsidP="00840ADC">
            <w:pPr>
              <w:suppressAutoHyphens w:val="0"/>
              <w:spacing w:before="40" w:after="120"/>
              <w:ind w:right="113"/>
            </w:pPr>
            <w:r>
              <w:t>Road safety CD workshops/Seminars</w:t>
            </w:r>
          </w:p>
          <w:p w14:paraId="17177154" w14:textId="57F31F65" w:rsidR="00FB07BD" w:rsidRDefault="00840ADC" w:rsidP="00840ADC">
            <w:pPr>
              <w:suppressAutoHyphens w:val="0"/>
              <w:spacing w:before="40" w:after="120"/>
              <w:ind w:right="113"/>
            </w:pPr>
            <w:r w:rsidRPr="00840ADC">
              <w:t>Vision Zero to the Balkans, Sofia, Bulgaria, 01-02 June 202</w:t>
            </w:r>
            <w:r>
              <w:t>2; Workshop on selected issues from the National Road Safety Strategy in Georgia, Tbilisi, Georgia, 5 October 2022</w:t>
            </w:r>
          </w:p>
          <w:p w14:paraId="486CB3DA" w14:textId="77777777" w:rsidR="00840ADC" w:rsidRDefault="00840ADC" w:rsidP="00840ADC">
            <w:pPr>
              <w:suppressAutoHyphens w:val="0"/>
              <w:spacing w:before="40" w:after="120"/>
              <w:ind w:right="113"/>
            </w:pPr>
            <w:r>
              <w:t>UN Legal instruments CD workshops/Seminars</w:t>
            </w:r>
          </w:p>
          <w:p w14:paraId="26E0D5D3" w14:textId="7BF52D4C" w:rsidR="00511CE9" w:rsidRDefault="00511CE9" w:rsidP="00840ADC">
            <w:pPr>
              <w:suppressAutoHyphens w:val="0"/>
              <w:spacing w:before="40" w:after="120"/>
              <w:ind w:right="113"/>
              <w:rPr>
                <w:rFonts w:asciiTheme="majorBidi" w:hAnsiTheme="majorBidi" w:cstheme="majorBidi"/>
              </w:rPr>
            </w:pPr>
            <w:r>
              <w:t>Workshop on</w:t>
            </w:r>
            <w:r w:rsidRPr="00CF0C08">
              <w:t xml:space="preserve"> </w:t>
            </w:r>
            <w:r>
              <w:t>digitalization of transport services,</w:t>
            </w:r>
            <w:r w:rsidRPr="00CF0C08">
              <w:t xml:space="preserve"> Turkmenistan</w:t>
            </w:r>
            <w:r>
              <w:t xml:space="preserve">, June 2022; Workshop </w:t>
            </w:r>
            <w:r w:rsidRPr="00511CE9">
              <w:t xml:space="preserve">on the TIR/ </w:t>
            </w:r>
            <w:proofErr w:type="spellStart"/>
            <w:r w:rsidRPr="00511CE9">
              <w:t>eTIR</w:t>
            </w:r>
            <w:proofErr w:type="spellEnd"/>
            <w:r w:rsidRPr="00511CE9">
              <w:t xml:space="preserve"> and CMR /</w:t>
            </w:r>
            <w:proofErr w:type="spellStart"/>
            <w:r w:rsidRPr="00511CE9">
              <w:t>eCMR</w:t>
            </w:r>
            <w:proofErr w:type="spellEnd"/>
            <w:r w:rsidRPr="00511CE9">
              <w:t xml:space="preserve"> Conventions</w:t>
            </w:r>
            <w:r>
              <w:t xml:space="preserve"> for Sub-Saharan African</w:t>
            </w:r>
            <w:r w:rsidRPr="00CF0C08">
              <w:t xml:space="preserve"> </w:t>
            </w:r>
            <w:r>
              <w:t xml:space="preserve">countries - June 2022; Workshop on </w:t>
            </w:r>
            <w:proofErr w:type="spellStart"/>
            <w:r>
              <w:t>LearnITC</w:t>
            </w:r>
            <w:proofErr w:type="spellEnd"/>
            <w:r>
              <w:t xml:space="preserve"> for SPECA countries in November 2022; </w:t>
            </w:r>
            <w:r w:rsidRPr="00297485">
              <w:rPr>
                <w:rFonts w:asciiTheme="majorBidi" w:hAnsiTheme="majorBidi" w:cstheme="majorBidi"/>
              </w:rPr>
              <w:t>2</w:t>
            </w:r>
            <w:r>
              <w:rPr>
                <w:rFonts w:asciiTheme="majorBidi" w:hAnsiTheme="majorBidi" w:cstheme="majorBidi"/>
              </w:rPr>
              <w:t>6</w:t>
            </w:r>
            <w:r w:rsidRPr="00297485">
              <w:rPr>
                <w:rFonts w:asciiTheme="majorBidi" w:hAnsiTheme="majorBidi" w:cstheme="majorBidi"/>
              </w:rPr>
              <w:t>th SPECA Thematic Working Group on Sustainable Transport, Transit Connectivity (TWG-STTC)</w:t>
            </w:r>
            <w:r>
              <w:rPr>
                <w:rFonts w:asciiTheme="majorBidi" w:hAnsiTheme="majorBidi" w:cstheme="majorBidi"/>
              </w:rPr>
              <w:t>, Tashkent, Uzbekistan</w:t>
            </w:r>
            <w:r w:rsidRPr="00297485">
              <w:rPr>
                <w:rFonts w:asciiTheme="majorBidi" w:hAnsiTheme="majorBidi" w:cstheme="majorBidi"/>
              </w:rPr>
              <w:t xml:space="preserve"> </w:t>
            </w:r>
            <w:r>
              <w:rPr>
                <w:rFonts w:asciiTheme="majorBidi" w:hAnsiTheme="majorBidi" w:cstheme="majorBidi"/>
              </w:rPr>
              <w:t xml:space="preserve">– November </w:t>
            </w:r>
            <w:r w:rsidRPr="00297485">
              <w:rPr>
                <w:rFonts w:asciiTheme="majorBidi" w:hAnsiTheme="majorBidi" w:cstheme="majorBidi"/>
              </w:rPr>
              <w:t>202</w:t>
            </w:r>
            <w:r>
              <w:rPr>
                <w:rFonts w:asciiTheme="majorBidi" w:hAnsiTheme="majorBidi" w:cstheme="majorBidi"/>
              </w:rPr>
              <w:t>2.</w:t>
            </w:r>
          </w:p>
          <w:p w14:paraId="6864DEFB" w14:textId="77777777" w:rsidR="00511CE9" w:rsidRDefault="00511CE9" w:rsidP="00840ADC">
            <w:pPr>
              <w:suppressAutoHyphens w:val="0"/>
              <w:spacing w:before="40" w:after="120"/>
              <w:ind w:right="113"/>
              <w:rPr>
                <w:rFonts w:asciiTheme="majorBidi" w:hAnsiTheme="majorBidi" w:cstheme="majorBidi"/>
              </w:rPr>
            </w:pPr>
            <w:r>
              <w:t xml:space="preserve">Urban transport and mobility CD workshops/seminars. </w:t>
            </w:r>
            <w:r>
              <w:rPr>
                <w:rFonts w:asciiTheme="majorBidi" w:hAnsiTheme="majorBidi" w:cstheme="majorBidi"/>
              </w:rPr>
              <w:t xml:space="preserve">Sustainable Mobility and the </w:t>
            </w:r>
            <w:r w:rsidRPr="541A842C">
              <w:rPr>
                <w:rFonts w:asciiTheme="majorBidi" w:hAnsiTheme="majorBidi" w:cstheme="majorBidi"/>
              </w:rPr>
              <w:t xml:space="preserve">Danube macro-region workshop </w:t>
            </w:r>
            <w:r>
              <w:rPr>
                <w:rFonts w:asciiTheme="majorBidi" w:hAnsiTheme="majorBidi" w:cstheme="majorBidi"/>
              </w:rPr>
              <w:t xml:space="preserve">- </w:t>
            </w:r>
            <w:r w:rsidRPr="541A842C">
              <w:rPr>
                <w:rFonts w:asciiTheme="majorBidi" w:hAnsiTheme="majorBidi" w:cstheme="majorBidi"/>
              </w:rPr>
              <w:t>December 202</w:t>
            </w:r>
            <w:r>
              <w:rPr>
                <w:rFonts w:asciiTheme="majorBidi" w:hAnsiTheme="majorBidi" w:cstheme="majorBidi"/>
              </w:rPr>
              <w:t xml:space="preserve">2. </w:t>
            </w:r>
          </w:p>
          <w:p w14:paraId="50EDBAC5" w14:textId="2F20E30D" w:rsidR="00840ADC" w:rsidRPr="000673D1" w:rsidRDefault="00511CE9" w:rsidP="00840ADC">
            <w:pPr>
              <w:suppressAutoHyphens w:val="0"/>
              <w:spacing w:before="40" w:after="120"/>
              <w:ind w:right="113"/>
            </w:pPr>
            <w:r>
              <w:t xml:space="preserve">During 2022 two Road </w:t>
            </w:r>
            <w:r w:rsidR="009B4F97">
              <w:t>S</w:t>
            </w:r>
            <w:r>
              <w:t xml:space="preserve">afety Performance Reviews are launched – Uzbekistan in May 2022 and Moldova in November 2022. </w:t>
            </w:r>
          </w:p>
        </w:tc>
      </w:tr>
      <w:tr w:rsidR="009B4F97" w:rsidRPr="000673D1" w14:paraId="1AED6BA6" w14:textId="77777777" w:rsidTr="0035124D">
        <w:trPr>
          <w:cantSplit/>
        </w:trPr>
        <w:tc>
          <w:tcPr>
            <w:tcW w:w="782" w:type="pct"/>
            <w:vMerge/>
            <w:shd w:val="clear" w:color="auto" w:fill="auto"/>
          </w:tcPr>
          <w:p w14:paraId="397679BC" w14:textId="77777777" w:rsidR="00FB07BD" w:rsidRPr="000673D1" w:rsidRDefault="00FB07BD" w:rsidP="00EA41E9">
            <w:pPr>
              <w:suppressAutoHyphens w:val="0"/>
              <w:spacing w:before="40" w:after="120"/>
              <w:ind w:right="113"/>
            </w:pPr>
          </w:p>
        </w:tc>
        <w:tc>
          <w:tcPr>
            <w:tcW w:w="604" w:type="pct"/>
            <w:vMerge/>
            <w:shd w:val="clear" w:color="auto" w:fill="auto"/>
          </w:tcPr>
          <w:p w14:paraId="1128FB24" w14:textId="77777777" w:rsidR="00FB07BD" w:rsidRPr="000673D1" w:rsidRDefault="00FB07BD" w:rsidP="00EA41E9">
            <w:pPr>
              <w:suppressAutoHyphens w:val="0"/>
              <w:spacing w:before="40" w:after="120"/>
              <w:ind w:right="113"/>
            </w:pPr>
          </w:p>
        </w:tc>
        <w:tc>
          <w:tcPr>
            <w:tcW w:w="654" w:type="pct"/>
            <w:shd w:val="clear" w:color="auto" w:fill="auto"/>
          </w:tcPr>
          <w:p w14:paraId="6C373F62" w14:textId="6A5D78A0" w:rsidR="00FB07BD" w:rsidRPr="000673D1" w:rsidRDefault="00FB07BD" w:rsidP="00EA41E9">
            <w:pPr>
              <w:suppressAutoHyphens w:val="0"/>
              <w:spacing w:before="40" w:after="120"/>
              <w:ind w:right="113"/>
            </w:pPr>
            <w:r w:rsidRPr="000673D1">
              <w:t xml:space="preserve">Assist </w:t>
            </w:r>
            <w:r w:rsidR="00952D6B">
              <w:t>M</w:t>
            </w:r>
            <w:r w:rsidRPr="000673D1">
              <w:t>ember State</w:t>
            </w:r>
            <w:r w:rsidR="00952D6B">
              <w:t>s</w:t>
            </w:r>
            <w:r w:rsidRPr="000673D1">
              <w:t xml:space="preserve"> </w:t>
            </w:r>
            <w:r w:rsidR="00952D6B">
              <w:t>with</w:t>
            </w:r>
            <w:r w:rsidR="00952D6B" w:rsidRPr="000673D1">
              <w:t xml:space="preserve"> </w:t>
            </w:r>
            <w:r w:rsidRPr="000673D1">
              <w:t>updat</w:t>
            </w:r>
            <w:r w:rsidR="00952D6B">
              <w:t>ing</w:t>
            </w:r>
            <w:r w:rsidRPr="000673D1">
              <w:t xml:space="preserve"> national legislation to efficiently implement United Nations inland transport legal instruments</w:t>
            </w:r>
          </w:p>
        </w:tc>
        <w:tc>
          <w:tcPr>
            <w:tcW w:w="635" w:type="pct"/>
            <w:vMerge/>
            <w:shd w:val="clear" w:color="auto" w:fill="auto"/>
          </w:tcPr>
          <w:p w14:paraId="1E87925B" w14:textId="77777777" w:rsidR="00FB07BD" w:rsidRPr="000673D1" w:rsidRDefault="00FB07BD" w:rsidP="00EA41E9">
            <w:pPr>
              <w:suppressAutoHyphens w:val="0"/>
              <w:spacing w:before="40" w:after="120"/>
              <w:ind w:right="113"/>
            </w:pPr>
          </w:p>
        </w:tc>
        <w:tc>
          <w:tcPr>
            <w:tcW w:w="2326" w:type="pct"/>
          </w:tcPr>
          <w:p w14:paraId="17434C91" w14:textId="1EE991BB" w:rsidR="00FB07BD" w:rsidRPr="000673D1" w:rsidRDefault="00CC40B9" w:rsidP="00C551ED">
            <w:r w:rsidRPr="00C551ED">
              <w:t xml:space="preserve">In </w:t>
            </w:r>
            <w:r w:rsidR="004854A5" w:rsidRPr="00C551ED">
              <w:t xml:space="preserve">June </w:t>
            </w:r>
            <w:r w:rsidRPr="00C551ED">
              <w:t xml:space="preserve">2022 </w:t>
            </w:r>
            <w:r w:rsidR="00C34FD8">
              <w:t>ECE</w:t>
            </w:r>
            <w:r w:rsidRPr="00C551ED">
              <w:t xml:space="preserve"> </w:t>
            </w:r>
            <w:r w:rsidR="004854A5" w:rsidRPr="00C551ED">
              <w:t>delivered report on three road safety topics (safety belts on rear-seats, child restraint system and speed management) for Georgia to assist drafting and adoption of national road safety strategy</w:t>
            </w:r>
            <w:r w:rsidRPr="00C551ED">
              <w:t xml:space="preserve">; RPTC funding supported </w:t>
            </w:r>
            <w:r w:rsidR="004854A5" w:rsidRPr="00C551ED">
              <w:t xml:space="preserve">activities related to </w:t>
            </w:r>
            <w:r w:rsidRPr="00C551ED">
              <w:t xml:space="preserve">connection of national systems of </w:t>
            </w:r>
            <w:r w:rsidR="004854A5" w:rsidRPr="00C551ED">
              <w:t>Armenia</w:t>
            </w:r>
            <w:r w:rsidRPr="00C551ED">
              <w:t xml:space="preserve"> to eTIR International; RPTC funded project </w:t>
            </w:r>
            <w:r w:rsidR="004854A5" w:rsidRPr="00C551ED">
              <w:t>improved capacity of Ukrainian stakeholders to support the circular economy in e-mobility and sustainable resource management using a nexus approach of Mobility and Resource as a Service model (M-RaaS)</w:t>
            </w:r>
            <w:r w:rsidR="00C551ED" w:rsidRPr="00C551ED">
              <w:t xml:space="preserve">; RPTC funded project Accelerating post-COVID recovery of Kazakhstan through switching to natural gas in road transport strengthened national stakeholders capacity </w:t>
            </w:r>
            <w:r w:rsidR="00C551ED">
              <w:t xml:space="preserve">on </w:t>
            </w:r>
            <w:r w:rsidR="00C551ED" w:rsidRPr="00C551ED">
              <w:t>economic and environmental effects from switching the transport sector to the use of natural gas as a motor fuel</w:t>
            </w:r>
            <w:r w:rsidR="00C551ED">
              <w:t xml:space="preserve"> and on how to more efficiently implement UN vehicle-related legal instruments</w:t>
            </w:r>
            <w:r w:rsidR="00C551ED" w:rsidRPr="00C551ED">
              <w:t>;</w:t>
            </w:r>
          </w:p>
        </w:tc>
      </w:tr>
      <w:tr w:rsidR="009B4F97" w:rsidRPr="000673D1" w14:paraId="7E092D9C" w14:textId="77777777" w:rsidTr="0035124D">
        <w:trPr>
          <w:cantSplit/>
        </w:trPr>
        <w:tc>
          <w:tcPr>
            <w:tcW w:w="782" w:type="pct"/>
            <w:vMerge/>
            <w:shd w:val="clear" w:color="auto" w:fill="auto"/>
          </w:tcPr>
          <w:p w14:paraId="21478058" w14:textId="77777777" w:rsidR="00FB07BD" w:rsidRPr="000673D1" w:rsidRDefault="00FB07BD" w:rsidP="00EA41E9">
            <w:pPr>
              <w:suppressAutoHyphens w:val="0"/>
              <w:spacing w:before="40" w:after="120"/>
              <w:ind w:right="113"/>
            </w:pPr>
          </w:p>
        </w:tc>
        <w:tc>
          <w:tcPr>
            <w:tcW w:w="604" w:type="pct"/>
            <w:vMerge/>
            <w:shd w:val="clear" w:color="auto" w:fill="auto"/>
          </w:tcPr>
          <w:p w14:paraId="4F137CEB" w14:textId="77777777" w:rsidR="00FB07BD" w:rsidRPr="000673D1" w:rsidRDefault="00FB07BD" w:rsidP="00EA41E9">
            <w:pPr>
              <w:suppressAutoHyphens w:val="0"/>
              <w:spacing w:before="40" w:after="120"/>
              <w:ind w:right="113"/>
            </w:pPr>
          </w:p>
        </w:tc>
        <w:tc>
          <w:tcPr>
            <w:tcW w:w="654" w:type="pct"/>
            <w:shd w:val="clear" w:color="auto" w:fill="auto"/>
          </w:tcPr>
          <w:p w14:paraId="39AC321E" w14:textId="77777777" w:rsidR="00FB07BD" w:rsidRPr="000673D1" w:rsidRDefault="00FB07BD" w:rsidP="00EA41E9">
            <w:pPr>
              <w:suppressAutoHyphens w:val="0"/>
              <w:spacing w:before="40" w:after="120"/>
              <w:ind w:right="113"/>
            </w:pPr>
            <w:r w:rsidRPr="000673D1">
              <w:t>Develop indicators to evaluate status in implementation of United Nations legal instruments</w:t>
            </w:r>
          </w:p>
        </w:tc>
        <w:tc>
          <w:tcPr>
            <w:tcW w:w="635" w:type="pct"/>
            <w:shd w:val="clear" w:color="auto" w:fill="auto"/>
          </w:tcPr>
          <w:p w14:paraId="1E0B6E36" w14:textId="77777777" w:rsidR="00FB07BD" w:rsidRPr="000673D1" w:rsidRDefault="00FB07BD" w:rsidP="00EA41E9">
            <w:pPr>
              <w:suppressAutoHyphens w:val="0"/>
              <w:spacing w:before="40" w:after="120"/>
              <w:ind w:right="113"/>
            </w:pPr>
            <w:r w:rsidRPr="000673D1">
              <w:t>SITCIN indicators</w:t>
            </w:r>
          </w:p>
        </w:tc>
        <w:tc>
          <w:tcPr>
            <w:tcW w:w="2326" w:type="pct"/>
          </w:tcPr>
          <w:p w14:paraId="2F1BF8DF" w14:textId="77777777" w:rsidR="00FB07BD" w:rsidRDefault="006460FA" w:rsidP="00EA41E9">
            <w:pPr>
              <w:suppressAutoHyphens w:val="0"/>
              <w:spacing w:before="40" w:after="120"/>
              <w:ind w:right="113"/>
            </w:pPr>
            <w:r w:rsidRPr="006460FA">
              <w:t>Sustainable Inland Transport Connectivity Indicators</w:t>
            </w:r>
            <w:r>
              <w:t xml:space="preserve"> – published October 2022</w:t>
            </w:r>
          </w:p>
          <w:p w14:paraId="3C5C4F00" w14:textId="04E83FF3" w:rsidR="006460FA" w:rsidRPr="000673D1" w:rsidRDefault="006460FA" w:rsidP="00EA41E9">
            <w:pPr>
              <w:suppressAutoHyphens w:val="0"/>
              <w:spacing w:before="40" w:after="120"/>
              <w:ind w:right="113"/>
            </w:pPr>
            <w:r w:rsidRPr="006460FA">
              <w:t>https://sitcin.org/</w:t>
            </w:r>
          </w:p>
        </w:tc>
      </w:tr>
      <w:tr w:rsidR="009B4F97" w:rsidRPr="000673D1" w14:paraId="0A62EA41" w14:textId="77777777" w:rsidTr="0035124D">
        <w:trPr>
          <w:cantSplit/>
        </w:trPr>
        <w:tc>
          <w:tcPr>
            <w:tcW w:w="782" w:type="pct"/>
            <w:vMerge/>
            <w:shd w:val="clear" w:color="auto" w:fill="auto"/>
          </w:tcPr>
          <w:p w14:paraId="4127BDE2" w14:textId="77777777" w:rsidR="00FB07BD" w:rsidRPr="000673D1" w:rsidRDefault="00FB07BD" w:rsidP="00EA41E9">
            <w:pPr>
              <w:suppressAutoHyphens w:val="0"/>
              <w:spacing w:before="40" w:after="120"/>
              <w:ind w:right="113"/>
            </w:pPr>
          </w:p>
        </w:tc>
        <w:tc>
          <w:tcPr>
            <w:tcW w:w="604" w:type="pct"/>
            <w:vMerge w:val="restart"/>
            <w:shd w:val="clear" w:color="auto" w:fill="auto"/>
          </w:tcPr>
          <w:p w14:paraId="2CAC613E" w14:textId="77777777" w:rsidR="00FB07BD" w:rsidRPr="000673D1" w:rsidRDefault="00FB07BD" w:rsidP="00EA41E9">
            <w:pPr>
              <w:suppressAutoHyphens w:val="0"/>
              <w:spacing w:before="40" w:after="120"/>
              <w:ind w:right="113"/>
            </w:pPr>
            <w:r w:rsidRPr="0087664E">
              <w:rPr>
                <w:b/>
                <w:bCs/>
              </w:rPr>
              <w:t xml:space="preserve">Seek synergies: </w:t>
            </w:r>
            <w:r w:rsidRPr="000673D1">
              <w:t>Develop standards and competence criteria for accreditation of entities (academia, training centres, etc.) to promote United Nations inland transport legal instruments</w:t>
            </w:r>
          </w:p>
        </w:tc>
        <w:tc>
          <w:tcPr>
            <w:tcW w:w="654" w:type="pct"/>
            <w:shd w:val="clear" w:color="auto" w:fill="auto"/>
          </w:tcPr>
          <w:p w14:paraId="6C1B4EB4" w14:textId="77777777" w:rsidR="00FB07BD" w:rsidRPr="000673D1" w:rsidRDefault="00FB07BD" w:rsidP="00EA41E9">
            <w:pPr>
              <w:suppressAutoHyphens w:val="0"/>
              <w:spacing w:before="40" w:after="120"/>
              <w:ind w:right="113"/>
            </w:pPr>
            <w:r w:rsidRPr="000673D1">
              <w:t>Develop standards and competence criteria</w:t>
            </w:r>
          </w:p>
        </w:tc>
        <w:tc>
          <w:tcPr>
            <w:tcW w:w="635" w:type="pct"/>
            <w:shd w:val="clear" w:color="auto" w:fill="auto"/>
          </w:tcPr>
          <w:p w14:paraId="6EA73EA8" w14:textId="77777777" w:rsidR="00FB07BD" w:rsidRPr="000673D1" w:rsidRDefault="00FB07BD" w:rsidP="00EA41E9">
            <w:pPr>
              <w:suppressAutoHyphens w:val="0"/>
              <w:spacing w:before="40" w:after="120"/>
              <w:ind w:right="113"/>
            </w:pPr>
            <w:r w:rsidRPr="000673D1">
              <w:t>Training curricula, manuals, guidelines and accreditation criteria</w:t>
            </w:r>
          </w:p>
        </w:tc>
        <w:tc>
          <w:tcPr>
            <w:tcW w:w="2326" w:type="pct"/>
          </w:tcPr>
          <w:p w14:paraId="530BC394" w14:textId="7D82CE46" w:rsidR="00FB07BD" w:rsidRPr="000673D1" w:rsidRDefault="00D62C12" w:rsidP="00EA41E9">
            <w:pPr>
              <w:suppressAutoHyphens w:val="0"/>
              <w:spacing w:before="40" w:after="120"/>
              <w:ind w:right="113"/>
            </w:pPr>
            <w:r>
              <w:t>Planned for 2023</w:t>
            </w:r>
          </w:p>
        </w:tc>
      </w:tr>
      <w:tr w:rsidR="009B4F97" w:rsidRPr="000673D1" w14:paraId="51373F16" w14:textId="77777777" w:rsidTr="0035124D">
        <w:trPr>
          <w:cantSplit/>
        </w:trPr>
        <w:tc>
          <w:tcPr>
            <w:tcW w:w="782" w:type="pct"/>
            <w:vMerge/>
            <w:shd w:val="clear" w:color="auto" w:fill="auto"/>
          </w:tcPr>
          <w:p w14:paraId="0FC17A23" w14:textId="77777777" w:rsidR="00FB07BD" w:rsidRPr="000673D1" w:rsidRDefault="00FB07BD" w:rsidP="00EA41E9">
            <w:pPr>
              <w:suppressAutoHyphens w:val="0"/>
              <w:spacing w:before="40" w:after="120"/>
              <w:ind w:right="113"/>
            </w:pPr>
          </w:p>
        </w:tc>
        <w:tc>
          <w:tcPr>
            <w:tcW w:w="604" w:type="pct"/>
            <w:vMerge/>
            <w:shd w:val="clear" w:color="auto" w:fill="auto"/>
          </w:tcPr>
          <w:p w14:paraId="0C773EE0" w14:textId="77777777" w:rsidR="00FB07BD" w:rsidRPr="000673D1" w:rsidRDefault="00FB07BD" w:rsidP="00EA41E9">
            <w:pPr>
              <w:suppressAutoHyphens w:val="0"/>
              <w:spacing w:before="40" w:after="120"/>
              <w:ind w:right="113"/>
            </w:pPr>
          </w:p>
        </w:tc>
        <w:tc>
          <w:tcPr>
            <w:tcW w:w="654" w:type="pct"/>
            <w:shd w:val="clear" w:color="auto" w:fill="auto"/>
          </w:tcPr>
          <w:p w14:paraId="55B3C6A7" w14:textId="77777777" w:rsidR="00FB07BD" w:rsidRPr="000673D1" w:rsidRDefault="00FB07BD" w:rsidP="00EA41E9">
            <w:pPr>
              <w:suppressAutoHyphens w:val="0"/>
              <w:spacing w:before="40" w:after="120"/>
              <w:ind w:right="113"/>
            </w:pPr>
            <w:r w:rsidRPr="000673D1">
              <w:t>Develop a network of “knowledge sharing/promotion” ambassadors (NGOs, academia, business sector)</w:t>
            </w:r>
          </w:p>
        </w:tc>
        <w:tc>
          <w:tcPr>
            <w:tcW w:w="635" w:type="pct"/>
            <w:shd w:val="clear" w:color="auto" w:fill="auto"/>
          </w:tcPr>
          <w:p w14:paraId="6CD8E61B" w14:textId="0188733A" w:rsidR="00FB07BD" w:rsidRPr="000673D1" w:rsidRDefault="00FB07BD" w:rsidP="00EA41E9">
            <w:pPr>
              <w:suppressAutoHyphens w:val="0"/>
              <w:spacing w:before="40" w:after="120"/>
              <w:ind w:right="113"/>
            </w:pPr>
            <w:proofErr w:type="spellStart"/>
            <w:r w:rsidRPr="000673D1">
              <w:t>MoUs</w:t>
            </w:r>
            <w:proofErr w:type="spellEnd"/>
            <w:r w:rsidRPr="000673D1">
              <w:t xml:space="preserve"> and cooperation agreements</w:t>
            </w:r>
          </w:p>
        </w:tc>
        <w:tc>
          <w:tcPr>
            <w:tcW w:w="2326" w:type="pct"/>
          </w:tcPr>
          <w:p w14:paraId="0B094740" w14:textId="77777777" w:rsidR="00FB07BD" w:rsidRPr="000673D1" w:rsidRDefault="00FB07BD" w:rsidP="00EA41E9">
            <w:pPr>
              <w:suppressAutoHyphens w:val="0"/>
              <w:spacing w:before="40" w:after="120"/>
              <w:ind w:right="113"/>
            </w:pPr>
          </w:p>
        </w:tc>
      </w:tr>
      <w:tr w:rsidR="009B4F97" w:rsidRPr="000673D1" w14:paraId="775E4574" w14:textId="77777777" w:rsidTr="0035124D">
        <w:trPr>
          <w:cantSplit/>
        </w:trPr>
        <w:tc>
          <w:tcPr>
            <w:tcW w:w="782" w:type="pct"/>
            <w:vMerge/>
            <w:shd w:val="clear" w:color="auto" w:fill="auto"/>
          </w:tcPr>
          <w:p w14:paraId="4F7C1AF7" w14:textId="77777777" w:rsidR="00FB07BD" w:rsidRPr="000673D1" w:rsidRDefault="00FB07BD" w:rsidP="00EA41E9">
            <w:pPr>
              <w:suppressAutoHyphens w:val="0"/>
              <w:spacing w:before="40" w:after="120"/>
              <w:ind w:right="113"/>
            </w:pPr>
          </w:p>
        </w:tc>
        <w:tc>
          <w:tcPr>
            <w:tcW w:w="604" w:type="pct"/>
            <w:vMerge/>
            <w:shd w:val="clear" w:color="auto" w:fill="auto"/>
          </w:tcPr>
          <w:p w14:paraId="672345C0" w14:textId="77777777" w:rsidR="00FB07BD" w:rsidRPr="000673D1" w:rsidRDefault="00FB07BD" w:rsidP="00EA41E9">
            <w:pPr>
              <w:suppressAutoHyphens w:val="0"/>
              <w:spacing w:before="40" w:after="120"/>
              <w:ind w:right="113"/>
            </w:pPr>
          </w:p>
        </w:tc>
        <w:tc>
          <w:tcPr>
            <w:tcW w:w="654" w:type="pct"/>
            <w:shd w:val="clear" w:color="auto" w:fill="auto"/>
          </w:tcPr>
          <w:p w14:paraId="4F37D6A7" w14:textId="77777777" w:rsidR="00FB07BD" w:rsidRPr="000673D1" w:rsidRDefault="00FB07BD" w:rsidP="00EA41E9">
            <w:pPr>
              <w:suppressAutoHyphens w:val="0"/>
              <w:spacing w:before="40" w:after="120"/>
              <w:ind w:right="113"/>
            </w:pPr>
            <w:r w:rsidRPr="000673D1">
              <w:t>Develop cooperation/synergies with transport stakeholders</w:t>
            </w:r>
          </w:p>
        </w:tc>
        <w:tc>
          <w:tcPr>
            <w:tcW w:w="635" w:type="pct"/>
            <w:shd w:val="clear" w:color="auto" w:fill="auto"/>
          </w:tcPr>
          <w:p w14:paraId="2C32A0D5" w14:textId="6AB925B3" w:rsidR="00FB07BD" w:rsidRPr="000673D1" w:rsidRDefault="00FB07BD" w:rsidP="00EA41E9">
            <w:pPr>
              <w:suppressAutoHyphens w:val="0"/>
              <w:spacing w:before="40" w:after="120"/>
              <w:ind w:right="113"/>
            </w:pPr>
            <w:proofErr w:type="spellStart"/>
            <w:r w:rsidRPr="000673D1">
              <w:t>MoUs</w:t>
            </w:r>
            <w:proofErr w:type="spellEnd"/>
            <w:r w:rsidRPr="000673D1">
              <w:t xml:space="preserve"> and cooperation agreements</w:t>
            </w:r>
          </w:p>
        </w:tc>
        <w:tc>
          <w:tcPr>
            <w:tcW w:w="2326" w:type="pct"/>
          </w:tcPr>
          <w:p w14:paraId="3E5BAD75" w14:textId="522EFB84" w:rsidR="00FB07BD" w:rsidRPr="000673D1" w:rsidRDefault="00D62C12" w:rsidP="00EA41E9">
            <w:pPr>
              <w:suppressAutoHyphens w:val="0"/>
              <w:spacing w:before="40" w:after="120"/>
              <w:ind w:right="113"/>
            </w:pPr>
            <w:r w:rsidRPr="00D62C12">
              <w:t>MoU with EIB signed in July 2021</w:t>
            </w:r>
          </w:p>
        </w:tc>
      </w:tr>
      <w:tr w:rsidR="009B4F97" w:rsidRPr="000673D1" w14:paraId="6CFA8BBC" w14:textId="77777777" w:rsidTr="0035124D">
        <w:trPr>
          <w:cantSplit/>
        </w:trPr>
        <w:tc>
          <w:tcPr>
            <w:tcW w:w="782" w:type="pct"/>
            <w:vMerge/>
            <w:shd w:val="clear" w:color="auto" w:fill="auto"/>
          </w:tcPr>
          <w:p w14:paraId="769B67BA" w14:textId="77777777" w:rsidR="00FB07BD" w:rsidRPr="000673D1" w:rsidRDefault="00FB07BD" w:rsidP="00EA41E9">
            <w:pPr>
              <w:suppressAutoHyphens w:val="0"/>
              <w:spacing w:before="40" w:after="120"/>
              <w:ind w:right="113"/>
            </w:pPr>
          </w:p>
        </w:tc>
        <w:tc>
          <w:tcPr>
            <w:tcW w:w="604" w:type="pct"/>
            <w:vMerge w:val="restart"/>
            <w:shd w:val="clear" w:color="auto" w:fill="auto"/>
          </w:tcPr>
          <w:p w14:paraId="42E73CB0" w14:textId="77777777" w:rsidR="00FB07BD" w:rsidRPr="000673D1" w:rsidRDefault="00FB07BD" w:rsidP="00EA41E9">
            <w:pPr>
              <w:suppressAutoHyphens w:val="0"/>
              <w:spacing w:before="40" w:after="120"/>
              <w:ind w:right="113"/>
            </w:pPr>
            <w:r w:rsidRPr="0087664E">
              <w:rPr>
                <w:b/>
                <w:bCs/>
              </w:rPr>
              <w:t>Monitor and evaluate results</w:t>
            </w:r>
            <w:r w:rsidRPr="000673D1">
              <w:t xml:space="preserve"> and effectiveness of applied actions/methods</w:t>
            </w:r>
          </w:p>
        </w:tc>
        <w:tc>
          <w:tcPr>
            <w:tcW w:w="654" w:type="pct"/>
            <w:shd w:val="clear" w:color="auto" w:fill="auto"/>
          </w:tcPr>
          <w:p w14:paraId="3C0FF7FE" w14:textId="77777777" w:rsidR="00FB07BD" w:rsidRPr="000673D1" w:rsidRDefault="00FB07BD" w:rsidP="00EA41E9">
            <w:pPr>
              <w:suppressAutoHyphens w:val="0"/>
              <w:spacing w:before="40" w:after="120"/>
              <w:ind w:right="113"/>
            </w:pPr>
            <w:r w:rsidRPr="000673D1">
              <w:t>Update of training materials and guidelines</w:t>
            </w:r>
          </w:p>
        </w:tc>
        <w:tc>
          <w:tcPr>
            <w:tcW w:w="635" w:type="pct"/>
            <w:shd w:val="clear" w:color="auto" w:fill="auto"/>
          </w:tcPr>
          <w:p w14:paraId="4BA98CC3" w14:textId="77777777" w:rsidR="00FB07BD" w:rsidRPr="000673D1" w:rsidRDefault="00FB07BD" w:rsidP="00EA41E9">
            <w:pPr>
              <w:suppressAutoHyphens w:val="0"/>
              <w:spacing w:before="40" w:after="120"/>
              <w:ind w:right="113"/>
            </w:pPr>
            <w:r w:rsidRPr="000673D1">
              <w:t>Mid-term review of methodologies, web-based platform content and manuals</w:t>
            </w:r>
          </w:p>
        </w:tc>
        <w:tc>
          <w:tcPr>
            <w:tcW w:w="2326" w:type="pct"/>
          </w:tcPr>
          <w:p w14:paraId="2F7A6F9B" w14:textId="7D19BDB3" w:rsidR="00FB07BD" w:rsidRPr="000673D1" w:rsidRDefault="00D62C12" w:rsidP="00EA41E9">
            <w:pPr>
              <w:suppressAutoHyphens w:val="0"/>
              <w:spacing w:before="40" w:after="120"/>
              <w:ind w:right="113"/>
            </w:pPr>
            <w:r>
              <w:t>Planned for 2024</w:t>
            </w:r>
          </w:p>
        </w:tc>
      </w:tr>
      <w:tr w:rsidR="009B4F97" w:rsidRPr="000673D1" w14:paraId="68DF8544" w14:textId="77777777" w:rsidTr="0035124D">
        <w:trPr>
          <w:cantSplit/>
        </w:trPr>
        <w:tc>
          <w:tcPr>
            <w:tcW w:w="782" w:type="pct"/>
            <w:vMerge/>
            <w:shd w:val="clear" w:color="auto" w:fill="auto"/>
          </w:tcPr>
          <w:p w14:paraId="62CF8B6E" w14:textId="77777777" w:rsidR="00FB07BD" w:rsidRPr="000673D1" w:rsidRDefault="00FB07BD" w:rsidP="00EA41E9">
            <w:pPr>
              <w:suppressAutoHyphens w:val="0"/>
              <w:spacing w:before="40" w:after="120"/>
              <w:ind w:right="113"/>
            </w:pPr>
          </w:p>
        </w:tc>
        <w:tc>
          <w:tcPr>
            <w:tcW w:w="604" w:type="pct"/>
            <w:vMerge/>
            <w:shd w:val="clear" w:color="auto" w:fill="auto"/>
          </w:tcPr>
          <w:p w14:paraId="4F24D699" w14:textId="77777777" w:rsidR="00FB07BD" w:rsidRPr="000673D1" w:rsidRDefault="00FB07BD" w:rsidP="00EA41E9">
            <w:pPr>
              <w:suppressAutoHyphens w:val="0"/>
              <w:spacing w:before="40" w:after="120"/>
              <w:ind w:right="113"/>
            </w:pPr>
          </w:p>
        </w:tc>
        <w:tc>
          <w:tcPr>
            <w:tcW w:w="654" w:type="pct"/>
            <w:shd w:val="clear" w:color="auto" w:fill="auto"/>
          </w:tcPr>
          <w:p w14:paraId="53498B0A" w14:textId="77777777" w:rsidR="00FB07BD" w:rsidRPr="000673D1" w:rsidRDefault="00FB07BD" w:rsidP="00EA41E9">
            <w:pPr>
              <w:suppressAutoHyphens w:val="0"/>
              <w:spacing w:before="40" w:after="120"/>
              <w:ind w:right="113"/>
            </w:pPr>
            <w:r w:rsidRPr="000673D1">
              <w:t>Preparation of a mechanism to monitor implementation and evaluate results</w:t>
            </w:r>
          </w:p>
        </w:tc>
        <w:tc>
          <w:tcPr>
            <w:tcW w:w="635" w:type="pct"/>
            <w:shd w:val="clear" w:color="auto" w:fill="auto"/>
          </w:tcPr>
          <w:p w14:paraId="4767E835" w14:textId="77777777" w:rsidR="00FB07BD" w:rsidRPr="000673D1" w:rsidRDefault="00FB07BD" w:rsidP="00EA41E9">
            <w:pPr>
              <w:suppressAutoHyphens w:val="0"/>
              <w:spacing w:before="40" w:after="120"/>
              <w:ind w:right="113"/>
            </w:pPr>
          </w:p>
        </w:tc>
        <w:tc>
          <w:tcPr>
            <w:tcW w:w="2326" w:type="pct"/>
          </w:tcPr>
          <w:p w14:paraId="4EF7A5F1" w14:textId="77777777" w:rsidR="00FB07BD" w:rsidRPr="000673D1" w:rsidRDefault="00FB07BD" w:rsidP="00EA41E9">
            <w:pPr>
              <w:suppressAutoHyphens w:val="0"/>
              <w:spacing w:before="40" w:after="120"/>
              <w:ind w:right="113"/>
            </w:pPr>
          </w:p>
        </w:tc>
      </w:tr>
      <w:tr w:rsidR="009B4F97" w:rsidRPr="000673D1" w14:paraId="1690D899" w14:textId="77777777" w:rsidTr="0035124D">
        <w:trPr>
          <w:cantSplit/>
        </w:trPr>
        <w:tc>
          <w:tcPr>
            <w:tcW w:w="782" w:type="pct"/>
            <w:vMerge/>
            <w:tcBorders>
              <w:bottom w:val="single" w:sz="12" w:space="0" w:color="auto"/>
            </w:tcBorders>
            <w:shd w:val="clear" w:color="auto" w:fill="auto"/>
          </w:tcPr>
          <w:p w14:paraId="62086CB3" w14:textId="77777777" w:rsidR="00FB07BD" w:rsidRPr="000673D1" w:rsidRDefault="00FB07BD" w:rsidP="00EA41E9">
            <w:pPr>
              <w:suppressAutoHyphens w:val="0"/>
              <w:spacing w:before="40" w:after="120"/>
              <w:ind w:right="113"/>
            </w:pPr>
          </w:p>
        </w:tc>
        <w:tc>
          <w:tcPr>
            <w:tcW w:w="604" w:type="pct"/>
            <w:vMerge/>
            <w:tcBorders>
              <w:bottom w:val="single" w:sz="12" w:space="0" w:color="auto"/>
            </w:tcBorders>
            <w:shd w:val="clear" w:color="auto" w:fill="auto"/>
          </w:tcPr>
          <w:p w14:paraId="783EF78D" w14:textId="77777777" w:rsidR="00FB07BD" w:rsidRPr="000673D1" w:rsidRDefault="00FB07BD" w:rsidP="00EA41E9">
            <w:pPr>
              <w:suppressAutoHyphens w:val="0"/>
              <w:spacing w:before="40" w:after="120"/>
              <w:ind w:right="113"/>
            </w:pPr>
          </w:p>
        </w:tc>
        <w:tc>
          <w:tcPr>
            <w:tcW w:w="654" w:type="pct"/>
            <w:tcBorders>
              <w:bottom w:val="single" w:sz="12" w:space="0" w:color="auto"/>
            </w:tcBorders>
            <w:shd w:val="clear" w:color="auto" w:fill="auto"/>
          </w:tcPr>
          <w:p w14:paraId="22ABC4F9" w14:textId="77777777" w:rsidR="00FB07BD" w:rsidRPr="000673D1" w:rsidRDefault="00FB07BD" w:rsidP="00EA41E9">
            <w:pPr>
              <w:suppressAutoHyphens w:val="0"/>
              <w:spacing w:before="40" w:after="120"/>
              <w:ind w:right="113"/>
            </w:pPr>
            <w:r w:rsidRPr="000673D1">
              <w:t>Preparation of the national reports on implementation</w:t>
            </w:r>
          </w:p>
        </w:tc>
        <w:tc>
          <w:tcPr>
            <w:tcW w:w="635" w:type="pct"/>
            <w:tcBorders>
              <w:bottom w:val="single" w:sz="12" w:space="0" w:color="auto"/>
            </w:tcBorders>
            <w:shd w:val="clear" w:color="auto" w:fill="auto"/>
          </w:tcPr>
          <w:p w14:paraId="32B05BE6" w14:textId="1BB3333B" w:rsidR="00FB07BD" w:rsidRPr="000673D1" w:rsidRDefault="00FB07BD" w:rsidP="00EA41E9">
            <w:pPr>
              <w:suppressAutoHyphens w:val="0"/>
              <w:spacing w:before="40" w:after="120"/>
              <w:ind w:right="113"/>
            </w:pPr>
            <w:r w:rsidRPr="000673D1">
              <w:t>Annual national reports (“before and after”) to communicate results</w:t>
            </w:r>
          </w:p>
          <w:p w14:paraId="32C25F6C" w14:textId="77777777" w:rsidR="00FB07BD" w:rsidRPr="000673D1" w:rsidRDefault="00FB07BD" w:rsidP="00EA41E9">
            <w:pPr>
              <w:suppressAutoHyphens w:val="0"/>
              <w:spacing w:before="40" w:after="120"/>
              <w:ind w:right="113"/>
            </w:pPr>
            <w:r w:rsidRPr="000673D1">
              <w:t>Case studies/good practices</w:t>
            </w:r>
          </w:p>
        </w:tc>
        <w:tc>
          <w:tcPr>
            <w:tcW w:w="2326" w:type="pct"/>
            <w:tcBorders>
              <w:bottom w:val="single" w:sz="12" w:space="0" w:color="auto"/>
            </w:tcBorders>
          </w:tcPr>
          <w:p w14:paraId="303B9CBA" w14:textId="77777777" w:rsidR="00FB07BD" w:rsidRPr="000673D1" w:rsidRDefault="00FB07BD" w:rsidP="00EA41E9">
            <w:pPr>
              <w:suppressAutoHyphens w:val="0"/>
              <w:spacing w:before="40" w:after="120"/>
              <w:ind w:right="113"/>
            </w:pPr>
          </w:p>
        </w:tc>
      </w:tr>
    </w:tbl>
    <w:p w14:paraId="6DB46BFE" w14:textId="77777777" w:rsidR="00696773" w:rsidRDefault="00696773" w:rsidP="00696773">
      <w:pPr>
        <w:suppressAutoHyphens w:val="0"/>
        <w:spacing w:line="240" w:lineRule="auto"/>
      </w:pPr>
    </w:p>
    <w:p w14:paraId="09E0B6AC" w14:textId="77777777" w:rsidR="00482E43" w:rsidRDefault="00482E43" w:rsidP="00696773">
      <w:pPr>
        <w:suppressAutoHyphens w:val="0"/>
        <w:spacing w:line="240" w:lineRule="auto"/>
      </w:pPr>
    </w:p>
    <w:p w14:paraId="7E93DE11" w14:textId="26EA6991" w:rsidR="00482E43" w:rsidRDefault="00482E43" w:rsidP="00696773">
      <w:pPr>
        <w:suppressAutoHyphens w:val="0"/>
        <w:spacing w:line="240" w:lineRule="auto"/>
        <w:sectPr w:rsidR="00482E43" w:rsidSect="006472A0">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p>
    <w:p w14:paraId="40355C23" w14:textId="0DF79600" w:rsidR="00472091" w:rsidRDefault="00E8179A" w:rsidP="00482E43">
      <w:pPr>
        <w:pStyle w:val="HChG"/>
      </w:pPr>
      <w:bookmarkStart w:id="3" w:name="_Hlk21937375"/>
      <w:r>
        <w:lastRenderedPageBreak/>
        <w:tab/>
      </w:r>
      <w:r w:rsidR="00472091">
        <w:t>III.</w:t>
      </w:r>
      <w:r w:rsidR="00472091">
        <w:tab/>
      </w:r>
      <w:r w:rsidR="008B2454">
        <w:t xml:space="preserve">The </w:t>
      </w:r>
      <w:r w:rsidR="008B2454" w:rsidRPr="00482E43">
        <w:t>third</w:t>
      </w:r>
      <w:r w:rsidR="008B2454">
        <w:t xml:space="preserve"> year of the Action Plan implementation</w:t>
      </w:r>
      <w:r w:rsidR="008B2454" w:rsidRPr="008B2454">
        <w:t xml:space="preserve"> </w:t>
      </w:r>
      <w:r w:rsidR="008B2454">
        <w:t>- highlights</w:t>
      </w:r>
    </w:p>
    <w:p w14:paraId="5C4B1AE7" w14:textId="6F1524BD" w:rsidR="00933A8A" w:rsidRDefault="00950C39" w:rsidP="00CF75C2">
      <w:pPr>
        <w:pStyle w:val="SingleTxtG"/>
      </w:pPr>
      <w:r>
        <w:t>7.</w:t>
      </w:r>
      <w:r>
        <w:tab/>
      </w:r>
      <w:r w:rsidR="00933A8A">
        <w:t xml:space="preserve">After two years of </w:t>
      </w:r>
      <w:r w:rsidR="00867C46">
        <w:t xml:space="preserve">the COVID-19 </w:t>
      </w:r>
      <w:r w:rsidR="00933A8A">
        <w:t>pandemic</w:t>
      </w:r>
      <w:r w:rsidR="00F13756">
        <w:t>,</w:t>
      </w:r>
      <w:r w:rsidR="00933A8A">
        <w:t xml:space="preserve"> which highly affected </w:t>
      </w:r>
      <w:r w:rsidR="00581818">
        <w:t xml:space="preserve">the </w:t>
      </w:r>
      <w:r w:rsidR="00933A8A">
        <w:t>abilit</w:t>
      </w:r>
      <w:r w:rsidR="00F13756">
        <w:t>y</w:t>
      </w:r>
      <w:r w:rsidR="00933A8A">
        <w:t xml:space="preserve"> of the Secretariat to offer </w:t>
      </w:r>
      <w:r w:rsidR="00581818">
        <w:t xml:space="preserve">a </w:t>
      </w:r>
      <w:r w:rsidR="00933A8A">
        <w:t xml:space="preserve">wide </w:t>
      </w:r>
      <w:r w:rsidR="00581818">
        <w:t xml:space="preserve">range </w:t>
      </w:r>
      <w:r w:rsidR="00933A8A">
        <w:t xml:space="preserve">of in-person capacity development activities, </w:t>
      </w:r>
      <w:r w:rsidR="00581818">
        <w:t>the</w:t>
      </w:r>
      <w:r w:rsidR="00933A8A">
        <w:t xml:space="preserve"> </w:t>
      </w:r>
      <w:r w:rsidR="008D3CA8">
        <w:t>circumstances</w:t>
      </w:r>
      <w:r w:rsidR="00933A8A">
        <w:t xml:space="preserve"> for organizing in-person meetings and offer</w:t>
      </w:r>
      <w:r w:rsidR="00F13756">
        <w:t>ing</w:t>
      </w:r>
      <w:r w:rsidR="00933A8A">
        <w:t xml:space="preserve"> advisory services to </w:t>
      </w:r>
      <w:r w:rsidR="00B46904">
        <w:t>M</w:t>
      </w:r>
      <w:r w:rsidR="00933A8A">
        <w:t>ember States significantly improved</w:t>
      </w:r>
      <w:r w:rsidR="00581818">
        <w:t xml:space="preserve"> in 2022</w:t>
      </w:r>
      <w:r w:rsidR="00933A8A">
        <w:t>. Th</w:t>
      </w:r>
      <w:r w:rsidR="00A3041B">
        <w:t>e</w:t>
      </w:r>
      <w:r w:rsidR="00933A8A">
        <w:t xml:space="preserve"> </w:t>
      </w:r>
      <w:r w:rsidR="00FE03B1">
        <w:t xml:space="preserve">current </w:t>
      </w:r>
      <w:r w:rsidR="00933A8A">
        <w:t xml:space="preserve">situation is still far </w:t>
      </w:r>
      <w:r w:rsidR="008B2454">
        <w:t>below</w:t>
      </w:r>
      <w:r w:rsidR="00933A8A">
        <w:t xml:space="preserve"> pre-pandemic</w:t>
      </w:r>
      <w:r w:rsidR="00D76A8C">
        <w:t xml:space="preserve"> levels</w:t>
      </w:r>
      <w:r w:rsidR="00933A8A">
        <w:t xml:space="preserve">, but </w:t>
      </w:r>
      <w:r w:rsidR="00D76A8C">
        <w:t xml:space="preserve">the </w:t>
      </w:r>
      <w:r w:rsidR="00933A8A">
        <w:t xml:space="preserve">range of activities implemented in 2022 </w:t>
      </w:r>
      <w:r w:rsidR="008B2454">
        <w:t>and</w:t>
      </w:r>
      <w:r w:rsidR="00D76A8C">
        <w:t xml:space="preserve"> the</w:t>
      </w:r>
      <w:r w:rsidR="008B2454">
        <w:t xml:space="preserve"> pace of recovery </w:t>
      </w:r>
      <w:r w:rsidR="00D76A8C">
        <w:t>provide a</w:t>
      </w:r>
      <w:r w:rsidR="00933A8A">
        <w:t xml:space="preserve"> good basis for </w:t>
      </w:r>
      <w:r w:rsidR="008B2454">
        <w:t xml:space="preserve">more ambitious </w:t>
      </w:r>
      <w:r w:rsidR="00933A8A">
        <w:t xml:space="preserve">planning </w:t>
      </w:r>
      <w:r w:rsidR="008B2454">
        <w:t>for</w:t>
      </w:r>
      <w:r w:rsidR="00933A8A">
        <w:t xml:space="preserve"> 202</w:t>
      </w:r>
      <w:r w:rsidR="008B2454">
        <w:t>3.</w:t>
      </w:r>
    </w:p>
    <w:p w14:paraId="2C83B0A8" w14:textId="192F65BE" w:rsidR="008B2454" w:rsidRDefault="008B2454" w:rsidP="00CF75C2">
      <w:pPr>
        <w:pStyle w:val="SingleTxtG"/>
      </w:pPr>
      <w:r>
        <w:t>8.</w:t>
      </w:r>
      <w:r>
        <w:tab/>
        <w:t xml:space="preserve">In 2022, three important ECE </w:t>
      </w:r>
      <w:r w:rsidR="004A6E3C">
        <w:t>Sustainable T</w:t>
      </w:r>
      <w:r>
        <w:t xml:space="preserve">ransport </w:t>
      </w:r>
      <w:r w:rsidR="004A6E3C">
        <w:t xml:space="preserve">Division </w:t>
      </w:r>
      <w:r>
        <w:t xml:space="preserve">tools </w:t>
      </w:r>
      <w:r w:rsidR="004A6E3C">
        <w:t>which will significantly increase the Secretariat</w:t>
      </w:r>
      <w:r w:rsidR="00E0063B">
        <w:t>’s</w:t>
      </w:r>
      <w:r w:rsidR="004A6E3C">
        <w:t xml:space="preserve"> ability to offer </w:t>
      </w:r>
      <w:r w:rsidR="00E0063B">
        <w:t xml:space="preserve">a </w:t>
      </w:r>
      <w:r w:rsidR="004A6E3C">
        <w:t xml:space="preserve">wide </w:t>
      </w:r>
      <w:r w:rsidR="00EB663F">
        <w:t xml:space="preserve">range </w:t>
      </w:r>
      <w:r w:rsidR="004A6E3C">
        <w:t xml:space="preserve">of capacity development assistance to </w:t>
      </w:r>
      <w:r w:rsidR="00B46904">
        <w:t>M</w:t>
      </w:r>
      <w:r w:rsidR="004A6E3C">
        <w:t xml:space="preserve">ember States </w:t>
      </w:r>
      <w:r w:rsidR="00D25977">
        <w:t xml:space="preserve">were </w:t>
      </w:r>
      <w:r>
        <w:t>launched:</w:t>
      </w:r>
    </w:p>
    <w:p w14:paraId="39B0425B" w14:textId="4A5EDFE6" w:rsidR="008B2454" w:rsidRDefault="008B2454" w:rsidP="00997EDB">
      <w:pPr>
        <w:pStyle w:val="Bullet1G"/>
        <w:numPr>
          <w:ilvl w:val="0"/>
          <w:numId w:val="29"/>
        </w:numPr>
        <w:ind w:left="1560" w:hanging="426"/>
      </w:pPr>
      <w:r>
        <w:t>ECE</w:t>
      </w:r>
      <w:r w:rsidR="00D25977">
        <w:t>,</w:t>
      </w:r>
      <w:r>
        <w:t xml:space="preserve"> with the support of the Economic and Social Commission for Western Asia (ESCWA) and the Economic Commission for Latin America and the Caribbean (ECLAC), developed a comprehensive set of Sustainable Inland Transport Connectivity Indicators (SITCIN) in the framework of a United Nations Development Account (UNDA)-funded project.</w:t>
      </w:r>
      <w:r w:rsidR="004A6E3C">
        <w:t xml:space="preserve"> </w:t>
      </w:r>
      <w:r>
        <w:t>SITCIN is an analytical tool to enable countries to measure their degree of transport connectivity, both domestically and bilaterally/</w:t>
      </w:r>
      <w:proofErr w:type="spellStart"/>
      <w:r>
        <w:t>subregionally</w:t>
      </w:r>
      <w:proofErr w:type="spellEnd"/>
      <w:r>
        <w:t>, as well as in terms of soft and hard infrastructure. It has been designed to enable governments to evaluate and assess the following:</w:t>
      </w:r>
    </w:p>
    <w:p w14:paraId="39EE8283" w14:textId="2959174A" w:rsidR="008B2454" w:rsidRDefault="008B2454" w:rsidP="00997EDB">
      <w:pPr>
        <w:pStyle w:val="Bullet2G"/>
        <w:numPr>
          <w:ilvl w:val="1"/>
          <w:numId w:val="30"/>
        </w:numPr>
        <w:ind w:left="2127" w:hanging="285"/>
      </w:pPr>
      <w:r>
        <w:t>Their progress towards achieving the transport-related Sustainable Development Goals</w:t>
      </w:r>
      <w:r w:rsidR="004A6E3C">
        <w:t>.</w:t>
      </w:r>
    </w:p>
    <w:p w14:paraId="0E11B32F" w14:textId="2BEF3A3B" w:rsidR="008B2454" w:rsidRDefault="008B2454" w:rsidP="00997EDB">
      <w:pPr>
        <w:pStyle w:val="Bullet2G"/>
        <w:numPr>
          <w:ilvl w:val="1"/>
          <w:numId w:val="30"/>
        </w:numPr>
        <w:ind w:left="2127" w:hanging="285"/>
      </w:pPr>
      <w:r>
        <w:t xml:space="preserve">Their commitments under the Vienna Programme of Action for </w:t>
      </w:r>
      <w:r w:rsidR="006E7453" w:rsidRPr="006E7453">
        <w:t xml:space="preserve">landlocked developing countries </w:t>
      </w:r>
      <w:r w:rsidR="006E7453">
        <w:t>(</w:t>
      </w:r>
      <w:r>
        <w:t>LLDCs</w:t>
      </w:r>
      <w:r w:rsidR="006E7453">
        <w:t>)</w:t>
      </w:r>
      <w:r>
        <w:t xml:space="preserve"> for the decade 2014-2024</w:t>
      </w:r>
      <w:r w:rsidR="004A6E3C">
        <w:t>.</w:t>
      </w:r>
    </w:p>
    <w:p w14:paraId="5813D283" w14:textId="61FF1CB4" w:rsidR="008B2454" w:rsidRDefault="008B2454" w:rsidP="00997EDB">
      <w:pPr>
        <w:pStyle w:val="Bullet2G"/>
        <w:numPr>
          <w:ilvl w:val="1"/>
          <w:numId w:val="30"/>
        </w:numPr>
        <w:ind w:left="2127" w:hanging="285"/>
      </w:pPr>
      <w:r>
        <w:t>The effectiveness and efficiency of their transport systems and degree of inter-operability with those of adjacent countries</w:t>
      </w:r>
      <w:r w:rsidR="004A6E3C">
        <w:t>.</w:t>
      </w:r>
    </w:p>
    <w:p w14:paraId="0B7FCD86" w14:textId="77777777" w:rsidR="008B2454" w:rsidRDefault="008B2454" w:rsidP="00997EDB">
      <w:pPr>
        <w:pStyle w:val="Bullet2G"/>
        <w:numPr>
          <w:ilvl w:val="1"/>
          <w:numId w:val="30"/>
        </w:numPr>
        <w:ind w:left="2127" w:hanging="285"/>
      </w:pPr>
      <w:r>
        <w:t>The level of compliance of national administrative and legal frameworks with United Nations legal instruments relating to transport and border-crossing facilitation.</w:t>
      </w:r>
    </w:p>
    <w:p w14:paraId="7B50F1A5" w14:textId="7E4CF440" w:rsidR="00E63A7F" w:rsidRDefault="00E63A7F" w:rsidP="00997EDB">
      <w:pPr>
        <w:pStyle w:val="Bullet1G"/>
        <w:numPr>
          <w:ilvl w:val="0"/>
          <w:numId w:val="29"/>
        </w:numPr>
        <w:ind w:left="1560" w:hanging="426"/>
      </w:pPr>
      <w:r>
        <w:t>In September 2022, through</w:t>
      </w:r>
      <w:r w:rsidR="00C323B4">
        <w:t xml:space="preserve"> </w:t>
      </w:r>
      <w:r w:rsidR="00BD7B02">
        <w:t>implement</w:t>
      </w:r>
      <w:r>
        <w:t>ation of</w:t>
      </w:r>
      <w:r w:rsidR="00C323B4">
        <w:t xml:space="preserve"> the United Nations Development Account</w:t>
      </w:r>
      <w:r w:rsidR="00BD7B02">
        <w:t xml:space="preserve"> - financed project “</w:t>
      </w:r>
      <w:r w:rsidR="00BD7B02" w:rsidRPr="00BD7B02">
        <w:t>Sustainable mobility and smart connectivity (trade and transport nexus) in Central Asia, the Caucasus and Western Balkans</w:t>
      </w:r>
      <w:r w:rsidR="00BD7B02">
        <w:t xml:space="preserve">” </w:t>
      </w:r>
      <w:r>
        <w:t>ECE launched</w:t>
      </w:r>
      <w:r w:rsidR="00786989">
        <w:t xml:space="preserve"> the</w:t>
      </w:r>
      <w:r>
        <w:t xml:space="preserve"> </w:t>
      </w:r>
      <w:proofErr w:type="spellStart"/>
      <w:r>
        <w:t>LearnITC</w:t>
      </w:r>
      <w:proofErr w:type="spellEnd"/>
      <w:r>
        <w:t xml:space="preserve"> e</w:t>
      </w:r>
      <w:r w:rsidR="00BD7B02">
        <w:t xml:space="preserve">-Learning Platform </w:t>
      </w:r>
      <w:r>
        <w:t>on the Smart and Sustainable Connectivity</w:t>
      </w:r>
      <w:r w:rsidR="00217608">
        <w:t>. The platform</w:t>
      </w:r>
      <w:r w:rsidR="00BD7B02">
        <w:t xml:space="preserve"> </w:t>
      </w:r>
      <w:r>
        <w:t>includes</w:t>
      </w:r>
      <w:r w:rsidR="00BD7B02">
        <w:t xml:space="preserve"> </w:t>
      </w:r>
      <w:r>
        <w:t xml:space="preserve">courses and </w:t>
      </w:r>
      <w:r w:rsidR="00BD7B02">
        <w:t xml:space="preserve">training materials on sustainable mobility and connectivity tied to </w:t>
      </w:r>
      <w:r>
        <w:t>UN transport-related</w:t>
      </w:r>
      <w:r w:rsidR="00BD7B02">
        <w:t xml:space="preserve"> legal instruments </w:t>
      </w:r>
      <w:r w:rsidR="007345D0">
        <w:t>and</w:t>
      </w:r>
      <w:r w:rsidR="00BD7B02">
        <w:t xml:space="preserve"> to the development of appropriate policy tools to implement the requirements of legal instruments, standards and guidelines.</w:t>
      </w:r>
      <w:bookmarkEnd w:id="3"/>
    </w:p>
    <w:p w14:paraId="74A840B4" w14:textId="070DFDFB" w:rsidR="00E63A7F" w:rsidRPr="00284D61" w:rsidRDefault="00E63A7F" w:rsidP="00997EDB">
      <w:pPr>
        <w:pStyle w:val="Bullet1G"/>
        <w:numPr>
          <w:ilvl w:val="0"/>
          <w:numId w:val="29"/>
        </w:numPr>
        <w:ind w:left="1560" w:hanging="426"/>
      </w:pPr>
      <w:r w:rsidRPr="00733605">
        <w:rPr>
          <w:szCs w:val="24"/>
        </w:rPr>
        <w:t xml:space="preserve">During </w:t>
      </w:r>
      <w:r>
        <w:rPr>
          <w:szCs w:val="24"/>
        </w:rPr>
        <w:t>20</w:t>
      </w:r>
      <w:r w:rsidRPr="00733605">
        <w:rPr>
          <w:szCs w:val="24"/>
        </w:rPr>
        <w:t>2</w:t>
      </w:r>
      <w:r>
        <w:rPr>
          <w:szCs w:val="24"/>
        </w:rPr>
        <w:t>2</w:t>
      </w:r>
      <w:r w:rsidRPr="00733605">
        <w:rPr>
          <w:szCs w:val="24"/>
        </w:rPr>
        <w:t xml:space="preserve">, in communication with ECE and </w:t>
      </w:r>
      <w:r w:rsidR="00B87367">
        <w:rPr>
          <w:szCs w:val="24"/>
        </w:rPr>
        <w:t>United Nations International Children’s Emergency Fund (</w:t>
      </w:r>
      <w:r w:rsidRPr="00733605">
        <w:rPr>
          <w:szCs w:val="24"/>
        </w:rPr>
        <w:t>UNICEF</w:t>
      </w:r>
      <w:r w:rsidR="00B87367">
        <w:rPr>
          <w:szCs w:val="24"/>
        </w:rPr>
        <w:t>)</w:t>
      </w:r>
      <w:r w:rsidRPr="00733605">
        <w:rPr>
          <w:szCs w:val="24"/>
        </w:rPr>
        <w:t xml:space="preserve"> Uzbekistan, the Government </w:t>
      </w:r>
      <w:r>
        <w:rPr>
          <w:szCs w:val="24"/>
        </w:rPr>
        <w:t xml:space="preserve">of Uzbekistan </w:t>
      </w:r>
      <w:r w:rsidRPr="00733605">
        <w:rPr>
          <w:szCs w:val="24"/>
        </w:rPr>
        <w:t>expressed interest in improving</w:t>
      </w:r>
      <w:r w:rsidR="00D2199D">
        <w:rPr>
          <w:szCs w:val="24"/>
        </w:rPr>
        <w:t xml:space="preserve"> the</w:t>
      </w:r>
      <w:r w:rsidRPr="00733605">
        <w:rPr>
          <w:szCs w:val="24"/>
        </w:rPr>
        <w:t xml:space="preserve"> national road safety system</w:t>
      </w:r>
      <w:r>
        <w:rPr>
          <w:szCs w:val="24"/>
        </w:rPr>
        <w:t xml:space="preserve"> through </w:t>
      </w:r>
      <w:r w:rsidR="00E8711D">
        <w:rPr>
          <w:szCs w:val="24"/>
        </w:rPr>
        <w:t xml:space="preserve">the </w:t>
      </w:r>
      <w:r>
        <w:rPr>
          <w:szCs w:val="24"/>
        </w:rPr>
        <w:t xml:space="preserve">preparation of </w:t>
      </w:r>
      <w:r w:rsidR="00E8711D">
        <w:rPr>
          <w:szCs w:val="24"/>
        </w:rPr>
        <w:t>the country’s Road Safety Performance Review (</w:t>
      </w:r>
      <w:r>
        <w:rPr>
          <w:szCs w:val="24"/>
        </w:rPr>
        <w:t>RSPR</w:t>
      </w:r>
      <w:r w:rsidR="00E8711D">
        <w:rPr>
          <w:szCs w:val="24"/>
        </w:rPr>
        <w:t>)</w:t>
      </w:r>
      <w:r>
        <w:rPr>
          <w:szCs w:val="24"/>
        </w:rPr>
        <w:t>. A few months later, fruitful discussion</w:t>
      </w:r>
      <w:r w:rsidR="00626D59">
        <w:rPr>
          <w:szCs w:val="24"/>
        </w:rPr>
        <w:t>s</w:t>
      </w:r>
      <w:r>
        <w:rPr>
          <w:szCs w:val="24"/>
        </w:rPr>
        <w:t xml:space="preserve"> between the Ministry of Internal Affairs of the Republic of Moldova and ECE resulted in </w:t>
      </w:r>
      <w:r w:rsidR="00626D59">
        <w:rPr>
          <w:szCs w:val="24"/>
        </w:rPr>
        <w:t xml:space="preserve">the </w:t>
      </w:r>
      <w:r>
        <w:rPr>
          <w:szCs w:val="24"/>
        </w:rPr>
        <w:t xml:space="preserve">invitation </w:t>
      </w:r>
      <w:r w:rsidR="006A6BEA">
        <w:rPr>
          <w:szCs w:val="24"/>
        </w:rPr>
        <w:t xml:space="preserve">of </w:t>
      </w:r>
      <w:r w:rsidR="00C34FD8">
        <w:rPr>
          <w:szCs w:val="24"/>
        </w:rPr>
        <w:t>ECE</w:t>
      </w:r>
      <w:r>
        <w:rPr>
          <w:szCs w:val="24"/>
        </w:rPr>
        <w:t xml:space="preserve"> to prepare</w:t>
      </w:r>
      <w:r w:rsidR="00E8711D">
        <w:rPr>
          <w:szCs w:val="24"/>
        </w:rPr>
        <w:t xml:space="preserve"> the</w:t>
      </w:r>
      <w:r>
        <w:rPr>
          <w:szCs w:val="24"/>
        </w:rPr>
        <w:t xml:space="preserve"> RSPR for Moldova. In this project</w:t>
      </w:r>
      <w:r w:rsidR="006A6BEA">
        <w:rPr>
          <w:szCs w:val="24"/>
        </w:rPr>
        <w:t>,</w:t>
      </w:r>
      <w:r>
        <w:rPr>
          <w:szCs w:val="24"/>
        </w:rPr>
        <w:t xml:space="preserve"> ECE joined forces with </w:t>
      </w:r>
      <w:r w:rsidR="00E8711D">
        <w:rPr>
          <w:szCs w:val="24"/>
        </w:rPr>
        <w:t xml:space="preserve">the </w:t>
      </w:r>
      <w:r w:rsidR="006A6BEA">
        <w:rPr>
          <w:szCs w:val="24"/>
        </w:rPr>
        <w:t>United Nations Development Programme (</w:t>
      </w:r>
      <w:r>
        <w:rPr>
          <w:szCs w:val="24"/>
        </w:rPr>
        <w:t>UNDP</w:t>
      </w:r>
      <w:r w:rsidR="006A6BEA">
        <w:rPr>
          <w:szCs w:val="24"/>
        </w:rPr>
        <w:t>)</w:t>
      </w:r>
      <w:r>
        <w:rPr>
          <w:szCs w:val="24"/>
        </w:rPr>
        <w:t xml:space="preserve"> Moldova. </w:t>
      </w:r>
    </w:p>
    <w:p w14:paraId="24260558" w14:textId="1FF5DDEF" w:rsidR="003F073F" w:rsidRDefault="003F073F" w:rsidP="00CF75C2">
      <w:pPr>
        <w:pStyle w:val="SingleTxtG"/>
        <w:rPr>
          <w:szCs w:val="24"/>
        </w:rPr>
      </w:pPr>
      <w:r>
        <w:t>9.</w:t>
      </w:r>
      <w:r>
        <w:tab/>
      </w:r>
      <w:r w:rsidR="00284D61">
        <w:t>Based on experiences from four RSPR</w:t>
      </w:r>
      <w:r w:rsidR="00B63F76">
        <w:t xml:space="preserve"> that have been undertaken</w:t>
      </w:r>
      <w:r w:rsidR="00284D61">
        <w:t xml:space="preserve">, </w:t>
      </w:r>
      <w:r w:rsidR="00871AA8">
        <w:t>i.e</w:t>
      </w:r>
      <w:r w:rsidR="00B75C42">
        <w:t>.</w:t>
      </w:r>
      <w:r w:rsidR="00871AA8">
        <w:t xml:space="preserve"> </w:t>
      </w:r>
      <w:r w:rsidR="00284D61">
        <w:t xml:space="preserve">two workshops on RSPR results </w:t>
      </w:r>
      <w:r w:rsidR="00E26495">
        <w:t xml:space="preserve">that were </w:t>
      </w:r>
      <w:r w:rsidR="00284D61">
        <w:t xml:space="preserve">held after </w:t>
      </w:r>
      <w:r w:rsidR="00B63F76">
        <w:t xml:space="preserve">the </w:t>
      </w:r>
      <w:r w:rsidR="00284D61">
        <w:t xml:space="preserve">completion of the project (November 2018, Tbilisi, Georgia and October 2020, Geneva) and </w:t>
      </w:r>
      <w:r w:rsidR="00C159C7">
        <w:t xml:space="preserve">the </w:t>
      </w:r>
      <w:r w:rsidR="00284D61">
        <w:t xml:space="preserve">feedback from </w:t>
      </w:r>
      <w:r w:rsidR="00C73A4F">
        <w:t>M</w:t>
      </w:r>
      <w:r w:rsidR="000F03D5">
        <w:t xml:space="preserve">ember </w:t>
      </w:r>
      <w:r w:rsidR="00284D61">
        <w:t xml:space="preserve">States on capacity development activities </w:t>
      </w:r>
      <w:r w:rsidR="008E3FFC">
        <w:t xml:space="preserve">during the </w:t>
      </w:r>
      <w:r w:rsidR="00284D61">
        <w:t xml:space="preserve">COVID-19/post-COVID-19 era, ECE revised </w:t>
      </w:r>
      <w:r w:rsidR="008E3FFC">
        <w:t xml:space="preserve">the </w:t>
      </w:r>
      <w:r w:rsidR="00284D61">
        <w:t xml:space="preserve">RSPR methodology – making it simpler without compromising </w:t>
      </w:r>
      <w:r w:rsidR="008E3FFC">
        <w:t xml:space="preserve">on </w:t>
      </w:r>
      <w:r w:rsidR="00284D61">
        <w:t xml:space="preserve">RSPR quality. </w:t>
      </w:r>
      <w:r w:rsidR="004672B1">
        <w:t>D</w:t>
      </w:r>
      <w:r w:rsidR="00284D61">
        <w:t xml:space="preserve">ifferent phases of RSPR </w:t>
      </w:r>
      <w:r w:rsidR="00362EA9">
        <w:t>are</w:t>
      </w:r>
      <w:r w:rsidR="00284D61">
        <w:t xml:space="preserve"> presented</w:t>
      </w:r>
      <w:r w:rsidR="004672B1">
        <w:t xml:space="preserve"> in the </w:t>
      </w:r>
      <w:r w:rsidR="004A1B2A">
        <w:t xml:space="preserve">Table </w:t>
      </w:r>
      <w:r w:rsidR="00E21BCA">
        <w:t>of</w:t>
      </w:r>
      <w:r w:rsidR="004A1B2A">
        <w:t xml:space="preserve"> the </w:t>
      </w:r>
      <w:r w:rsidR="004672B1">
        <w:t>Annex</w:t>
      </w:r>
      <w:r w:rsidR="00362EA9">
        <w:t>, using the example of RSPR in Uzbekistan</w:t>
      </w:r>
      <w:r w:rsidR="00284D61">
        <w:t>.</w:t>
      </w:r>
    </w:p>
    <w:p w14:paraId="19E6D805" w14:textId="4BB7AB66" w:rsidR="003F073F" w:rsidRDefault="003F073F" w:rsidP="00CF75C2">
      <w:pPr>
        <w:pStyle w:val="SingleTxtG"/>
        <w:rPr>
          <w:szCs w:val="24"/>
        </w:rPr>
      </w:pPr>
      <w:r>
        <w:rPr>
          <w:szCs w:val="24"/>
        </w:rPr>
        <w:t>10.</w:t>
      </w:r>
      <w:r>
        <w:rPr>
          <w:szCs w:val="24"/>
        </w:rPr>
        <w:tab/>
      </w:r>
      <w:r w:rsidR="00284D61" w:rsidRPr="00284D61">
        <w:rPr>
          <w:szCs w:val="24"/>
        </w:rPr>
        <w:t xml:space="preserve">In May 2022, ECE completed </w:t>
      </w:r>
      <w:r w:rsidR="008F3B34">
        <w:rPr>
          <w:szCs w:val="24"/>
        </w:rPr>
        <w:t xml:space="preserve">a </w:t>
      </w:r>
      <w:r w:rsidR="00284D61" w:rsidRPr="00284D61">
        <w:rPr>
          <w:szCs w:val="24"/>
        </w:rPr>
        <w:t xml:space="preserve">reconnaissance mission to Tashkent as an initial step of RSPR. In July </w:t>
      </w:r>
      <w:r w:rsidR="004E53A9">
        <w:rPr>
          <w:szCs w:val="24"/>
        </w:rPr>
        <w:t xml:space="preserve">2022, </w:t>
      </w:r>
      <w:r w:rsidR="00284D61" w:rsidRPr="00284D61">
        <w:rPr>
          <w:szCs w:val="24"/>
        </w:rPr>
        <w:t xml:space="preserve">regional and national consultants – members of </w:t>
      </w:r>
      <w:r w:rsidR="00FD78F3">
        <w:rPr>
          <w:szCs w:val="24"/>
        </w:rPr>
        <w:t xml:space="preserve">the </w:t>
      </w:r>
      <w:r w:rsidR="00284D61" w:rsidRPr="00284D61">
        <w:rPr>
          <w:szCs w:val="24"/>
        </w:rPr>
        <w:t xml:space="preserve">substantive team </w:t>
      </w:r>
      <w:r w:rsidR="00E0063B" w:rsidRPr="00284D61">
        <w:rPr>
          <w:szCs w:val="24"/>
        </w:rPr>
        <w:lastRenderedPageBreak/>
        <w:t>–</w:t>
      </w:r>
      <w:r w:rsidR="00E0063B">
        <w:rPr>
          <w:szCs w:val="24"/>
        </w:rPr>
        <w:t xml:space="preserve"> </w:t>
      </w:r>
      <w:r w:rsidR="00284D61" w:rsidRPr="00284D61">
        <w:rPr>
          <w:szCs w:val="24"/>
        </w:rPr>
        <w:t>were mobilized and started</w:t>
      </w:r>
      <w:r w:rsidR="004E53A9">
        <w:rPr>
          <w:szCs w:val="24"/>
        </w:rPr>
        <w:t xml:space="preserve"> the</w:t>
      </w:r>
      <w:r w:rsidR="00284D61" w:rsidRPr="00284D61">
        <w:rPr>
          <w:szCs w:val="24"/>
        </w:rPr>
        <w:t xml:space="preserve"> preparation of </w:t>
      </w:r>
      <w:r w:rsidR="004E53A9">
        <w:rPr>
          <w:szCs w:val="24"/>
        </w:rPr>
        <w:t xml:space="preserve">a </w:t>
      </w:r>
      <w:r w:rsidR="00284D61" w:rsidRPr="00284D61">
        <w:rPr>
          <w:szCs w:val="24"/>
        </w:rPr>
        <w:t xml:space="preserve">fact-finding mission. This mission </w:t>
      </w:r>
      <w:r w:rsidR="00284D61">
        <w:rPr>
          <w:szCs w:val="24"/>
        </w:rPr>
        <w:t xml:space="preserve">was </w:t>
      </w:r>
      <w:r w:rsidR="00DE0184">
        <w:rPr>
          <w:szCs w:val="24"/>
        </w:rPr>
        <w:t xml:space="preserve">carried out </w:t>
      </w:r>
      <w:r w:rsidR="00284D61">
        <w:rPr>
          <w:szCs w:val="24"/>
        </w:rPr>
        <w:t>in September</w:t>
      </w:r>
      <w:r w:rsidR="00DE0184">
        <w:rPr>
          <w:szCs w:val="24"/>
        </w:rPr>
        <w:t xml:space="preserve"> 2022</w:t>
      </w:r>
      <w:r w:rsidR="00284D61" w:rsidRPr="00284D61">
        <w:rPr>
          <w:szCs w:val="24"/>
        </w:rPr>
        <w:t xml:space="preserve"> </w:t>
      </w:r>
      <w:r>
        <w:rPr>
          <w:szCs w:val="24"/>
        </w:rPr>
        <w:t xml:space="preserve">when </w:t>
      </w:r>
      <w:r w:rsidR="00284D61">
        <w:rPr>
          <w:szCs w:val="24"/>
        </w:rPr>
        <w:t>ECE</w:t>
      </w:r>
      <w:r w:rsidR="00284D61" w:rsidRPr="00284D61">
        <w:rPr>
          <w:szCs w:val="24"/>
        </w:rPr>
        <w:t xml:space="preserve"> met all relevant national stakeholders for </w:t>
      </w:r>
      <w:r w:rsidR="00DE0184">
        <w:rPr>
          <w:szCs w:val="24"/>
        </w:rPr>
        <w:t xml:space="preserve">the </w:t>
      </w:r>
      <w:r w:rsidR="00284D61" w:rsidRPr="00284D61">
        <w:rPr>
          <w:szCs w:val="24"/>
        </w:rPr>
        <w:t>identification and discussion o</w:t>
      </w:r>
      <w:r w:rsidR="004E53A9">
        <w:rPr>
          <w:szCs w:val="24"/>
        </w:rPr>
        <w:t>f</w:t>
      </w:r>
      <w:r w:rsidR="00284D61" w:rsidRPr="00284D61">
        <w:rPr>
          <w:szCs w:val="24"/>
        </w:rPr>
        <w:t xml:space="preserve"> the most pressing road safety issues. </w:t>
      </w:r>
      <w:r w:rsidR="004E53A9">
        <w:rPr>
          <w:szCs w:val="24"/>
        </w:rPr>
        <w:t>Over</w:t>
      </w:r>
      <w:r w:rsidR="004E53A9" w:rsidRPr="00284D61">
        <w:rPr>
          <w:szCs w:val="24"/>
        </w:rPr>
        <w:t xml:space="preserve"> </w:t>
      </w:r>
      <w:r w:rsidR="00284D61">
        <w:rPr>
          <w:szCs w:val="24"/>
        </w:rPr>
        <w:t>two additional days in November</w:t>
      </w:r>
      <w:r w:rsidR="004E53A9">
        <w:rPr>
          <w:szCs w:val="24"/>
        </w:rPr>
        <w:t xml:space="preserve"> 2022,</w:t>
      </w:r>
      <w:r w:rsidR="00284D61">
        <w:rPr>
          <w:szCs w:val="24"/>
        </w:rPr>
        <w:t xml:space="preserve"> </w:t>
      </w:r>
      <w:r w:rsidR="00284D61" w:rsidRPr="00284D61">
        <w:rPr>
          <w:szCs w:val="24"/>
        </w:rPr>
        <w:t xml:space="preserve">ECE </w:t>
      </w:r>
      <w:r>
        <w:rPr>
          <w:szCs w:val="24"/>
        </w:rPr>
        <w:t>discussed national stakeholders</w:t>
      </w:r>
      <w:r w:rsidR="00331C23">
        <w:rPr>
          <w:szCs w:val="24"/>
        </w:rPr>
        <w:t>’</w:t>
      </w:r>
      <w:r>
        <w:rPr>
          <w:szCs w:val="24"/>
        </w:rPr>
        <w:t xml:space="preserve"> initial findings and </w:t>
      </w:r>
      <w:r w:rsidR="00284D61">
        <w:rPr>
          <w:szCs w:val="24"/>
        </w:rPr>
        <w:t xml:space="preserve">completed </w:t>
      </w:r>
      <w:r w:rsidR="000D46E3">
        <w:rPr>
          <w:szCs w:val="24"/>
        </w:rPr>
        <w:t xml:space="preserve">the </w:t>
      </w:r>
      <w:r w:rsidR="00284D61">
        <w:rPr>
          <w:szCs w:val="24"/>
        </w:rPr>
        <w:t>data collection process</w:t>
      </w:r>
      <w:r w:rsidR="003B1371">
        <w:rPr>
          <w:szCs w:val="24"/>
        </w:rPr>
        <w:t xml:space="preserve"> in Tashkent</w:t>
      </w:r>
      <w:r w:rsidR="00284D61">
        <w:rPr>
          <w:szCs w:val="24"/>
        </w:rPr>
        <w:t xml:space="preserve">. The first draft of RSPR is planned to be shared with </w:t>
      </w:r>
      <w:r w:rsidR="00781BBD">
        <w:rPr>
          <w:szCs w:val="24"/>
        </w:rPr>
        <w:t xml:space="preserve">the </w:t>
      </w:r>
      <w:r w:rsidR="00284D61">
        <w:rPr>
          <w:szCs w:val="24"/>
        </w:rPr>
        <w:t>Uzbek national focal point in December 2022.</w:t>
      </w:r>
    </w:p>
    <w:p w14:paraId="797ACDEE" w14:textId="60375526" w:rsidR="00284D61" w:rsidRPr="00284D61" w:rsidRDefault="003F073F" w:rsidP="00CF75C2">
      <w:pPr>
        <w:pStyle w:val="SingleTxtG"/>
        <w:rPr>
          <w:szCs w:val="24"/>
        </w:rPr>
      </w:pPr>
      <w:r>
        <w:rPr>
          <w:szCs w:val="24"/>
        </w:rPr>
        <w:t>11.</w:t>
      </w:r>
      <w:r>
        <w:rPr>
          <w:szCs w:val="24"/>
        </w:rPr>
        <w:tab/>
      </w:r>
      <w:r w:rsidR="00284D61" w:rsidRPr="00284D61">
        <w:rPr>
          <w:szCs w:val="24"/>
        </w:rPr>
        <w:t xml:space="preserve">In June 2022, ECE exchanged letters with the Ministry of Internal Affairs of the Republic of Moldova on </w:t>
      </w:r>
      <w:r w:rsidR="00F474B8">
        <w:rPr>
          <w:szCs w:val="24"/>
        </w:rPr>
        <w:t xml:space="preserve">the </w:t>
      </w:r>
      <w:r w:rsidR="00284D61" w:rsidRPr="00284D61">
        <w:rPr>
          <w:szCs w:val="24"/>
        </w:rPr>
        <w:t xml:space="preserve">initiation of RSPR Moldova. </w:t>
      </w:r>
      <w:r>
        <w:rPr>
          <w:szCs w:val="24"/>
        </w:rPr>
        <w:t>For this task</w:t>
      </w:r>
      <w:r w:rsidR="00284D61" w:rsidRPr="00284D61">
        <w:rPr>
          <w:szCs w:val="24"/>
        </w:rPr>
        <w:t xml:space="preserve">, regional and nation consultants – members of </w:t>
      </w:r>
      <w:r w:rsidR="00FD78F3">
        <w:rPr>
          <w:szCs w:val="24"/>
        </w:rPr>
        <w:t xml:space="preserve">the </w:t>
      </w:r>
      <w:r w:rsidR="00284D61" w:rsidRPr="00284D61">
        <w:rPr>
          <w:szCs w:val="24"/>
        </w:rPr>
        <w:t xml:space="preserve">substantive team </w:t>
      </w:r>
      <w:r w:rsidR="00E0063B" w:rsidRPr="00284D61">
        <w:rPr>
          <w:szCs w:val="24"/>
        </w:rPr>
        <w:t>–</w:t>
      </w:r>
      <w:r w:rsidR="00E0063B">
        <w:rPr>
          <w:szCs w:val="24"/>
        </w:rPr>
        <w:t xml:space="preserve"> </w:t>
      </w:r>
      <w:r w:rsidR="00284D61" w:rsidRPr="00284D61">
        <w:rPr>
          <w:szCs w:val="24"/>
        </w:rPr>
        <w:t xml:space="preserve">were </w:t>
      </w:r>
      <w:r>
        <w:rPr>
          <w:szCs w:val="24"/>
        </w:rPr>
        <w:t>mobilized in September</w:t>
      </w:r>
      <w:r w:rsidR="00DF37D0">
        <w:rPr>
          <w:szCs w:val="24"/>
        </w:rPr>
        <w:t xml:space="preserve"> 2022</w:t>
      </w:r>
      <w:r>
        <w:rPr>
          <w:szCs w:val="24"/>
        </w:rPr>
        <w:t xml:space="preserve">. </w:t>
      </w:r>
      <w:r w:rsidR="00DF37D0">
        <w:rPr>
          <w:szCs w:val="24"/>
        </w:rPr>
        <w:t>The k</w:t>
      </w:r>
      <w:r>
        <w:rPr>
          <w:szCs w:val="24"/>
        </w:rPr>
        <w:t xml:space="preserve">ick-off meeting with </w:t>
      </w:r>
      <w:r w:rsidR="00DF37D0">
        <w:rPr>
          <w:szCs w:val="24"/>
        </w:rPr>
        <w:t xml:space="preserve">the </w:t>
      </w:r>
      <w:r>
        <w:rPr>
          <w:szCs w:val="24"/>
        </w:rPr>
        <w:t xml:space="preserve">national focal point was held in November and </w:t>
      </w:r>
      <w:r w:rsidR="00E5590F">
        <w:rPr>
          <w:szCs w:val="24"/>
        </w:rPr>
        <w:t xml:space="preserve">a </w:t>
      </w:r>
      <w:r w:rsidR="00284D61" w:rsidRPr="00284D61">
        <w:rPr>
          <w:szCs w:val="24"/>
        </w:rPr>
        <w:t xml:space="preserve">fact-finding mission to Chisinau </w:t>
      </w:r>
      <w:r w:rsidR="00B75C42">
        <w:rPr>
          <w:szCs w:val="24"/>
        </w:rPr>
        <w:t>wa</w:t>
      </w:r>
      <w:r>
        <w:rPr>
          <w:szCs w:val="24"/>
        </w:rPr>
        <w:t xml:space="preserve">s planned for </w:t>
      </w:r>
      <w:r w:rsidR="00E5590F">
        <w:rPr>
          <w:szCs w:val="24"/>
        </w:rPr>
        <w:t xml:space="preserve">the </w:t>
      </w:r>
      <w:r>
        <w:rPr>
          <w:szCs w:val="24"/>
        </w:rPr>
        <w:t>second week of December</w:t>
      </w:r>
      <w:r w:rsidR="00E5590F">
        <w:rPr>
          <w:szCs w:val="24"/>
        </w:rPr>
        <w:t xml:space="preserve"> 2022</w:t>
      </w:r>
      <w:r w:rsidR="00284D61" w:rsidRPr="00284D61">
        <w:rPr>
          <w:szCs w:val="24"/>
        </w:rPr>
        <w:t xml:space="preserve">. </w:t>
      </w:r>
    </w:p>
    <w:p w14:paraId="5F7BF32B" w14:textId="77777777" w:rsidR="00CF75C2" w:rsidRDefault="00CF75C2" w:rsidP="00331C23">
      <w:pPr>
        <w:spacing w:before="240"/>
        <w:jc w:val="both"/>
        <w:rPr>
          <w:u w:val="single"/>
        </w:rPr>
      </w:pPr>
      <w:r>
        <w:rPr>
          <w:u w:val="single"/>
        </w:rPr>
        <w:br w:type="page"/>
      </w:r>
    </w:p>
    <w:p w14:paraId="06723CF3" w14:textId="674B098E" w:rsidR="00331C23" w:rsidRPr="00331C23" w:rsidRDefault="00331C23" w:rsidP="00CF75C2">
      <w:pPr>
        <w:pStyle w:val="HChG"/>
      </w:pPr>
      <w:r w:rsidRPr="00331C23">
        <w:lastRenderedPageBreak/>
        <w:t xml:space="preserve">Annex </w:t>
      </w:r>
    </w:p>
    <w:p w14:paraId="38D57BB5" w14:textId="364FF04B" w:rsidR="00CF75C2" w:rsidRDefault="00331C23" w:rsidP="00CF75C2">
      <w:pPr>
        <w:pStyle w:val="Heading1"/>
      </w:pPr>
      <w:r w:rsidRPr="000C42C3">
        <w:rPr>
          <w:b/>
          <w:bCs/>
        </w:rPr>
        <w:t xml:space="preserve">Table </w:t>
      </w:r>
    </w:p>
    <w:p w14:paraId="7A39282C" w14:textId="37BF16AB" w:rsidR="00331C23" w:rsidRPr="0081738C" w:rsidRDefault="00331C23" w:rsidP="00CF75C2">
      <w:pPr>
        <w:pStyle w:val="Heading1"/>
      </w:pPr>
      <w:r>
        <w:t>RSPR Uzbekistan Project phases</w:t>
      </w:r>
    </w:p>
    <w:tbl>
      <w:tblPr>
        <w:tblStyle w:val="TableGrid"/>
        <w:tblW w:w="5000" w:type="pct"/>
        <w:tblLook w:val="04A0" w:firstRow="1" w:lastRow="0" w:firstColumn="1" w:lastColumn="0" w:noHBand="0" w:noVBand="1"/>
      </w:tblPr>
      <w:tblGrid>
        <w:gridCol w:w="9629"/>
      </w:tblGrid>
      <w:tr w:rsidR="00331C23" w14:paraId="59BD9388" w14:textId="77777777" w:rsidTr="00331C23">
        <w:tc>
          <w:tcPr>
            <w:tcW w:w="5000" w:type="pct"/>
          </w:tcPr>
          <w:p w14:paraId="7DC716AB" w14:textId="0FB72C69" w:rsidR="00331C23" w:rsidRDefault="00331C23" w:rsidP="007A7918">
            <w:pPr>
              <w:spacing w:before="40" w:after="120"/>
              <w:ind w:left="130" w:right="130"/>
              <w:jc w:val="both"/>
            </w:pPr>
            <w:r w:rsidRPr="00457DCC">
              <w:rPr>
                <w:b/>
              </w:rPr>
              <w:t xml:space="preserve">Phase I: Preparatory </w:t>
            </w:r>
            <w:r w:rsidR="00F60864">
              <w:rPr>
                <w:b/>
              </w:rPr>
              <w:t>V</w:t>
            </w:r>
            <w:r w:rsidRPr="00457DCC">
              <w:rPr>
                <w:b/>
              </w:rPr>
              <w:t xml:space="preserve">isit </w:t>
            </w:r>
            <w:r w:rsidRPr="00457DCC">
              <w:t xml:space="preserve">- The project will start with </w:t>
            </w:r>
            <w:r w:rsidR="009E7370">
              <w:t xml:space="preserve">a </w:t>
            </w:r>
            <w:r w:rsidRPr="00457DCC">
              <w:t xml:space="preserve">preparatory visit of an initial ECE review team </w:t>
            </w:r>
            <w:r w:rsidRPr="001354BC">
              <w:t xml:space="preserve">to </w:t>
            </w:r>
            <w:r>
              <w:rPr>
                <w:color w:val="000000"/>
              </w:rPr>
              <w:t>Uzbekistan</w:t>
            </w:r>
            <w:r w:rsidR="009E7370">
              <w:rPr>
                <w:color w:val="000000"/>
              </w:rPr>
              <w:t>,</w:t>
            </w:r>
            <w:r w:rsidRPr="001354BC">
              <w:rPr>
                <w:color w:val="000000"/>
              </w:rPr>
              <w:t xml:space="preserve"> </w:t>
            </w:r>
            <w:r w:rsidRPr="001354BC">
              <w:t xml:space="preserve">including a one-day policy dialogue to agree on the objectives, outline and timeline of the RSPR with </w:t>
            </w:r>
            <w:r w:rsidRPr="00457DCC">
              <w:t xml:space="preserve">national authorities and other road safety stakeholders. During the mission, </w:t>
            </w:r>
            <w:r w:rsidRPr="00457DCC">
              <w:rPr>
                <w:color w:val="000000"/>
              </w:rPr>
              <w:t xml:space="preserve">a framework </w:t>
            </w:r>
            <w:r w:rsidRPr="001354BC">
              <w:rPr>
                <w:color w:val="000000"/>
              </w:rPr>
              <w:t xml:space="preserve">and RSPR Methodology will be presented by </w:t>
            </w:r>
            <w:r w:rsidR="00C34FD8">
              <w:rPr>
                <w:color w:val="000000"/>
              </w:rPr>
              <w:t>ECE</w:t>
            </w:r>
            <w:r w:rsidRPr="001354BC">
              <w:rPr>
                <w:color w:val="000000"/>
              </w:rPr>
              <w:t xml:space="preserve"> based on the updated RSPR methodology.</w:t>
            </w:r>
            <w:r w:rsidRPr="001354BC">
              <w:t xml:space="preserve"> This preparatory mission is expected to result in </w:t>
            </w:r>
            <w:r>
              <w:t xml:space="preserve">defining </w:t>
            </w:r>
            <w:r w:rsidRPr="001354BC">
              <w:t xml:space="preserve">the </w:t>
            </w:r>
            <w:r>
              <w:t>list</w:t>
            </w:r>
            <w:r w:rsidRPr="001354BC">
              <w:t xml:space="preserve"> of specific areas to be reviewed. During the visit</w:t>
            </w:r>
            <w:r w:rsidR="009312A5">
              <w:t>, the</w:t>
            </w:r>
            <w:r w:rsidRPr="001354BC">
              <w:t xml:space="preserve"> initial review team will </w:t>
            </w:r>
            <w:r w:rsidR="00CA5684">
              <w:t xml:space="preserve">also </w:t>
            </w:r>
            <w:r w:rsidRPr="001354BC">
              <w:t>interview national and regional consultants.</w:t>
            </w:r>
          </w:p>
        </w:tc>
      </w:tr>
      <w:tr w:rsidR="00331C23" w14:paraId="00ED72A9" w14:textId="77777777" w:rsidTr="00331C23">
        <w:tc>
          <w:tcPr>
            <w:tcW w:w="5000" w:type="pct"/>
          </w:tcPr>
          <w:p w14:paraId="58D1BA85" w14:textId="7B7C6FAA" w:rsidR="00331C23" w:rsidRDefault="00331C23" w:rsidP="007A7918">
            <w:pPr>
              <w:spacing w:before="40" w:after="120"/>
              <w:ind w:left="130" w:right="130"/>
              <w:jc w:val="both"/>
            </w:pPr>
            <w:r w:rsidRPr="00457DCC">
              <w:rPr>
                <w:b/>
              </w:rPr>
              <w:t xml:space="preserve">Phase II: Fact-Finding </w:t>
            </w:r>
            <w:r w:rsidRPr="001354BC">
              <w:rPr>
                <w:b/>
              </w:rPr>
              <w:t>Mission and Draft RSPR Report Production</w:t>
            </w:r>
            <w:r w:rsidRPr="001354BC">
              <w:t xml:space="preserve"> - Following the preparatory missions, a substantive team (comprising </w:t>
            </w:r>
            <w:r w:rsidR="00060D44">
              <w:t xml:space="preserve">of </w:t>
            </w:r>
            <w:r w:rsidRPr="001354BC">
              <w:t xml:space="preserve">ECE </w:t>
            </w:r>
            <w:r w:rsidRPr="000C529A">
              <w:t xml:space="preserve">and </w:t>
            </w:r>
            <w:r>
              <w:t>UNICEF</w:t>
            </w:r>
            <w:r w:rsidR="00E8711D">
              <w:t xml:space="preserve"> Uzbekistan office</w:t>
            </w:r>
            <w:r>
              <w:t xml:space="preserve"> </w:t>
            </w:r>
            <w:r w:rsidRPr="001354BC">
              <w:t xml:space="preserve">staff, </w:t>
            </w:r>
            <w:r w:rsidR="00060D44">
              <w:t xml:space="preserve">a </w:t>
            </w:r>
            <w:r w:rsidRPr="001354BC">
              <w:t xml:space="preserve">Lead </w:t>
            </w:r>
            <w:r>
              <w:t>Regional</w:t>
            </w:r>
            <w:r w:rsidRPr="001354BC">
              <w:t xml:space="preserve"> </w:t>
            </w:r>
            <w:r>
              <w:t>Consultant</w:t>
            </w:r>
            <w:r w:rsidRPr="000C529A">
              <w:t xml:space="preserve"> </w:t>
            </w:r>
            <w:r w:rsidRPr="001354BC">
              <w:t xml:space="preserve">and National </w:t>
            </w:r>
            <w:r w:rsidRPr="001354BC">
              <w:rPr>
                <w:color w:val="000000"/>
              </w:rPr>
              <w:t>consultant</w:t>
            </w:r>
            <w:r>
              <w:rPr>
                <w:color w:val="000000"/>
              </w:rPr>
              <w:t xml:space="preserve">s </w:t>
            </w:r>
            <w:r w:rsidRPr="001354BC">
              <w:t xml:space="preserve">and international experts) will undertake an in-depth fact-finding mission to meet and interview national authorities and other relevant road safety stakeholders. Meetings will be organized by the </w:t>
            </w:r>
            <w:r w:rsidR="00060D44">
              <w:t>n</w:t>
            </w:r>
            <w:r w:rsidRPr="001354BC">
              <w:t>ational focal point</w:t>
            </w:r>
            <w:r>
              <w:t xml:space="preserve"> (Ministry of Internal Affairs Uzbekistan)</w:t>
            </w:r>
            <w:r w:rsidRPr="001354BC">
              <w:t xml:space="preserve">. The substantive team will </w:t>
            </w:r>
            <w:r>
              <w:t>analyse Uzbekistan</w:t>
            </w:r>
            <w:r w:rsidR="00060D44">
              <w:t>’s</w:t>
            </w:r>
            <w:r>
              <w:t xml:space="preserve"> r</w:t>
            </w:r>
            <w:r w:rsidRPr="000C529A">
              <w:t xml:space="preserve">oad </w:t>
            </w:r>
            <w:r>
              <w:t>s</w:t>
            </w:r>
            <w:r w:rsidRPr="000C529A">
              <w:t xml:space="preserve">afety </w:t>
            </w:r>
            <w:r>
              <w:t>s</w:t>
            </w:r>
            <w:r w:rsidRPr="000C529A">
              <w:t>ystem</w:t>
            </w:r>
            <w:r w:rsidRPr="001354BC">
              <w:t xml:space="preserve"> based on the </w:t>
            </w:r>
            <w:r w:rsidRPr="000C529A">
              <w:t>ITC Recommendations</w:t>
            </w:r>
            <w:r w:rsidRPr="001354BC">
              <w:t xml:space="preserve"> and </w:t>
            </w:r>
            <w:r>
              <w:t xml:space="preserve">prepare </w:t>
            </w:r>
            <w:r w:rsidRPr="001354BC">
              <w:t xml:space="preserve">draft </w:t>
            </w:r>
            <w:r>
              <w:t>Uzbekistan</w:t>
            </w:r>
            <w:r w:rsidRPr="001354BC">
              <w:t xml:space="preserve"> RSPR which will be reviewed by relevant </w:t>
            </w:r>
            <w:r w:rsidR="00C34FD8">
              <w:t>ECE</w:t>
            </w:r>
            <w:r w:rsidRPr="001354BC">
              <w:t xml:space="preserve"> staff. Chapters of the RSPR report will be assigned to members of the substantive team, who will draft the content and obtain needed data through contact with the </w:t>
            </w:r>
            <w:r w:rsidR="005D3B30">
              <w:t>n</w:t>
            </w:r>
            <w:r w:rsidRPr="001354BC">
              <w:t xml:space="preserve">ational focal point. The Lead </w:t>
            </w:r>
            <w:r>
              <w:t>Regional</w:t>
            </w:r>
            <w:r w:rsidRPr="001354BC">
              <w:t xml:space="preserve"> </w:t>
            </w:r>
            <w:r w:rsidR="00F60864">
              <w:t>C</w:t>
            </w:r>
            <w:r w:rsidRPr="001354BC">
              <w:t xml:space="preserve">onsultant will </w:t>
            </w:r>
            <w:r w:rsidR="00654C2F" w:rsidRPr="001354BC">
              <w:t>collect</w:t>
            </w:r>
            <w:r w:rsidRPr="001354BC">
              <w:t xml:space="preserve"> the chapters and finalize the draft.</w:t>
            </w:r>
          </w:p>
        </w:tc>
      </w:tr>
      <w:tr w:rsidR="00331C23" w14:paraId="33892087" w14:textId="77777777" w:rsidTr="00331C23">
        <w:tc>
          <w:tcPr>
            <w:tcW w:w="5000" w:type="pct"/>
          </w:tcPr>
          <w:p w14:paraId="305477EA" w14:textId="31B0EF58" w:rsidR="00331C23" w:rsidRDefault="00331C23" w:rsidP="007A7918">
            <w:pPr>
              <w:spacing w:before="40" w:after="120"/>
              <w:ind w:left="130" w:right="130"/>
              <w:jc w:val="both"/>
            </w:pPr>
            <w:r w:rsidRPr="00457DCC">
              <w:rPr>
                <w:b/>
              </w:rPr>
              <w:t xml:space="preserve">Phase </w:t>
            </w:r>
            <w:r w:rsidRPr="001354BC">
              <w:rPr>
                <w:b/>
              </w:rPr>
              <w:t xml:space="preserve">III: </w:t>
            </w:r>
            <w:r w:rsidRPr="001354BC">
              <w:rPr>
                <w:b/>
                <w:color w:val="000000"/>
              </w:rPr>
              <w:t xml:space="preserve">Government </w:t>
            </w:r>
            <w:r w:rsidR="00F60864">
              <w:rPr>
                <w:b/>
                <w:color w:val="000000"/>
              </w:rPr>
              <w:t>F</w:t>
            </w:r>
            <w:r w:rsidRPr="001354BC">
              <w:rPr>
                <w:b/>
                <w:color w:val="000000"/>
              </w:rPr>
              <w:t xml:space="preserve">eedback and </w:t>
            </w:r>
            <w:r w:rsidRPr="001354BC">
              <w:rPr>
                <w:b/>
              </w:rPr>
              <w:t>Expert Review</w:t>
            </w:r>
            <w:r>
              <w:rPr>
                <w:b/>
              </w:rPr>
              <w:t xml:space="preserve"> </w:t>
            </w:r>
            <w:r w:rsidRPr="001354BC">
              <w:t xml:space="preserve">- The substantive team will present the main findings of the </w:t>
            </w:r>
            <w:r>
              <w:t>Uzbekistan</w:t>
            </w:r>
            <w:r w:rsidRPr="001354BC">
              <w:t xml:space="preserve"> RSPR Report with recommendations on actions to be taken during the one-day policy dialogue seminar. </w:t>
            </w:r>
            <w:r w:rsidR="00F60864">
              <w:t>The s</w:t>
            </w:r>
            <w:r w:rsidRPr="001354BC">
              <w:t xml:space="preserve">eminar will be organized by </w:t>
            </w:r>
            <w:r w:rsidR="00F60864">
              <w:t xml:space="preserve">the </w:t>
            </w:r>
            <w:r w:rsidRPr="001354BC">
              <w:t>national focal point and ECE</w:t>
            </w:r>
            <w:r w:rsidRPr="000C529A">
              <w:t>/UN</w:t>
            </w:r>
            <w:r>
              <w:t>ICEF UZ</w:t>
            </w:r>
            <w:r w:rsidRPr="001354BC">
              <w:t xml:space="preserve">. </w:t>
            </w:r>
            <w:r w:rsidR="006E6F4E">
              <w:rPr>
                <w:color w:val="000000"/>
              </w:rPr>
              <w:t>It</w:t>
            </w:r>
            <w:r w:rsidRPr="001354BC">
              <w:rPr>
                <w:color w:val="000000"/>
              </w:rPr>
              <w:t xml:space="preserve"> will </w:t>
            </w:r>
            <w:r w:rsidR="006E6F4E">
              <w:rPr>
                <w:color w:val="000000"/>
              </w:rPr>
              <w:t>present</w:t>
            </w:r>
            <w:r w:rsidR="006E6F4E" w:rsidRPr="001354BC">
              <w:rPr>
                <w:color w:val="000000"/>
              </w:rPr>
              <w:t xml:space="preserve"> </w:t>
            </w:r>
            <w:r w:rsidRPr="001354BC">
              <w:rPr>
                <w:color w:val="000000"/>
              </w:rPr>
              <w:t xml:space="preserve">a </w:t>
            </w:r>
            <w:r w:rsidR="00F60864">
              <w:rPr>
                <w:color w:val="000000"/>
              </w:rPr>
              <w:t xml:space="preserve">key </w:t>
            </w:r>
            <w:r w:rsidRPr="001354BC">
              <w:rPr>
                <w:color w:val="000000"/>
              </w:rPr>
              <w:t xml:space="preserve">opportunity for </w:t>
            </w:r>
            <w:r w:rsidR="006E6F4E">
              <w:rPr>
                <w:color w:val="000000"/>
              </w:rPr>
              <w:t xml:space="preserve">receiving </w:t>
            </w:r>
            <w:r w:rsidRPr="001354BC">
              <w:rPr>
                <w:color w:val="000000"/>
              </w:rPr>
              <w:t xml:space="preserve">feedback </w:t>
            </w:r>
            <w:r w:rsidR="006E6F4E">
              <w:rPr>
                <w:color w:val="000000"/>
              </w:rPr>
              <w:t>from</w:t>
            </w:r>
            <w:r w:rsidR="006E6F4E" w:rsidRPr="001354BC">
              <w:rPr>
                <w:color w:val="000000"/>
              </w:rPr>
              <w:t xml:space="preserve"> </w:t>
            </w:r>
            <w:r w:rsidRPr="001354BC">
              <w:rPr>
                <w:color w:val="000000"/>
              </w:rPr>
              <w:t>the national government and</w:t>
            </w:r>
            <w:r w:rsidR="006E6F4E">
              <w:rPr>
                <w:color w:val="000000"/>
              </w:rPr>
              <w:t xml:space="preserve"> other</w:t>
            </w:r>
            <w:r w:rsidRPr="001354BC">
              <w:rPr>
                <w:color w:val="000000"/>
              </w:rPr>
              <w:t xml:space="preserve"> stakeholders as well as </w:t>
            </w:r>
            <w:r w:rsidR="006E6F4E">
              <w:rPr>
                <w:color w:val="000000"/>
              </w:rPr>
              <w:t>for</w:t>
            </w:r>
            <w:r>
              <w:rPr>
                <w:color w:val="000000"/>
              </w:rPr>
              <w:t xml:space="preserve"> present</w:t>
            </w:r>
            <w:r w:rsidR="006E6F4E">
              <w:rPr>
                <w:color w:val="000000"/>
              </w:rPr>
              <w:t>ing</w:t>
            </w:r>
            <w:r>
              <w:rPr>
                <w:color w:val="000000"/>
              </w:rPr>
              <w:t xml:space="preserve"> </w:t>
            </w:r>
            <w:r w:rsidR="00B57BC1">
              <w:rPr>
                <w:color w:val="000000"/>
              </w:rPr>
              <w:t xml:space="preserve">the </w:t>
            </w:r>
            <w:r w:rsidRPr="001354BC">
              <w:rPr>
                <w:color w:val="000000"/>
              </w:rPr>
              <w:t xml:space="preserve">review by external experts (either in-person or </w:t>
            </w:r>
            <w:r w:rsidR="00F60864">
              <w:rPr>
                <w:color w:val="000000"/>
              </w:rPr>
              <w:t>virtually</w:t>
            </w:r>
            <w:r w:rsidRPr="001354BC">
              <w:t>). International experts may also learn from the country specific experience.</w:t>
            </w:r>
          </w:p>
        </w:tc>
      </w:tr>
      <w:tr w:rsidR="00331C23" w14:paraId="738D5729" w14:textId="77777777" w:rsidTr="00331C23">
        <w:tc>
          <w:tcPr>
            <w:tcW w:w="5000" w:type="pct"/>
          </w:tcPr>
          <w:p w14:paraId="2EB1BC30" w14:textId="45CA7EA0" w:rsidR="00331C23" w:rsidRDefault="00331C23" w:rsidP="007A7918">
            <w:pPr>
              <w:spacing w:before="40" w:after="120"/>
              <w:ind w:left="130" w:right="130"/>
              <w:jc w:val="both"/>
            </w:pPr>
            <w:r w:rsidRPr="001354BC">
              <w:rPr>
                <w:b/>
              </w:rPr>
              <w:t xml:space="preserve">Phase IV: </w:t>
            </w:r>
            <w:r w:rsidRPr="001354BC">
              <w:rPr>
                <w:b/>
                <w:color w:val="000000"/>
              </w:rPr>
              <w:t>Recommendations</w:t>
            </w:r>
            <w:r w:rsidRPr="001354BC">
              <w:rPr>
                <w:color w:val="000000"/>
              </w:rPr>
              <w:t xml:space="preserve"> </w:t>
            </w:r>
            <w:r w:rsidR="00E11AD9">
              <w:rPr>
                <w:b/>
                <w:color w:val="000000"/>
              </w:rPr>
              <w:t>and</w:t>
            </w:r>
            <w:r w:rsidR="00E11AD9" w:rsidRPr="001354BC">
              <w:rPr>
                <w:b/>
                <w:color w:val="000000"/>
              </w:rPr>
              <w:t xml:space="preserve"> </w:t>
            </w:r>
            <w:r w:rsidRPr="001354BC">
              <w:rPr>
                <w:b/>
                <w:color w:val="000000"/>
              </w:rPr>
              <w:t>RSPR Report Publication</w:t>
            </w:r>
            <w:r w:rsidRPr="001354BC">
              <w:t xml:space="preserve"> - Following the policy dialogue seminar, in collaboration with the national focal point, </w:t>
            </w:r>
            <w:r w:rsidR="00B57BC1">
              <w:t xml:space="preserve">the </w:t>
            </w:r>
            <w:r w:rsidRPr="001354BC">
              <w:t xml:space="preserve">substantive team will finalize the </w:t>
            </w:r>
            <w:r>
              <w:t>Uzbekistan</w:t>
            </w:r>
            <w:r w:rsidRPr="001354BC">
              <w:t xml:space="preserve"> RSPR </w:t>
            </w:r>
            <w:r w:rsidR="00B57BC1">
              <w:t xml:space="preserve">by </w:t>
            </w:r>
            <w:r w:rsidRPr="001354BC">
              <w:t xml:space="preserve">incorporating feedback from the expert review process. </w:t>
            </w:r>
            <w:r>
              <w:t>Based on the recommendations for the most pressing road safety issues</w:t>
            </w:r>
            <w:r w:rsidR="00872CD7">
              <w:t>,</w:t>
            </w:r>
            <w:r>
              <w:t xml:space="preserve"> </w:t>
            </w:r>
            <w:r w:rsidR="00872CD7">
              <w:t xml:space="preserve">the </w:t>
            </w:r>
            <w:r>
              <w:t xml:space="preserve">substantive team will prepare several project proposals for external financing. </w:t>
            </w:r>
            <w:r w:rsidRPr="001354BC">
              <w:t>Editing</w:t>
            </w:r>
            <w:r>
              <w:t>, translation</w:t>
            </w:r>
            <w:r w:rsidRPr="001354BC">
              <w:t xml:space="preserve"> and publishing of the final report in English</w:t>
            </w:r>
            <w:r w:rsidRPr="000C529A">
              <w:t>/</w:t>
            </w:r>
            <w:r>
              <w:t>Uzbek</w:t>
            </w:r>
            <w:r w:rsidRPr="001354BC">
              <w:t xml:space="preserve"> will follow.</w:t>
            </w:r>
          </w:p>
        </w:tc>
      </w:tr>
      <w:tr w:rsidR="00331C23" w14:paraId="44CCDFE5" w14:textId="77777777" w:rsidTr="00331C23">
        <w:tc>
          <w:tcPr>
            <w:tcW w:w="5000" w:type="pct"/>
          </w:tcPr>
          <w:p w14:paraId="1055C0A9" w14:textId="7982E888" w:rsidR="00331C23" w:rsidRDefault="00331C23" w:rsidP="007A7918">
            <w:pPr>
              <w:spacing w:before="40" w:after="120"/>
              <w:ind w:left="130" w:right="130"/>
              <w:jc w:val="both"/>
            </w:pPr>
            <w:r w:rsidRPr="001354BC">
              <w:rPr>
                <w:b/>
              </w:rPr>
              <w:t>Phase V: Follow</w:t>
            </w:r>
            <w:r w:rsidR="0001287C">
              <w:rPr>
                <w:b/>
              </w:rPr>
              <w:t>-</w:t>
            </w:r>
            <w:r w:rsidRPr="001354BC">
              <w:rPr>
                <w:b/>
              </w:rPr>
              <w:t>up</w:t>
            </w:r>
            <w:r w:rsidRPr="001354BC">
              <w:t xml:space="preserve"> - Finally, </w:t>
            </w:r>
            <w:r w:rsidR="0001287C">
              <w:t xml:space="preserve">a </w:t>
            </w:r>
            <w:r w:rsidRPr="001354BC">
              <w:t>follow</w:t>
            </w:r>
            <w:r w:rsidR="0001287C">
              <w:t>-</w:t>
            </w:r>
            <w:r w:rsidRPr="001354BC">
              <w:t>up capacity-building national workshop will be organized. The follow</w:t>
            </w:r>
            <w:r w:rsidR="0001287C">
              <w:t>-</w:t>
            </w:r>
            <w:r w:rsidRPr="001354BC">
              <w:t xml:space="preserve">up capacity-building national workshop would take place over two days and present the finalized </w:t>
            </w:r>
            <w:r>
              <w:t>Uzbekistan</w:t>
            </w:r>
            <w:r w:rsidRPr="001354BC">
              <w:t xml:space="preserve"> RSPR Report as well as provide training on the relevant priority areas identified through the RSPR.</w:t>
            </w:r>
          </w:p>
        </w:tc>
      </w:tr>
    </w:tbl>
    <w:p w14:paraId="1B149876" w14:textId="5E77DF51" w:rsidR="00331C23" w:rsidRPr="00E206CC" w:rsidRDefault="00CF75C2" w:rsidP="00CF75C2">
      <w:pPr>
        <w:spacing w:before="240"/>
        <w:jc w:val="center"/>
        <w:rPr>
          <w:u w:val="single"/>
        </w:rPr>
      </w:pPr>
      <w:r>
        <w:rPr>
          <w:u w:val="single"/>
        </w:rPr>
        <w:tab/>
      </w:r>
      <w:r>
        <w:rPr>
          <w:u w:val="single"/>
        </w:rPr>
        <w:tab/>
      </w:r>
      <w:r>
        <w:rPr>
          <w:u w:val="single"/>
        </w:rPr>
        <w:tab/>
      </w:r>
    </w:p>
    <w:sectPr w:rsidR="00331C23" w:rsidRPr="00E206CC" w:rsidSect="00E206CC">
      <w:headerReference w:type="even" r:id="rId22"/>
      <w:headerReference w:type="default" r:id="rId23"/>
      <w:footerReference w:type="even" r:id="rId24"/>
      <w:footerReference w:type="default" r:id="rId25"/>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078E" w14:textId="77777777" w:rsidR="00C763AF" w:rsidRDefault="00C763AF"/>
  </w:endnote>
  <w:endnote w:type="continuationSeparator" w:id="0">
    <w:p w14:paraId="62FFAB7D" w14:textId="77777777" w:rsidR="00C763AF" w:rsidRDefault="00C763AF"/>
  </w:endnote>
  <w:endnote w:type="continuationNotice" w:id="1">
    <w:p w14:paraId="38F152AB" w14:textId="77777777" w:rsidR="00C763AF" w:rsidRDefault="00C7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CA31" w14:textId="77777777" w:rsidR="00696773" w:rsidRPr="00954785" w:rsidRDefault="00696773"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C4D6" w14:textId="77777777" w:rsidR="00696773" w:rsidRPr="00954785" w:rsidRDefault="00696773"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5FCA" w14:textId="5D83FB0C" w:rsidR="003550DD" w:rsidRDefault="003550DD" w:rsidP="003550DD">
    <w:pPr>
      <w:pStyle w:val="Footer"/>
    </w:pPr>
    <w:r w:rsidRPr="0027112F">
      <w:rPr>
        <w:noProof/>
        <w:lang w:val="en-US"/>
      </w:rPr>
      <w:drawing>
        <wp:anchor distT="0" distB="0" distL="114300" distR="114300" simplePos="0" relativeHeight="251660291" behindDoc="0" locked="1" layoutInCell="1" allowOverlap="1" wp14:anchorId="01BB38E7" wp14:editId="0682A86C">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42D497" w14:textId="17583BA1" w:rsidR="003550DD" w:rsidRPr="003550DD" w:rsidRDefault="003550DD" w:rsidP="003550DD">
    <w:pPr>
      <w:pStyle w:val="Footer"/>
      <w:ind w:right="1134"/>
      <w:rPr>
        <w:sz w:val="20"/>
      </w:rPr>
    </w:pPr>
    <w:r>
      <w:rPr>
        <w:sz w:val="20"/>
      </w:rPr>
      <w:t>GE.22-28424(E)</w:t>
    </w:r>
    <w:r>
      <w:rPr>
        <w:noProof/>
        <w:sz w:val="20"/>
      </w:rPr>
      <w:drawing>
        <wp:anchor distT="0" distB="0" distL="114300" distR="114300" simplePos="0" relativeHeight="251661315" behindDoc="0" locked="0" layoutInCell="1" allowOverlap="1" wp14:anchorId="70EEBA5A" wp14:editId="2A7506B0">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3188" w14:textId="77777777" w:rsidR="00696773" w:rsidRPr="006472A0" w:rsidRDefault="00696773" w:rsidP="006472A0">
    <w:pPr>
      <w:pStyle w:val="Footer"/>
    </w:pPr>
    <w:r>
      <w:rPr>
        <w:noProof/>
      </w:rPr>
      <mc:AlternateContent>
        <mc:Choice Requires="wps">
          <w:drawing>
            <wp:anchor distT="0" distB="0" distL="114300" distR="114300" simplePos="0" relativeHeight="251658241" behindDoc="0" locked="0" layoutInCell="1" allowOverlap="1" wp14:anchorId="0C71D747" wp14:editId="065C6B4E">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79DEF4" w14:textId="77777777" w:rsidR="00696773" w:rsidRPr="00954785" w:rsidRDefault="00696773" w:rsidP="006472A0">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8</w:t>
                          </w:r>
                          <w:r w:rsidRPr="00954785">
                            <w:rPr>
                              <w:b/>
                              <w:sz w:val="18"/>
                            </w:rPr>
                            <w:fldChar w:fldCharType="end"/>
                          </w:r>
                          <w:r>
                            <w:rPr>
                              <w:sz w:val="18"/>
                            </w:rPr>
                            <w:tab/>
                          </w:r>
                        </w:p>
                        <w:p w14:paraId="1F6AFA01" w14:textId="77777777" w:rsidR="00696773" w:rsidRDefault="006967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71D747" id="_x0000_t202" coordsize="21600,21600" o:spt="202" path="m,l,21600r21600,l21600,xe">
              <v:stroke joinstyle="miter"/>
              <v:path gradientshapeok="t" o:connecttype="rect"/>
            </v:shapetype>
            <v:shape id="Text Box 3"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579DEF4" w14:textId="77777777" w:rsidR="00696773" w:rsidRPr="00954785" w:rsidRDefault="00696773" w:rsidP="006472A0">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8</w:t>
                    </w:r>
                    <w:r w:rsidRPr="00954785">
                      <w:rPr>
                        <w:b/>
                        <w:sz w:val="18"/>
                      </w:rPr>
                      <w:fldChar w:fldCharType="end"/>
                    </w:r>
                    <w:r>
                      <w:rPr>
                        <w:sz w:val="18"/>
                      </w:rPr>
                      <w:tab/>
                    </w:r>
                  </w:p>
                  <w:p w14:paraId="1F6AFA01" w14:textId="77777777" w:rsidR="00696773" w:rsidRDefault="0069677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AA19" w14:textId="77777777" w:rsidR="00696773" w:rsidRPr="006472A0" w:rsidRDefault="00696773" w:rsidP="006472A0">
    <w:pPr>
      <w:pStyle w:val="Footer"/>
    </w:pPr>
    <w:r>
      <w:rPr>
        <w:noProof/>
      </w:rPr>
      <mc:AlternateContent>
        <mc:Choice Requires="wps">
          <w:drawing>
            <wp:anchor distT="0" distB="0" distL="114300" distR="114300" simplePos="0" relativeHeight="251658243" behindDoc="0" locked="0" layoutInCell="1" allowOverlap="1" wp14:anchorId="228D3EC5" wp14:editId="1FADBE38">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503541" w14:textId="77777777" w:rsidR="00696773" w:rsidRPr="00954785" w:rsidRDefault="00696773" w:rsidP="006472A0">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9</w:t>
                          </w:r>
                          <w:r w:rsidRPr="00954785">
                            <w:rPr>
                              <w:b/>
                              <w:sz w:val="18"/>
                            </w:rPr>
                            <w:fldChar w:fldCharType="end"/>
                          </w:r>
                        </w:p>
                        <w:p w14:paraId="1417A92D" w14:textId="77777777" w:rsidR="00696773" w:rsidRDefault="006967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8D3EC5" id="_x0000_t202" coordsize="21600,21600" o:spt="202" path="m,l,21600r21600,l21600,xe">
              <v:stroke joinstyle="miter"/>
              <v:path gradientshapeok="t" o:connecttype="rect"/>
            </v:shapetype>
            <v:shape id="Text Box 5"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4503541" w14:textId="77777777" w:rsidR="00696773" w:rsidRPr="00954785" w:rsidRDefault="00696773" w:rsidP="006472A0">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9</w:t>
                    </w:r>
                    <w:r w:rsidRPr="00954785">
                      <w:rPr>
                        <w:b/>
                        <w:sz w:val="18"/>
                      </w:rPr>
                      <w:fldChar w:fldCharType="end"/>
                    </w:r>
                  </w:p>
                  <w:p w14:paraId="1417A92D" w14:textId="77777777" w:rsidR="00696773" w:rsidRDefault="0069677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3167" w14:textId="77777777" w:rsidR="00955EAA" w:rsidRPr="00E206CC" w:rsidRDefault="00955EAA" w:rsidP="00E206C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1504" w14:textId="77777777" w:rsidR="00955EAA" w:rsidRPr="00E206CC" w:rsidRDefault="00955EAA" w:rsidP="00E206C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0504" w14:textId="77777777" w:rsidR="00C763AF" w:rsidRPr="000B175B" w:rsidRDefault="00C763AF" w:rsidP="000B175B">
      <w:pPr>
        <w:tabs>
          <w:tab w:val="right" w:pos="2155"/>
        </w:tabs>
        <w:spacing w:after="80"/>
        <w:ind w:left="680"/>
        <w:rPr>
          <w:u w:val="single"/>
        </w:rPr>
      </w:pPr>
      <w:r>
        <w:rPr>
          <w:u w:val="single"/>
        </w:rPr>
        <w:tab/>
      </w:r>
    </w:p>
  </w:footnote>
  <w:footnote w:type="continuationSeparator" w:id="0">
    <w:p w14:paraId="3830DBF0" w14:textId="77777777" w:rsidR="00C763AF" w:rsidRPr="00FC68B7" w:rsidRDefault="00C763AF" w:rsidP="00FC68B7">
      <w:pPr>
        <w:tabs>
          <w:tab w:val="left" w:pos="2155"/>
        </w:tabs>
        <w:spacing w:after="80"/>
        <w:ind w:left="680"/>
        <w:rPr>
          <w:u w:val="single"/>
        </w:rPr>
      </w:pPr>
      <w:r>
        <w:rPr>
          <w:u w:val="single"/>
        </w:rPr>
        <w:tab/>
      </w:r>
    </w:p>
  </w:footnote>
  <w:footnote w:type="continuationNotice" w:id="1">
    <w:p w14:paraId="4E4B3031" w14:textId="77777777" w:rsidR="00C763AF" w:rsidRDefault="00C76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22F2" w14:textId="226A393F" w:rsidR="00696773" w:rsidRPr="00954785" w:rsidRDefault="00696773">
    <w:pPr>
      <w:pStyle w:val="Header"/>
    </w:pPr>
    <w:r>
      <w:t>ECE/TRANS/202</w:t>
    </w:r>
    <w:r w:rsidR="00CF75C2">
      <w:t>3</w:t>
    </w:r>
    <w:r>
      <w:t>/</w:t>
    </w:r>
    <w:r w:rsidR="00CF75C2">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D790" w14:textId="295A21B9" w:rsidR="00696773" w:rsidRPr="00954785" w:rsidRDefault="00861936" w:rsidP="00954785">
    <w:pPr>
      <w:pStyle w:val="Header"/>
      <w:jc w:val="right"/>
    </w:pPr>
    <w:fldSimple w:instr=" TITLE  \* MERGEFORMAT ">
      <w:r w:rsidR="00F566D6">
        <w:t>ECE/TRANS/2023/24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949" w14:textId="77777777" w:rsidR="00F566D6" w:rsidRDefault="00F56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A2E9" w14:textId="77777777" w:rsidR="00696773" w:rsidRPr="006472A0" w:rsidRDefault="00696773" w:rsidP="006472A0">
    <w:r>
      <w:rPr>
        <w:noProof/>
      </w:rPr>
      <mc:AlternateContent>
        <mc:Choice Requires="wps">
          <w:drawing>
            <wp:anchor distT="0" distB="0" distL="114300" distR="114300" simplePos="0" relativeHeight="251658240" behindDoc="0" locked="0" layoutInCell="1" allowOverlap="1" wp14:anchorId="34C53FBA" wp14:editId="0E2A8CC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F295228" w14:textId="3C439948" w:rsidR="00696773" w:rsidRPr="00954785" w:rsidRDefault="00696773" w:rsidP="006472A0">
                          <w:pPr>
                            <w:pStyle w:val="Header"/>
                          </w:pPr>
                          <w:r>
                            <w:t>ECE/TRANS/202</w:t>
                          </w:r>
                          <w:r w:rsidR="00CF75C2">
                            <w:t>3</w:t>
                          </w:r>
                          <w:r>
                            <w:t>/</w:t>
                          </w:r>
                          <w:r w:rsidR="00CF75C2">
                            <w:t>24</w:t>
                          </w:r>
                        </w:p>
                        <w:p w14:paraId="1F41B22F" w14:textId="77777777" w:rsidR="00696773" w:rsidRDefault="006967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C53FBA" id="_x0000_t202" coordsize="21600,21600" o:spt="202" path="m,l,21600r21600,l21600,xe">
              <v:stroke joinstyle="miter"/>
              <v:path gradientshapeok="t" o:connecttype="rect"/>
            </v:shapetype>
            <v:shape id="Text Box 2"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F295228" w14:textId="3C439948" w:rsidR="00696773" w:rsidRPr="00954785" w:rsidRDefault="00696773" w:rsidP="006472A0">
                    <w:pPr>
                      <w:pStyle w:val="Header"/>
                    </w:pPr>
                    <w:r>
                      <w:t>ECE/TRANS/202</w:t>
                    </w:r>
                    <w:r w:rsidR="00CF75C2">
                      <w:t>3</w:t>
                    </w:r>
                    <w:r>
                      <w:t>/</w:t>
                    </w:r>
                    <w:r w:rsidR="00CF75C2">
                      <w:t>24</w:t>
                    </w:r>
                  </w:p>
                  <w:p w14:paraId="1F41B22F" w14:textId="77777777" w:rsidR="00696773" w:rsidRDefault="0069677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0CED" w14:textId="77777777" w:rsidR="00696773" w:rsidRPr="006472A0" w:rsidRDefault="00696773" w:rsidP="006472A0">
    <w:r>
      <w:rPr>
        <w:noProof/>
      </w:rPr>
      <mc:AlternateContent>
        <mc:Choice Requires="wps">
          <w:drawing>
            <wp:anchor distT="0" distB="0" distL="114300" distR="114300" simplePos="0" relativeHeight="251658242" behindDoc="0" locked="0" layoutInCell="1" allowOverlap="1" wp14:anchorId="116674D9" wp14:editId="229D6D2B">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92D3323" w14:textId="55365DA8" w:rsidR="00696773" w:rsidRPr="00954785" w:rsidRDefault="00696773" w:rsidP="006472A0">
                          <w:pPr>
                            <w:pStyle w:val="Header"/>
                            <w:jc w:val="right"/>
                          </w:pPr>
                          <w:r>
                            <w:t>ECE/TRANS/202</w:t>
                          </w:r>
                          <w:r w:rsidR="00CF75C2">
                            <w:t>3</w:t>
                          </w:r>
                          <w:r>
                            <w:t>/</w:t>
                          </w:r>
                          <w:r w:rsidR="00CF75C2">
                            <w:t>24</w:t>
                          </w:r>
                        </w:p>
                        <w:p w14:paraId="160F8E06" w14:textId="77777777" w:rsidR="00696773" w:rsidRDefault="006967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6674D9" id="_x0000_t202" coordsize="21600,21600" o:spt="202" path="m,l,21600r21600,l21600,xe">
              <v:stroke joinstyle="miter"/>
              <v:path gradientshapeok="t" o:connecttype="rect"/>
            </v:shapetype>
            <v:shape id="Text Box 4"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392D3323" w14:textId="55365DA8" w:rsidR="00696773" w:rsidRPr="00954785" w:rsidRDefault="00696773" w:rsidP="006472A0">
                    <w:pPr>
                      <w:pStyle w:val="Header"/>
                      <w:jc w:val="right"/>
                    </w:pPr>
                    <w:r>
                      <w:t>ECE/TRANS/202</w:t>
                    </w:r>
                    <w:r w:rsidR="00CF75C2">
                      <w:t>3</w:t>
                    </w:r>
                    <w:r>
                      <w:t>/</w:t>
                    </w:r>
                    <w:r w:rsidR="00CF75C2">
                      <w:t>24</w:t>
                    </w:r>
                  </w:p>
                  <w:p w14:paraId="160F8E06" w14:textId="77777777" w:rsidR="00696773" w:rsidRDefault="00696773"/>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5F61" w14:textId="6F526E57" w:rsidR="00955EAA" w:rsidRPr="00E206CC" w:rsidRDefault="00955EAA" w:rsidP="00E206CC">
    <w:pPr>
      <w:pStyle w:val="Header"/>
    </w:pPr>
    <w:r>
      <w:t>ECE/TRANS/202</w:t>
    </w:r>
    <w:r w:rsidR="00AC1F68">
      <w:t>3</w:t>
    </w:r>
    <w:r>
      <w:t>/</w:t>
    </w:r>
    <w:r w:rsidR="00AC1F68">
      <w:t>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42C" w14:textId="77777777" w:rsidR="00482E43" w:rsidRPr="00E206CC" w:rsidRDefault="00482E43" w:rsidP="00482E43">
    <w:pPr>
      <w:pStyle w:val="Header"/>
      <w:jc w:val="right"/>
    </w:pPr>
    <w:r>
      <w:t>ECE/TRANS/2023/24</w:t>
    </w:r>
  </w:p>
  <w:p w14:paraId="7B76EA17" w14:textId="77777777" w:rsidR="00AC1F68" w:rsidRDefault="00AC1F68" w:rsidP="00F566D6">
    <w:pPr>
      <w:pStyle w:val="Header"/>
      <w:pBdr>
        <w:bottom w:val="none" w:sz="0" w:space="0" w:color="auto"/>
      </w:pBd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4F2607"/>
    <w:multiLevelType w:val="hybridMultilevel"/>
    <w:tmpl w:val="28E08E7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4343FDE"/>
    <w:multiLevelType w:val="hybridMultilevel"/>
    <w:tmpl w:val="C78E35C8"/>
    <w:lvl w:ilvl="0" w:tplc="0409000F">
      <w:start w:val="1"/>
      <w:numFmt w:val="decimal"/>
      <w:lvlText w:val="%1."/>
      <w:lvlJc w:val="left"/>
      <w:pPr>
        <w:ind w:left="3905" w:hanging="360"/>
      </w:p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9FB7AD3"/>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31F8C"/>
    <w:multiLevelType w:val="hybridMultilevel"/>
    <w:tmpl w:val="9468FF8A"/>
    <w:lvl w:ilvl="0" w:tplc="FFFFFFFF">
      <w:start w:val="1"/>
      <w:numFmt w:val="lowerLetter"/>
      <w:lvlText w:val="%1)"/>
      <w:lvlJc w:val="left"/>
      <w:pPr>
        <w:ind w:left="720" w:hanging="360"/>
      </w:pPr>
    </w:lvl>
    <w:lvl w:ilvl="1" w:tplc="100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DF5671"/>
    <w:multiLevelType w:val="hybridMultilevel"/>
    <w:tmpl w:val="E900389C"/>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30C07F3B"/>
    <w:multiLevelType w:val="hybridMultilevel"/>
    <w:tmpl w:val="8F123FC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4A7BEC"/>
    <w:multiLevelType w:val="hybridMultilevel"/>
    <w:tmpl w:val="318EA59E"/>
    <w:lvl w:ilvl="0" w:tplc="10000017">
      <w:start w:val="1"/>
      <w:numFmt w:val="lowerLetter"/>
      <w:lvlText w:val="%1)"/>
      <w:lvlJc w:val="left"/>
      <w:pPr>
        <w:tabs>
          <w:tab w:val="num" w:pos="2268"/>
        </w:tabs>
        <w:ind w:left="2268" w:hanging="17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20854"/>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D0A74"/>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6"/>
  </w:num>
  <w:num w:numId="15">
    <w:abstractNumId w:val="23"/>
  </w:num>
  <w:num w:numId="16">
    <w:abstractNumId w:val="17"/>
  </w:num>
  <w:num w:numId="17">
    <w:abstractNumId w:val="25"/>
  </w:num>
  <w:num w:numId="18">
    <w:abstractNumId w:val="27"/>
  </w:num>
  <w:num w:numId="19">
    <w:abstractNumId w:val="12"/>
  </w:num>
  <w:num w:numId="20">
    <w:abstractNumId w:val="11"/>
  </w:num>
  <w:num w:numId="21">
    <w:abstractNumId w:val="15"/>
  </w:num>
  <w:num w:numId="22">
    <w:abstractNumId w:val="25"/>
  </w:num>
  <w:num w:numId="23">
    <w:abstractNumId w:val="26"/>
  </w:num>
  <w:num w:numId="24">
    <w:abstractNumId w:val="28"/>
  </w:num>
  <w:num w:numId="25">
    <w:abstractNumId w:val="13"/>
  </w:num>
  <w:num w:numId="26">
    <w:abstractNumId w:val="21"/>
  </w:num>
  <w:num w:numId="27">
    <w:abstractNumId w:val="14"/>
  </w:num>
  <w:num w:numId="28">
    <w:abstractNumId w:val="24"/>
  </w:num>
  <w:num w:numId="29">
    <w:abstractNumId w:val="20"/>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48BE"/>
    <w:rsid w:val="00006790"/>
    <w:rsid w:val="0001287C"/>
    <w:rsid w:val="00027624"/>
    <w:rsid w:val="000339EA"/>
    <w:rsid w:val="00050F6B"/>
    <w:rsid w:val="00053DE9"/>
    <w:rsid w:val="00053FC6"/>
    <w:rsid w:val="00060D44"/>
    <w:rsid w:val="000678CD"/>
    <w:rsid w:val="00072C8C"/>
    <w:rsid w:val="00081CE0"/>
    <w:rsid w:val="00084D30"/>
    <w:rsid w:val="00090320"/>
    <w:rsid w:val="000931C0"/>
    <w:rsid w:val="000A2E09"/>
    <w:rsid w:val="000B175B"/>
    <w:rsid w:val="000B3A0F"/>
    <w:rsid w:val="000D46E3"/>
    <w:rsid w:val="000D6B7C"/>
    <w:rsid w:val="000E0415"/>
    <w:rsid w:val="000E1E6E"/>
    <w:rsid w:val="000F03D5"/>
    <w:rsid w:val="000F3394"/>
    <w:rsid w:val="000F3747"/>
    <w:rsid w:val="000F7715"/>
    <w:rsid w:val="001241EE"/>
    <w:rsid w:val="00133D94"/>
    <w:rsid w:val="001349CD"/>
    <w:rsid w:val="001353F6"/>
    <w:rsid w:val="00156B99"/>
    <w:rsid w:val="00166124"/>
    <w:rsid w:val="00180D3B"/>
    <w:rsid w:val="00184DDA"/>
    <w:rsid w:val="001900CD"/>
    <w:rsid w:val="00193E43"/>
    <w:rsid w:val="001A0452"/>
    <w:rsid w:val="001A3485"/>
    <w:rsid w:val="001B4B04"/>
    <w:rsid w:val="001B5875"/>
    <w:rsid w:val="001C4B9C"/>
    <w:rsid w:val="001C6663"/>
    <w:rsid w:val="001C7895"/>
    <w:rsid w:val="001D02FB"/>
    <w:rsid w:val="001D26DF"/>
    <w:rsid w:val="001F1599"/>
    <w:rsid w:val="001F19C4"/>
    <w:rsid w:val="002043F0"/>
    <w:rsid w:val="00211E0B"/>
    <w:rsid w:val="002141B7"/>
    <w:rsid w:val="00217608"/>
    <w:rsid w:val="002216BF"/>
    <w:rsid w:val="00232575"/>
    <w:rsid w:val="00247258"/>
    <w:rsid w:val="00250503"/>
    <w:rsid w:val="0025518E"/>
    <w:rsid w:val="00257CAC"/>
    <w:rsid w:val="0027237A"/>
    <w:rsid w:val="00284D61"/>
    <w:rsid w:val="00290AB1"/>
    <w:rsid w:val="002974E9"/>
    <w:rsid w:val="002A2679"/>
    <w:rsid w:val="002A7F94"/>
    <w:rsid w:val="002B0DA7"/>
    <w:rsid w:val="002B109A"/>
    <w:rsid w:val="002C61B1"/>
    <w:rsid w:val="002C6D45"/>
    <w:rsid w:val="002C7015"/>
    <w:rsid w:val="002C716A"/>
    <w:rsid w:val="002D6E53"/>
    <w:rsid w:val="002F046D"/>
    <w:rsid w:val="002F3023"/>
    <w:rsid w:val="00301764"/>
    <w:rsid w:val="0031015F"/>
    <w:rsid w:val="00316872"/>
    <w:rsid w:val="003229D8"/>
    <w:rsid w:val="00331C23"/>
    <w:rsid w:val="00336C97"/>
    <w:rsid w:val="00337F88"/>
    <w:rsid w:val="00342432"/>
    <w:rsid w:val="0035124D"/>
    <w:rsid w:val="0035223F"/>
    <w:rsid w:val="00352D4B"/>
    <w:rsid w:val="003550DD"/>
    <w:rsid w:val="0035638C"/>
    <w:rsid w:val="00362EA9"/>
    <w:rsid w:val="00374557"/>
    <w:rsid w:val="003A17F1"/>
    <w:rsid w:val="003A46BB"/>
    <w:rsid w:val="003A4A12"/>
    <w:rsid w:val="003A4EC7"/>
    <w:rsid w:val="003A7295"/>
    <w:rsid w:val="003B1371"/>
    <w:rsid w:val="003B1F60"/>
    <w:rsid w:val="003B637D"/>
    <w:rsid w:val="003C2CC4"/>
    <w:rsid w:val="003C359D"/>
    <w:rsid w:val="003C5125"/>
    <w:rsid w:val="003D4B23"/>
    <w:rsid w:val="003E278A"/>
    <w:rsid w:val="003F073F"/>
    <w:rsid w:val="00413520"/>
    <w:rsid w:val="00414EB1"/>
    <w:rsid w:val="0042010F"/>
    <w:rsid w:val="004245FF"/>
    <w:rsid w:val="0042665B"/>
    <w:rsid w:val="004325CB"/>
    <w:rsid w:val="00440A07"/>
    <w:rsid w:val="00460A33"/>
    <w:rsid w:val="004621E8"/>
    <w:rsid w:val="00462880"/>
    <w:rsid w:val="004672B1"/>
    <w:rsid w:val="00472091"/>
    <w:rsid w:val="00476E58"/>
    <w:rsid w:val="00476F24"/>
    <w:rsid w:val="00482E43"/>
    <w:rsid w:val="004854A5"/>
    <w:rsid w:val="004923A8"/>
    <w:rsid w:val="004A1B2A"/>
    <w:rsid w:val="004A6E3C"/>
    <w:rsid w:val="004C55B0"/>
    <w:rsid w:val="004D7CA3"/>
    <w:rsid w:val="004E53A9"/>
    <w:rsid w:val="004E55A1"/>
    <w:rsid w:val="004F6BA0"/>
    <w:rsid w:val="004F7088"/>
    <w:rsid w:val="00501922"/>
    <w:rsid w:val="00503BEA"/>
    <w:rsid w:val="00511CE9"/>
    <w:rsid w:val="00512A29"/>
    <w:rsid w:val="00523B4B"/>
    <w:rsid w:val="00533616"/>
    <w:rsid w:val="00535ABA"/>
    <w:rsid w:val="0053768B"/>
    <w:rsid w:val="005420F2"/>
    <w:rsid w:val="0054285C"/>
    <w:rsid w:val="00581818"/>
    <w:rsid w:val="005834DB"/>
    <w:rsid w:val="00584173"/>
    <w:rsid w:val="00595520"/>
    <w:rsid w:val="005A44B9"/>
    <w:rsid w:val="005B1BA0"/>
    <w:rsid w:val="005B3DB3"/>
    <w:rsid w:val="005C090C"/>
    <w:rsid w:val="005C7A89"/>
    <w:rsid w:val="005D15CA"/>
    <w:rsid w:val="005D3B30"/>
    <w:rsid w:val="005E670F"/>
    <w:rsid w:val="005F08DF"/>
    <w:rsid w:val="005F3066"/>
    <w:rsid w:val="005F3E61"/>
    <w:rsid w:val="00604DDD"/>
    <w:rsid w:val="00606F35"/>
    <w:rsid w:val="006115CC"/>
    <w:rsid w:val="00611FC4"/>
    <w:rsid w:val="006126D9"/>
    <w:rsid w:val="006176FB"/>
    <w:rsid w:val="00620F69"/>
    <w:rsid w:val="00626D39"/>
    <w:rsid w:val="00626D59"/>
    <w:rsid w:val="00630FCB"/>
    <w:rsid w:val="00640B26"/>
    <w:rsid w:val="006460FA"/>
    <w:rsid w:val="006472A0"/>
    <w:rsid w:val="00654C2F"/>
    <w:rsid w:val="0065766B"/>
    <w:rsid w:val="006770B2"/>
    <w:rsid w:val="00686A48"/>
    <w:rsid w:val="00687B3D"/>
    <w:rsid w:val="006940E1"/>
    <w:rsid w:val="0069627D"/>
    <w:rsid w:val="00696773"/>
    <w:rsid w:val="006A3C72"/>
    <w:rsid w:val="006A6BEA"/>
    <w:rsid w:val="006A7392"/>
    <w:rsid w:val="006A745A"/>
    <w:rsid w:val="006B03A1"/>
    <w:rsid w:val="006B06F1"/>
    <w:rsid w:val="006B25E0"/>
    <w:rsid w:val="006B67D9"/>
    <w:rsid w:val="006C5535"/>
    <w:rsid w:val="006D0589"/>
    <w:rsid w:val="006E564B"/>
    <w:rsid w:val="006E6220"/>
    <w:rsid w:val="006E691E"/>
    <w:rsid w:val="006E6F4E"/>
    <w:rsid w:val="006E7154"/>
    <w:rsid w:val="006E7453"/>
    <w:rsid w:val="006F64BE"/>
    <w:rsid w:val="007003CD"/>
    <w:rsid w:val="0070701E"/>
    <w:rsid w:val="00713B0C"/>
    <w:rsid w:val="0072632A"/>
    <w:rsid w:val="00726F0B"/>
    <w:rsid w:val="00731D5C"/>
    <w:rsid w:val="007345D0"/>
    <w:rsid w:val="007358E8"/>
    <w:rsid w:val="00736ECE"/>
    <w:rsid w:val="0074533B"/>
    <w:rsid w:val="007547EE"/>
    <w:rsid w:val="007643BC"/>
    <w:rsid w:val="0077505F"/>
    <w:rsid w:val="00780C68"/>
    <w:rsid w:val="00781BBD"/>
    <w:rsid w:val="00786989"/>
    <w:rsid w:val="007959FE"/>
    <w:rsid w:val="007A0CF1"/>
    <w:rsid w:val="007A2C8E"/>
    <w:rsid w:val="007A719A"/>
    <w:rsid w:val="007A7918"/>
    <w:rsid w:val="007B6BA5"/>
    <w:rsid w:val="007C0E0E"/>
    <w:rsid w:val="007C3390"/>
    <w:rsid w:val="007C3576"/>
    <w:rsid w:val="007C42D8"/>
    <w:rsid w:val="007C4F4B"/>
    <w:rsid w:val="007D7362"/>
    <w:rsid w:val="007F5CE2"/>
    <w:rsid w:val="007F5E78"/>
    <w:rsid w:val="007F6611"/>
    <w:rsid w:val="00800073"/>
    <w:rsid w:val="00801BFD"/>
    <w:rsid w:val="008067A4"/>
    <w:rsid w:val="00810BAC"/>
    <w:rsid w:val="00815316"/>
    <w:rsid w:val="008175E9"/>
    <w:rsid w:val="00821260"/>
    <w:rsid w:val="008242D7"/>
    <w:rsid w:val="0082577B"/>
    <w:rsid w:val="00825C10"/>
    <w:rsid w:val="008304E1"/>
    <w:rsid w:val="00840ADC"/>
    <w:rsid w:val="00846765"/>
    <w:rsid w:val="00850483"/>
    <w:rsid w:val="00861936"/>
    <w:rsid w:val="00866893"/>
    <w:rsid w:val="00866F02"/>
    <w:rsid w:val="00867C46"/>
    <w:rsid w:val="00867D18"/>
    <w:rsid w:val="00871AA8"/>
    <w:rsid w:val="00871F9A"/>
    <w:rsid w:val="00871FD5"/>
    <w:rsid w:val="00872CD7"/>
    <w:rsid w:val="0088172E"/>
    <w:rsid w:val="00881EFA"/>
    <w:rsid w:val="008879CB"/>
    <w:rsid w:val="008940A8"/>
    <w:rsid w:val="0089731E"/>
    <w:rsid w:val="008979B1"/>
    <w:rsid w:val="008A3D35"/>
    <w:rsid w:val="008A6B25"/>
    <w:rsid w:val="008A6C4F"/>
    <w:rsid w:val="008B2454"/>
    <w:rsid w:val="008B389E"/>
    <w:rsid w:val="008C2A50"/>
    <w:rsid w:val="008C6230"/>
    <w:rsid w:val="008D035A"/>
    <w:rsid w:val="008D045E"/>
    <w:rsid w:val="008D10D8"/>
    <w:rsid w:val="008D3CA8"/>
    <w:rsid w:val="008D3F25"/>
    <w:rsid w:val="008D4D82"/>
    <w:rsid w:val="008E0931"/>
    <w:rsid w:val="008E0E46"/>
    <w:rsid w:val="008E3FFC"/>
    <w:rsid w:val="008E7116"/>
    <w:rsid w:val="008F143B"/>
    <w:rsid w:val="008F3882"/>
    <w:rsid w:val="008F3B34"/>
    <w:rsid w:val="008F4B7C"/>
    <w:rsid w:val="00926E47"/>
    <w:rsid w:val="00927AA9"/>
    <w:rsid w:val="009312A5"/>
    <w:rsid w:val="00933A8A"/>
    <w:rsid w:val="00943748"/>
    <w:rsid w:val="0094683B"/>
    <w:rsid w:val="00947162"/>
    <w:rsid w:val="00950C39"/>
    <w:rsid w:val="00952D6B"/>
    <w:rsid w:val="00954785"/>
    <w:rsid w:val="00955EAA"/>
    <w:rsid w:val="009567D8"/>
    <w:rsid w:val="009610D0"/>
    <w:rsid w:val="0096375C"/>
    <w:rsid w:val="009639C7"/>
    <w:rsid w:val="009662E6"/>
    <w:rsid w:val="0097095E"/>
    <w:rsid w:val="0098088F"/>
    <w:rsid w:val="0098592B"/>
    <w:rsid w:val="00985FC4"/>
    <w:rsid w:val="00990766"/>
    <w:rsid w:val="00991261"/>
    <w:rsid w:val="009964C4"/>
    <w:rsid w:val="00997EDB"/>
    <w:rsid w:val="009A0761"/>
    <w:rsid w:val="009A7B81"/>
    <w:rsid w:val="009B1423"/>
    <w:rsid w:val="009B4F97"/>
    <w:rsid w:val="009D01C0"/>
    <w:rsid w:val="009D1686"/>
    <w:rsid w:val="009D6A08"/>
    <w:rsid w:val="009E0A16"/>
    <w:rsid w:val="009E3365"/>
    <w:rsid w:val="009E6CB7"/>
    <w:rsid w:val="009E7370"/>
    <w:rsid w:val="009E7970"/>
    <w:rsid w:val="009E7FBA"/>
    <w:rsid w:val="009F2EAC"/>
    <w:rsid w:val="009F4104"/>
    <w:rsid w:val="009F57E3"/>
    <w:rsid w:val="00A10F4F"/>
    <w:rsid w:val="00A11067"/>
    <w:rsid w:val="00A1704A"/>
    <w:rsid w:val="00A21B55"/>
    <w:rsid w:val="00A3041B"/>
    <w:rsid w:val="00A425EB"/>
    <w:rsid w:val="00A43651"/>
    <w:rsid w:val="00A44CB6"/>
    <w:rsid w:val="00A72F22"/>
    <w:rsid w:val="00A733BC"/>
    <w:rsid w:val="00A748A6"/>
    <w:rsid w:val="00A75FD0"/>
    <w:rsid w:val="00A76A69"/>
    <w:rsid w:val="00A879A4"/>
    <w:rsid w:val="00A87B58"/>
    <w:rsid w:val="00AA0FF8"/>
    <w:rsid w:val="00AA259C"/>
    <w:rsid w:val="00AC0F2C"/>
    <w:rsid w:val="00AC1F68"/>
    <w:rsid w:val="00AC502A"/>
    <w:rsid w:val="00AF1494"/>
    <w:rsid w:val="00AF58C1"/>
    <w:rsid w:val="00B04A3F"/>
    <w:rsid w:val="00B06643"/>
    <w:rsid w:val="00B12069"/>
    <w:rsid w:val="00B15055"/>
    <w:rsid w:val="00B20551"/>
    <w:rsid w:val="00B30179"/>
    <w:rsid w:val="00B33FC7"/>
    <w:rsid w:val="00B37B15"/>
    <w:rsid w:val="00B45C02"/>
    <w:rsid w:val="00B46904"/>
    <w:rsid w:val="00B47D81"/>
    <w:rsid w:val="00B57647"/>
    <w:rsid w:val="00B57BC1"/>
    <w:rsid w:val="00B627F8"/>
    <w:rsid w:val="00B63F76"/>
    <w:rsid w:val="00B70B63"/>
    <w:rsid w:val="00B71659"/>
    <w:rsid w:val="00B72466"/>
    <w:rsid w:val="00B72A1E"/>
    <w:rsid w:val="00B75C42"/>
    <w:rsid w:val="00B81E12"/>
    <w:rsid w:val="00B87367"/>
    <w:rsid w:val="00BA339B"/>
    <w:rsid w:val="00BB23CC"/>
    <w:rsid w:val="00BC196F"/>
    <w:rsid w:val="00BC1E7E"/>
    <w:rsid w:val="00BC74E9"/>
    <w:rsid w:val="00BD5BEB"/>
    <w:rsid w:val="00BD6EAC"/>
    <w:rsid w:val="00BD7B02"/>
    <w:rsid w:val="00BE36A9"/>
    <w:rsid w:val="00BE618E"/>
    <w:rsid w:val="00BE7BEC"/>
    <w:rsid w:val="00BF0A5A"/>
    <w:rsid w:val="00BF0E63"/>
    <w:rsid w:val="00BF12A3"/>
    <w:rsid w:val="00BF16D7"/>
    <w:rsid w:val="00BF2373"/>
    <w:rsid w:val="00BF4870"/>
    <w:rsid w:val="00BF7752"/>
    <w:rsid w:val="00C044E2"/>
    <w:rsid w:val="00C048CB"/>
    <w:rsid w:val="00C066F3"/>
    <w:rsid w:val="00C11FEA"/>
    <w:rsid w:val="00C159C7"/>
    <w:rsid w:val="00C25D31"/>
    <w:rsid w:val="00C323B4"/>
    <w:rsid w:val="00C34FD8"/>
    <w:rsid w:val="00C463DD"/>
    <w:rsid w:val="00C54D6E"/>
    <w:rsid w:val="00C551ED"/>
    <w:rsid w:val="00C73A4F"/>
    <w:rsid w:val="00C745C3"/>
    <w:rsid w:val="00C763AF"/>
    <w:rsid w:val="00C8185D"/>
    <w:rsid w:val="00C83F69"/>
    <w:rsid w:val="00C978F5"/>
    <w:rsid w:val="00CA1AFC"/>
    <w:rsid w:val="00CA24A4"/>
    <w:rsid w:val="00CA5684"/>
    <w:rsid w:val="00CB0EAD"/>
    <w:rsid w:val="00CB348D"/>
    <w:rsid w:val="00CB42AE"/>
    <w:rsid w:val="00CC15F3"/>
    <w:rsid w:val="00CC40B9"/>
    <w:rsid w:val="00CD3488"/>
    <w:rsid w:val="00CD46F5"/>
    <w:rsid w:val="00CD498C"/>
    <w:rsid w:val="00CE4A8F"/>
    <w:rsid w:val="00CF071D"/>
    <w:rsid w:val="00CF331B"/>
    <w:rsid w:val="00CF75C2"/>
    <w:rsid w:val="00D0123D"/>
    <w:rsid w:val="00D15B04"/>
    <w:rsid w:val="00D2031B"/>
    <w:rsid w:val="00D2199D"/>
    <w:rsid w:val="00D21D74"/>
    <w:rsid w:val="00D230A2"/>
    <w:rsid w:val="00D25977"/>
    <w:rsid w:val="00D25FE2"/>
    <w:rsid w:val="00D31BA6"/>
    <w:rsid w:val="00D37DA9"/>
    <w:rsid w:val="00D406A7"/>
    <w:rsid w:val="00D43252"/>
    <w:rsid w:val="00D44D86"/>
    <w:rsid w:val="00D50B7D"/>
    <w:rsid w:val="00D52012"/>
    <w:rsid w:val="00D62C12"/>
    <w:rsid w:val="00D704E5"/>
    <w:rsid w:val="00D724D2"/>
    <w:rsid w:val="00D72727"/>
    <w:rsid w:val="00D76A8C"/>
    <w:rsid w:val="00D978C6"/>
    <w:rsid w:val="00DA0956"/>
    <w:rsid w:val="00DA357F"/>
    <w:rsid w:val="00DA3E12"/>
    <w:rsid w:val="00DB3850"/>
    <w:rsid w:val="00DC18AD"/>
    <w:rsid w:val="00DE0184"/>
    <w:rsid w:val="00DE2D95"/>
    <w:rsid w:val="00DF37D0"/>
    <w:rsid w:val="00DF7CAE"/>
    <w:rsid w:val="00E0063B"/>
    <w:rsid w:val="00E115AB"/>
    <w:rsid w:val="00E11AD9"/>
    <w:rsid w:val="00E11BD6"/>
    <w:rsid w:val="00E206CC"/>
    <w:rsid w:val="00E21BCA"/>
    <w:rsid w:val="00E26495"/>
    <w:rsid w:val="00E423C0"/>
    <w:rsid w:val="00E53CAB"/>
    <w:rsid w:val="00E5590F"/>
    <w:rsid w:val="00E63A7F"/>
    <w:rsid w:val="00E6414C"/>
    <w:rsid w:val="00E7260F"/>
    <w:rsid w:val="00E8179A"/>
    <w:rsid w:val="00E82A86"/>
    <w:rsid w:val="00E8702D"/>
    <w:rsid w:val="00E8711D"/>
    <w:rsid w:val="00E905F4"/>
    <w:rsid w:val="00E916A9"/>
    <w:rsid w:val="00E916DE"/>
    <w:rsid w:val="00E925AD"/>
    <w:rsid w:val="00E96630"/>
    <w:rsid w:val="00E96B12"/>
    <w:rsid w:val="00E97006"/>
    <w:rsid w:val="00EB663F"/>
    <w:rsid w:val="00EC0AA1"/>
    <w:rsid w:val="00EC36F5"/>
    <w:rsid w:val="00ED00EA"/>
    <w:rsid w:val="00ED18DC"/>
    <w:rsid w:val="00ED257D"/>
    <w:rsid w:val="00ED44C6"/>
    <w:rsid w:val="00ED6201"/>
    <w:rsid w:val="00ED7A2A"/>
    <w:rsid w:val="00EE7DAD"/>
    <w:rsid w:val="00EF1D7F"/>
    <w:rsid w:val="00F0137E"/>
    <w:rsid w:val="00F13756"/>
    <w:rsid w:val="00F21786"/>
    <w:rsid w:val="00F30E37"/>
    <w:rsid w:val="00F3742B"/>
    <w:rsid w:val="00F41FDB"/>
    <w:rsid w:val="00F474B8"/>
    <w:rsid w:val="00F566D6"/>
    <w:rsid w:val="00F569C1"/>
    <w:rsid w:val="00F56D63"/>
    <w:rsid w:val="00F56FDB"/>
    <w:rsid w:val="00F60864"/>
    <w:rsid w:val="00F609A9"/>
    <w:rsid w:val="00F7094C"/>
    <w:rsid w:val="00F80C99"/>
    <w:rsid w:val="00F867EC"/>
    <w:rsid w:val="00F91B2B"/>
    <w:rsid w:val="00FA1913"/>
    <w:rsid w:val="00FB07BD"/>
    <w:rsid w:val="00FC03CD"/>
    <w:rsid w:val="00FC0595"/>
    <w:rsid w:val="00FC0646"/>
    <w:rsid w:val="00FC1CB2"/>
    <w:rsid w:val="00FC68B7"/>
    <w:rsid w:val="00FD3565"/>
    <w:rsid w:val="00FD78EB"/>
    <w:rsid w:val="00FD78F3"/>
    <w:rsid w:val="00FE03B1"/>
    <w:rsid w:val="00FE0531"/>
    <w:rsid w:val="00FE6985"/>
    <w:rsid w:val="00FF02F5"/>
    <w:rsid w:val="00FF6B6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899E7"/>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472091"/>
    <w:rPr>
      <w:lang w:val="en-GB"/>
    </w:rPr>
  </w:style>
  <w:style w:type="character" w:styleId="CommentReference">
    <w:name w:val="annotation reference"/>
    <w:basedOn w:val="DefaultParagraphFont"/>
    <w:semiHidden/>
    <w:unhideWhenUsed/>
    <w:rsid w:val="007F5E78"/>
    <w:rPr>
      <w:sz w:val="16"/>
      <w:szCs w:val="16"/>
    </w:rPr>
  </w:style>
  <w:style w:type="paragraph" w:styleId="CommentText">
    <w:name w:val="annotation text"/>
    <w:basedOn w:val="Normal"/>
    <w:link w:val="CommentTextChar"/>
    <w:unhideWhenUsed/>
    <w:rsid w:val="007F5E78"/>
    <w:pPr>
      <w:spacing w:line="240" w:lineRule="auto"/>
    </w:pPr>
  </w:style>
  <w:style w:type="character" w:customStyle="1" w:styleId="CommentTextChar">
    <w:name w:val="Comment Text Char"/>
    <w:basedOn w:val="DefaultParagraphFont"/>
    <w:link w:val="CommentText"/>
    <w:rsid w:val="007F5E78"/>
    <w:rPr>
      <w:lang w:val="en-GB"/>
    </w:rPr>
  </w:style>
  <w:style w:type="character" w:customStyle="1" w:styleId="H1GChar">
    <w:name w:val="_ H_1_G Char"/>
    <w:link w:val="H1G"/>
    <w:rsid w:val="00F569C1"/>
    <w:rPr>
      <w:b/>
      <w:sz w:val="24"/>
      <w:lang w:val="en-GB"/>
    </w:rPr>
  </w:style>
  <w:style w:type="paragraph" w:styleId="ListParagraph">
    <w:name w:val="List Paragraph"/>
    <w:basedOn w:val="Normal"/>
    <w:uiPriority w:val="34"/>
    <w:semiHidden/>
    <w:qFormat/>
    <w:rsid w:val="008B2454"/>
    <w:pPr>
      <w:ind w:left="720"/>
      <w:contextualSpacing/>
    </w:pPr>
  </w:style>
  <w:style w:type="paragraph" w:styleId="CommentSubject">
    <w:name w:val="annotation subject"/>
    <w:basedOn w:val="CommentText"/>
    <w:next w:val="CommentText"/>
    <w:link w:val="CommentSubjectChar"/>
    <w:semiHidden/>
    <w:unhideWhenUsed/>
    <w:rsid w:val="002C61B1"/>
    <w:rPr>
      <w:b/>
      <w:bCs/>
    </w:rPr>
  </w:style>
  <w:style w:type="character" w:customStyle="1" w:styleId="CommentSubjectChar">
    <w:name w:val="Comment Subject Char"/>
    <w:basedOn w:val="CommentTextChar"/>
    <w:link w:val="CommentSubject"/>
    <w:semiHidden/>
    <w:rsid w:val="002C61B1"/>
    <w:rPr>
      <w:b/>
      <w:bCs/>
      <w:lang w:val="en-GB"/>
    </w:rPr>
  </w:style>
  <w:style w:type="paragraph" w:styleId="Revision">
    <w:name w:val="Revision"/>
    <w:hidden/>
    <w:uiPriority w:val="99"/>
    <w:semiHidden/>
    <w:rsid w:val="000339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899">
      <w:bodyDiv w:val="1"/>
      <w:marLeft w:val="0"/>
      <w:marRight w:val="0"/>
      <w:marTop w:val="0"/>
      <w:marBottom w:val="0"/>
      <w:divBdr>
        <w:top w:val="none" w:sz="0" w:space="0" w:color="auto"/>
        <w:left w:val="none" w:sz="0" w:space="0" w:color="auto"/>
        <w:bottom w:val="none" w:sz="0" w:space="0" w:color="auto"/>
        <w:right w:val="none" w:sz="0" w:space="0" w:color="auto"/>
      </w:divBdr>
    </w:div>
    <w:div w:id="358243437">
      <w:bodyDiv w:val="1"/>
      <w:marLeft w:val="0"/>
      <w:marRight w:val="0"/>
      <w:marTop w:val="0"/>
      <w:marBottom w:val="0"/>
      <w:divBdr>
        <w:top w:val="none" w:sz="0" w:space="0" w:color="auto"/>
        <w:left w:val="none" w:sz="0" w:space="0" w:color="auto"/>
        <w:bottom w:val="none" w:sz="0" w:space="0" w:color="auto"/>
        <w:right w:val="none" w:sz="0" w:space="0" w:color="auto"/>
      </w:divBdr>
    </w:div>
    <w:div w:id="480074390">
      <w:bodyDiv w:val="1"/>
      <w:marLeft w:val="0"/>
      <w:marRight w:val="0"/>
      <w:marTop w:val="0"/>
      <w:marBottom w:val="0"/>
      <w:divBdr>
        <w:top w:val="none" w:sz="0" w:space="0" w:color="auto"/>
        <w:left w:val="none" w:sz="0" w:space="0" w:color="auto"/>
        <w:bottom w:val="none" w:sz="0" w:space="0" w:color="auto"/>
        <w:right w:val="none" w:sz="0" w:space="0" w:color="auto"/>
      </w:divBdr>
    </w:div>
    <w:div w:id="801263580">
      <w:bodyDiv w:val="1"/>
      <w:marLeft w:val="0"/>
      <w:marRight w:val="0"/>
      <w:marTop w:val="0"/>
      <w:marBottom w:val="0"/>
      <w:divBdr>
        <w:top w:val="none" w:sz="0" w:space="0" w:color="auto"/>
        <w:left w:val="none" w:sz="0" w:space="0" w:color="auto"/>
        <w:bottom w:val="none" w:sz="0" w:space="0" w:color="auto"/>
        <w:right w:val="none" w:sz="0" w:space="0" w:color="auto"/>
      </w:divBdr>
    </w:div>
    <w:div w:id="954293810">
      <w:bodyDiv w:val="1"/>
      <w:marLeft w:val="0"/>
      <w:marRight w:val="0"/>
      <w:marTop w:val="0"/>
      <w:marBottom w:val="0"/>
      <w:divBdr>
        <w:top w:val="none" w:sz="0" w:space="0" w:color="auto"/>
        <w:left w:val="none" w:sz="0" w:space="0" w:color="auto"/>
        <w:bottom w:val="none" w:sz="0" w:space="0" w:color="auto"/>
        <w:right w:val="none" w:sz="0" w:space="0" w:color="auto"/>
      </w:divBdr>
    </w:div>
    <w:div w:id="1011102871">
      <w:bodyDiv w:val="1"/>
      <w:marLeft w:val="0"/>
      <w:marRight w:val="0"/>
      <w:marTop w:val="0"/>
      <w:marBottom w:val="0"/>
      <w:divBdr>
        <w:top w:val="none" w:sz="0" w:space="0" w:color="auto"/>
        <w:left w:val="none" w:sz="0" w:space="0" w:color="auto"/>
        <w:bottom w:val="none" w:sz="0" w:space="0" w:color="auto"/>
        <w:right w:val="none" w:sz="0" w:space="0" w:color="auto"/>
      </w:divBdr>
    </w:div>
    <w:div w:id="1735153337">
      <w:bodyDiv w:val="1"/>
      <w:marLeft w:val="0"/>
      <w:marRight w:val="0"/>
      <w:marTop w:val="0"/>
      <w:marBottom w:val="0"/>
      <w:divBdr>
        <w:top w:val="none" w:sz="0" w:space="0" w:color="auto"/>
        <w:left w:val="none" w:sz="0" w:space="0" w:color="auto"/>
        <w:bottom w:val="none" w:sz="0" w:space="0" w:color="auto"/>
        <w:right w:val="none" w:sz="0" w:space="0" w:color="auto"/>
      </w:divBdr>
    </w:div>
    <w:div w:id="1750881934">
      <w:bodyDiv w:val="1"/>
      <w:marLeft w:val="0"/>
      <w:marRight w:val="0"/>
      <w:marTop w:val="0"/>
      <w:marBottom w:val="0"/>
      <w:divBdr>
        <w:top w:val="none" w:sz="0" w:space="0" w:color="auto"/>
        <w:left w:val="none" w:sz="0" w:space="0" w:color="auto"/>
        <w:bottom w:val="none" w:sz="0" w:space="0" w:color="auto"/>
        <w:right w:val="none" w:sz="0" w:space="0" w:color="auto"/>
      </w:divBdr>
    </w:div>
    <w:div w:id="20106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71A8989-1625-4A00-ACF5-F22CED0D3E23}">
  <ds:schemaRefs>
    <ds:schemaRef ds:uri="http://schemas.openxmlformats.org/officeDocument/2006/bibliography"/>
  </ds:schemaRefs>
</ds:datastoreItem>
</file>

<file path=customXml/itemProps2.xml><?xml version="1.0" encoding="utf-8"?>
<ds:datastoreItem xmlns:ds="http://schemas.openxmlformats.org/officeDocument/2006/customXml" ds:itemID="{EFFB7B19-6807-419B-8D61-AC79E998AEB9}">
  <ds:schemaRefs>
    <ds:schemaRef ds:uri="http://schemas.microsoft.com/sharepoint/v3/contenttype/forms"/>
  </ds:schemaRefs>
</ds:datastoreItem>
</file>

<file path=customXml/itemProps3.xml><?xml version="1.0" encoding="utf-8"?>
<ds:datastoreItem xmlns:ds="http://schemas.openxmlformats.org/officeDocument/2006/customXml" ds:itemID="{15B16BDF-C0DC-4D0F-AC17-98AA3AB40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84E2B-677D-4A53-A597-A47F17C90A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2652</Words>
  <Characters>16212</Characters>
  <Application>Microsoft Office Word</Application>
  <DocSecurity>0</DocSecurity>
  <Lines>509</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ECE/TRANS/2020/18</vt:lpstr>
      <vt:lpstr/>
    </vt:vector>
  </TitlesOfParts>
  <Company>CSD</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ECE/TRANS/2023/24</dc:title>
  <dc:subject>2228424</dc:subject>
  <dc:creator>Anastasia Barinova</dc:creator>
  <cp:keywords/>
  <dc:description/>
  <cp:lastModifiedBy>Maria Rosario Corazon Gatmaytan</cp:lastModifiedBy>
  <cp:revision>3</cp:revision>
  <cp:lastPrinted>2022-12-13T12:05:00Z</cp:lastPrinted>
  <dcterms:created xsi:type="dcterms:W3CDTF">2022-12-13T12:04:00Z</dcterms:created>
  <dcterms:modified xsi:type="dcterms:W3CDTF">2022-12-13T12:05:00Z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