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DA3CF1" w14:textId="77777777" w:rsidTr="00387CD4">
        <w:trPr>
          <w:trHeight w:hRule="exact" w:val="851"/>
        </w:trPr>
        <w:tc>
          <w:tcPr>
            <w:tcW w:w="142" w:type="dxa"/>
            <w:tcBorders>
              <w:bottom w:val="single" w:sz="4" w:space="0" w:color="auto"/>
            </w:tcBorders>
          </w:tcPr>
          <w:p w14:paraId="7BB4C8FE" w14:textId="77777777" w:rsidR="002D5AAC" w:rsidRDefault="002D5AAC" w:rsidP="001D5E1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18FB6D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65B4E9" w14:textId="68EF93E7" w:rsidR="002D5AAC" w:rsidRDefault="001D5E1E" w:rsidP="001D5E1E">
            <w:pPr>
              <w:jc w:val="right"/>
            </w:pPr>
            <w:r w:rsidRPr="001D5E1E">
              <w:rPr>
                <w:sz w:val="40"/>
              </w:rPr>
              <w:t>ECE</w:t>
            </w:r>
            <w:r>
              <w:t>/TRANS/2023/29</w:t>
            </w:r>
          </w:p>
        </w:tc>
      </w:tr>
      <w:tr w:rsidR="002D5AAC" w14:paraId="3CC4AB69" w14:textId="77777777" w:rsidTr="00387CD4">
        <w:trPr>
          <w:trHeight w:hRule="exact" w:val="2835"/>
        </w:trPr>
        <w:tc>
          <w:tcPr>
            <w:tcW w:w="1280" w:type="dxa"/>
            <w:gridSpan w:val="2"/>
            <w:tcBorders>
              <w:top w:val="single" w:sz="4" w:space="0" w:color="auto"/>
              <w:bottom w:val="single" w:sz="12" w:space="0" w:color="auto"/>
            </w:tcBorders>
          </w:tcPr>
          <w:p w14:paraId="7060AB69" w14:textId="77777777" w:rsidR="002D5AAC" w:rsidRDefault="002E5067" w:rsidP="00387CD4">
            <w:pPr>
              <w:spacing w:before="120"/>
              <w:jc w:val="center"/>
            </w:pPr>
            <w:r>
              <w:rPr>
                <w:noProof/>
                <w:lang w:val="fr-CH" w:eastAsia="fr-CH"/>
              </w:rPr>
              <w:drawing>
                <wp:inline distT="0" distB="0" distL="0" distR="0" wp14:anchorId="2A4CDA53" wp14:editId="61606F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79CCE6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A1B79BD" w14:textId="77777777" w:rsidR="002D5AAC" w:rsidRDefault="001D5E1E" w:rsidP="00387CD4">
            <w:pPr>
              <w:spacing w:before="240"/>
              <w:rPr>
                <w:lang w:val="en-US"/>
              </w:rPr>
            </w:pPr>
            <w:r>
              <w:rPr>
                <w:lang w:val="en-US"/>
              </w:rPr>
              <w:t>Distr.: General</w:t>
            </w:r>
          </w:p>
          <w:p w14:paraId="55F8C8D7" w14:textId="47C793C3" w:rsidR="001D5E1E" w:rsidRDefault="001D5E1E" w:rsidP="001D5E1E">
            <w:pPr>
              <w:spacing w:line="240" w:lineRule="exact"/>
              <w:rPr>
                <w:lang w:val="en-US"/>
              </w:rPr>
            </w:pPr>
            <w:r>
              <w:rPr>
                <w:lang w:val="en-US"/>
              </w:rPr>
              <w:t>8 December 2022</w:t>
            </w:r>
          </w:p>
          <w:p w14:paraId="03F9E91A" w14:textId="77777777" w:rsidR="001D5E1E" w:rsidRDefault="001D5E1E" w:rsidP="001D5E1E">
            <w:pPr>
              <w:spacing w:line="240" w:lineRule="exact"/>
              <w:rPr>
                <w:lang w:val="en-US"/>
              </w:rPr>
            </w:pPr>
            <w:r>
              <w:rPr>
                <w:lang w:val="en-US"/>
              </w:rPr>
              <w:t>Russian</w:t>
            </w:r>
          </w:p>
          <w:p w14:paraId="65A66D86" w14:textId="5E51F4EA" w:rsidR="001D5E1E" w:rsidRPr="008D53B6" w:rsidRDefault="001D5E1E" w:rsidP="001D5E1E">
            <w:pPr>
              <w:spacing w:line="240" w:lineRule="exact"/>
              <w:rPr>
                <w:lang w:val="en-US"/>
              </w:rPr>
            </w:pPr>
            <w:r>
              <w:rPr>
                <w:lang w:val="en-US"/>
              </w:rPr>
              <w:t>Original: English</w:t>
            </w:r>
          </w:p>
        </w:tc>
      </w:tr>
    </w:tbl>
    <w:p w14:paraId="5FF0AD0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0B95A88" w14:textId="77777777" w:rsidR="001D5E1E" w:rsidRPr="0062161B" w:rsidRDefault="001D5E1E" w:rsidP="001D5E1E">
      <w:pPr>
        <w:spacing w:before="120"/>
        <w:rPr>
          <w:sz w:val="28"/>
          <w:szCs w:val="28"/>
        </w:rPr>
      </w:pPr>
      <w:r w:rsidRPr="0062161B">
        <w:rPr>
          <w:sz w:val="28"/>
          <w:szCs w:val="28"/>
        </w:rPr>
        <w:t>Комитет по внутреннему транспорту</w:t>
      </w:r>
    </w:p>
    <w:p w14:paraId="61D2C4EF" w14:textId="77777777" w:rsidR="001D5E1E" w:rsidRPr="0062161B" w:rsidRDefault="001D5E1E" w:rsidP="001D5E1E">
      <w:pPr>
        <w:spacing w:before="120"/>
        <w:rPr>
          <w:b/>
          <w:bCs/>
        </w:rPr>
      </w:pPr>
      <w:r w:rsidRPr="0062161B">
        <w:rPr>
          <w:b/>
          <w:bCs/>
        </w:rPr>
        <w:t>Восемьдесят пятая сессия</w:t>
      </w:r>
    </w:p>
    <w:p w14:paraId="6DD9E122" w14:textId="77777777" w:rsidR="001D5E1E" w:rsidRPr="0062161B" w:rsidRDefault="001D5E1E" w:rsidP="001D5E1E">
      <w:r w:rsidRPr="0062161B">
        <w:t xml:space="preserve">Женева, 21–24 февраля 2023 года </w:t>
      </w:r>
    </w:p>
    <w:p w14:paraId="5A9ED8A0" w14:textId="77777777" w:rsidR="001D5E1E" w:rsidRPr="0062161B" w:rsidRDefault="001D5E1E" w:rsidP="001D5E1E">
      <w:r w:rsidRPr="0062161B">
        <w:t xml:space="preserve">Пункт 7 </w:t>
      </w:r>
      <w:r>
        <w:t>o</w:t>
      </w:r>
      <w:r w:rsidRPr="0062161B">
        <w:t xml:space="preserve">) предварительной повестки дня </w:t>
      </w:r>
    </w:p>
    <w:p w14:paraId="1AE954F5" w14:textId="77777777" w:rsidR="001D5E1E" w:rsidRPr="0062161B" w:rsidRDefault="001D5E1E" w:rsidP="001D5E1E">
      <w:pPr>
        <w:rPr>
          <w:b/>
          <w:bCs/>
        </w:rPr>
      </w:pPr>
      <w:r w:rsidRPr="0062161B">
        <w:rPr>
          <w:b/>
          <w:bCs/>
        </w:rPr>
        <w:t xml:space="preserve">Стратегические вопросы горизонтальной </w:t>
      </w:r>
      <w:r w:rsidRPr="0062161B">
        <w:rPr>
          <w:b/>
          <w:bCs/>
        </w:rPr>
        <w:br/>
        <w:t>и межсекторальной политики или нормативного характера:</w:t>
      </w:r>
    </w:p>
    <w:p w14:paraId="046D04E3" w14:textId="77777777" w:rsidR="001D5E1E" w:rsidRPr="0062161B" w:rsidRDefault="001D5E1E" w:rsidP="001D5E1E">
      <w:pPr>
        <w:rPr>
          <w:b/>
        </w:rPr>
      </w:pPr>
      <w:r w:rsidRPr="0062161B">
        <w:rPr>
          <w:b/>
          <w:bCs/>
        </w:rPr>
        <w:t xml:space="preserve">Активизация работы по облегчению пересечения границ </w:t>
      </w:r>
      <w:r w:rsidRPr="0062161B">
        <w:rPr>
          <w:b/>
          <w:bCs/>
        </w:rPr>
        <w:br/>
        <w:t xml:space="preserve">(Конвенция МДП, проект </w:t>
      </w:r>
      <w:r>
        <w:rPr>
          <w:b/>
          <w:bCs/>
        </w:rPr>
        <w:t>eTIR</w:t>
      </w:r>
      <w:r w:rsidRPr="0062161B">
        <w:rPr>
          <w:b/>
          <w:bCs/>
        </w:rPr>
        <w:t xml:space="preserve">, Конвенция о согласовании </w:t>
      </w:r>
      <w:r w:rsidRPr="0062161B">
        <w:rPr>
          <w:b/>
          <w:bCs/>
        </w:rPr>
        <w:br/>
        <w:t xml:space="preserve">и другие меры по облегчению трансграничного </w:t>
      </w:r>
      <w:r w:rsidRPr="0062161B">
        <w:rPr>
          <w:b/>
          <w:bCs/>
        </w:rPr>
        <w:br/>
        <w:t>и таможенного транзита)</w:t>
      </w:r>
    </w:p>
    <w:p w14:paraId="4F92FB3E" w14:textId="77777777" w:rsidR="001D5E1E" w:rsidRPr="00C23E6E" w:rsidRDefault="001D5E1E" w:rsidP="001D5E1E">
      <w:pPr>
        <w:pStyle w:val="HChG"/>
      </w:pPr>
      <w:r>
        <w:tab/>
      </w:r>
      <w:r>
        <w:tab/>
      </w:r>
      <w:r>
        <w:rPr>
          <w:bCs/>
        </w:rPr>
        <w:t>Международная система eTIR</w:t>
      </w:r>
    </w:p>
    <w:p w14:paraId="54BD566F" w14:textId="77777777" w:rsidR="001D5E1E" w:rsidRPr="00C23E6E" w:rsidRDefault="001D5E1E" w:rsidP="001D5E1E">
      <w:pPr>
        <w:pStyle w:val="H1G"/>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1D5E1E" w:rsidRPr="001D5E1E" w14:paraId="02F88161" w14:textId="77777777" w:rsidTr="001D5E1E">
        <w:trPr>
          <w:jc w:val="center"/>
        </w:trPr>
        <w:tc>
          <w:tcPr>
            <w:tcW w:w="9628" w:type="dxa"/>
            <w:tcBorders>
              <w:bottom w:val="nil"/>
            </w:tcBorders>
          </w:tcPr>
          <w:p w14:paraId="2D4D2105" w14:textId="77777777" w:rsidR="001D5E1E" w:rsidRPr="001D5E1E" w:rsidRDefault="001D5E1E" w:rsidP="00850215">
            <w:pPr>
              <w:tabs>
                <w:tab w:val="left" w:pos="255"/>
              </w:tabs>
              <w:spacing w:before="240" w:after="120"/>
              <w:rPr>
                <w:rFonts w:cs="Times New Roman"/>
                <w:sz w:val="24"/>
              </w:rPr>
            </w:pPr>
            <w:r w:rsidRPr="001D5E1E">
              <w:rPr>
                <w:rFonts w:cs="Times New Roman"/>
              </w:rPr>
              <w:tab/>
            </w:r>
            <w:r w:rsidRPr="001D5E1E">
              <w:rPr>
                <w:rFonts w:cs="Times New Roman"/>
                <w:i/>
                <w:sz w:val="24"/>
              </w:rPr>
              <w:t>Резюме</w:t>
            </w:r>
          </w:p>
        </w:tc>
      </w:tr>
      <w:tr w:rsidR="001D5E1E" w:rsidRPr="001D5E1E" w14:paraId="0B7765D6" w14:textId="77777777" w:rsidTr="001D5E1E">
        <w:trPr>
          <w:jc w:val="center"/>
        </w:trPr>
        <w:tc>
          <w:tcPr>
            <w:tcW w:w="9628" w:type="dxa"/>
            <w:tcBorders>
              <w:top w:val="nil"/>
              <w:bottom w:val="nil"/>
            </w:tcBorders>
            <w:shd w:val="clear" w:color="auto" w:fill="auto"/>
          </w:tcPr>
          <w:p w14:paraId="1288216F" w14:textId="2E32A51D" w:rsidR="001D5E1E" w:rsidRPr="001D5E1E" w:rsidRDefault="001D5E1E" w:rsidP="00D6488B">
            <w:pPr>
              <w:pStyle w:val="SingleTxtG"/>
            </w:pPr>
            <w:r>
              <w:tab/>
            </w:r>
            <w:r w:rsidRPr="001D5E1E">
              <w:t>В настоящем документе содержится обзор истории развития международной системы eTIR, а также краткое описание мероприятий, проведенных в 2022 году с целью завершения проектов по подключению международной системы eTIR к национальным таможенным системам договаривающихся сторон Конвенции МДП.</w:t>
            </w:r>
          </w:p>
        </w:tc>
      </w:tr>
      <w:tr w:rsidR="001D5E1E" w:rsidRPr="001D5E1E" w14:paraId="311A841D" w14:textId="77777777" w:rsidTr="001D5E1E">
        <w:trPr>
          <w:jc w:val="center"/>
        </w:trPr>
        <w:tc>
          <w:tcPr>
            <w:tcW w:w="9628" w:type="dxa"/>
            <w:tcBorders>
              <w:top w:val="nil"/>
              <w:bottom w:val="nil"/>
            </w:tcBorders>
            <w:shd w:val="clear" w:color="auto" w:fill="auto"/>
          </w:tcPr>
          <w:p w14:paraId="123908FD" w14:textId="3B5F6DDE" w:rsidR="001D5E1E" w:rsidRDefault="001D5E1E" w:rsidP="00D6488B">
            <w:pPr>
              <w:pStyle w:val="SingleTxtG"/>
            </w:pPr>
            <w:r>
              <w:tab/>
            </w:r>
            <w:r w:rsidRPr="001D5E1E">
              <w:t xml:space="preserve">Комитет, возможно, пожелает принять к сведению информацию о ходе работы, касающейся внедрения процедуры </w:t>
            </w:r>
            <w:proofErr w:type="spellStart"/>
            <w:r w:rsidRPr="001D5E1E">
              <w:t>eTIR</w:t>
            </w:r>
            <w:proofErr w:type="spellEnd"/>
            <w:r w:rsidRPr="001D5E1E">
              <w:t xml:space="preserve"> и Международного банка данных </w:t>
            </w:r>
            <w:proofErr w:type="spellStart"/>
            <w:r w:rsidRPr="001D5E1E">
              <w:t>МДП</w:t>
            </w:r>
            <w:proofErr w:type="spellEnd"/>
            <w:r w:rsidRPr="001D5E1E">
              <w:t xml:space="preserve">, </w:t>
            </w:r>
            <w:r w:rsidR="002E4BDA">
              <w:br/>
            </w:r>
            <w:r w:rsidRPr="001D5E1E">
              <w:t>в рамках которой уже была достигнута одна из основных целей повестки дня КВТ на период до 2030 года, и предложить договаривающимся сторонам МДП, которые еще не сделали этого, провести подключение своих национальных таможенных систем к международной системе eTIR при первой же удобной оперативной возможности.</w:t>
            </w:r>
          </w:p>
        </w:tc>
      </w:tr>
      <w:tr w:rsidR="001D5E1E" w:rsidRPr="001D5E1E" w14:paraId="23E8715C" w14:textId="77777777" w:rsidTr="001D5E1E">
        <w:trPr>
          <w:jc w:val="center"/>
        </w:trPr>
        <w:tc>
          <w:tcPr>
            <w:tcW w:w="9628" w:type="dxa"/>
            <w:tcBorders>
              <w:top w:val="nil"/>
            </w:tcBorders>
          </w:tcPr>
          <w:p w14:paraId="7E8A8A4C" w14:textId="77777777" w:rsidR="001D5E1E" w:rsidRPr="001D5E1E" w:rsidRDefault="001D5E1E" w:rsidP="00850215">
            <w:pPr>
              <w:rPr>
                <w:rFonts w:cs="Times New Roman"/>
              </w:rPr>
            </w:pPr>
          </w:p>
        </w:tc>
      </w:tr>
    </w:tbl>
    <w:p w14:paraId="343A6259" w14:textId="77777777" w:rsidR="001D5E1E" w:rsidRPr="00C23E6E" w:rsidRDefault="001D5E1E" w:rsidP="001D5E1E">
      <w:pPr>
        <w:pStyle w:val="HChG"/>
      </w:pPr>
      <w:r>
        <w:rPr>
          <w:bCs/>
        </w:rPr>
        <w:tab/>
        <w:t>I.</w:t>
      </w:r>
      <w:r>
        <w:tab/>
      </w:r>
      <w:r>
        <w:rPr>
          <w:bCs/>
        </w:rPr>
        <w:t>Справочная информация и мандат</w:t>
      </w:r>
    </w:p>
    <w:p w14:paraId="3EDBBD82" w14:textId="77777777" w:rsidR="001D5E1E" w:rsidRPr="0062161B" w:rsidRDefault="001D5E1E" w:rsidP="001D5E1E">
      <w:pPr>
        <w:pStyle w:val="SingleTxtG"/>
      </w:pPr>
      <w:r>
        <w:t>1.</w:t>
      </w:r>
      <w:r>
        <w:tab/>
        <w:t xml:space="preserve">Настоящий документ подготовлен в соответствии с программой работы Комитета по внутреннему транспорту (КВТ) на 2022 год (ECE/TRANS/316, пункт 33, и ECE/TRANS/2022/8, подпрограмма 4 (1): Таможенные вопросы, связанные с транспортом). В нем сообщается о прогрессе, достигнутом в 2022 году договаривающимися сторонами и секретариатом МДП в области развития международной системы eTIR и ее подключения к национальным таможенным системам. </w:t>
      </w:r>
    </w:p>
    <w:p w14:paraId="0F020184" w14:textId="77777777" w:rsidR="001D5E1E" w:rsidRPr="0062161B" w:rsidRDefault="001D5E1E" w:rsidP="001D5E1E">
      <w:pPr>
        <w:pStyle w:val="HChG"/>
      </w:pPr>
      <w:r>
        <w:rPr>
          <w:bCs/>
        </w:rPr>
        <w:lastRenderedPageBreak/>
        <w:tab/>
        <w:t>II.</w:t>
      </w:r>
      <w:r>
        <w:tab/>
      </w:r>
      <w:r>
        <w:rPr>
          <w:bCs/>
        </w:rPr>
        <w:t>Таможенная конвенция о международной перевозке грузов с применением книжки МДП 1975 года (Конвенция МДП)</w:t>
      </w:r>
    </w:p>
    <w:p w14:paraId="5B00DDE6" w14:textId="5134BE23" w:rsidR="001D5E1E" w:rsidRPr="0062161B" w:rsidRDefault="001D5E1E" w:rsidP="001D5E1E">
      <w:pPr>
        <w:pStyle w:val="SingleTxtG"/>
      </w:pPr>
      <w:r>
        <w:t>2.</w:t>
      </w:r>
      <w:r>
        <w:tab/>
        <w:t xml:space="preserve">Под эгидой Организации Объединенных Наций проводится работа по содействию применению системы МДП для обеспечения ее широкой доступности для всех стран, желающих ее использовать. В 1984 году Экономический и социальный совет Организации Объединенных Наций (ЭКОСОС) принял резолюцию (1984/79), </w:t>
      </w:r>
      <w:r>
        <w:br/>
      </w:r>
      <w:r>
        <w:t xml:space="preserve">в которой рекомендовал странам мира изучить возможность присоединения к Конвенции и внедрения системы МДП. Кроме того, в резолюции международным, межправительственным и неправительственным организациям, и в частности региональным комиссиям Организации Объединенных Наций, было рекомендовано содействовать внедрению системы МДП в качестве глобальной системы таможенного транзита. </w:t>
      </w:r>
    </w:p>
    <w:p w14:paraId="4B4D9C31" w14:textId="77777777" w:rsidR="001D5E1E" w:rsidRPr="00C23E6E" w:rsidRDefault="001D5E1E" w:rsidP="001D5E1E">
      <w:pPr>
        <w:pStyle w:val="SingleTxtG"/>
      </w:pPr>
      <w:r>
        <w:t>3.</w:t>
      </w:r>
      <w:r>
        <w:tab/>
        <w:t xml:space="preserve">С 16 июня 2021 года Конвенция МДП 1975 года вступила в силу для Египта. Число договаривающихся сторон Конвенции достигло 77. Система МДП действует в 65 странах МДП. </w:t>
      </w:r>
    </w:p>
    <w:p w14:paraId="7B6DE342" w14:textId="557C9DDD" w:rsidR="001D5E1E" w:rsidRPr="0062161B" w:rsidRDefault="001D5E1E" w:rsidP="001D5E1E">
      <w:pPr>
        <w:pStyle w:val="SingleTxtG"/>
      </w:pPr>
      <w:r>
        <w:t>4.</w:t>
      </w:r>
      <w:r>
        <w:tab/>
        <w:t>Осуществление Конвенции МДП также может помочь странам в достижении многочисленных целей в области транзита, предусмотренных Соглашением об упрощении процедур торговли Всемирной торговой организации (СУПТ ВТО), которое вступило в силу 22 февраля 2017 года. С учетом как наличия и публикации информации, так и сотрудничества между таможенными администрациями (особенно в том, что касается беспрепятственного транзита) система МДП может и должна рассматриваться как ценный инструмент, призванный обеспечить выполнение вытекающих из СУПТ ВТО обязательств по упрощению процедур транзита.</w:t>
      </w:r>
    </w:p>
    <w:p w14:paraId="41B4448D" w14:textId="350F0337" w:rsidR="001D5E1E" w:rsidRPr="0062161B" w:rsidRDefault="001D5E1E" w:rsidP="001D5E1E">
      <w:pPr>
        <w:pStyle w:val="SingleTxtG"/>
      </w:pPr>
      <w:r>
        <w:t>5.</w:t>
      </w:r>
      <w:r>
        <w:tab/>
        <w:t>Кроме того, Канцелярия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w:t>
      </w:r>
      <w:proofErr w:type="spellStart"/>
      <w:r>
        <w:t>КВПНРМ</w:t>
      </w:r>
      <w:proofErr w:type="spellEnd"/>
      <w:r>
        <w:t xml:space="preserve"> ООН) отмечает наличи</w:t>
      </w:r>
      <w:r w:rsidR="004F024A">
        <w:t>е</w:t>
      </w:r>
      <w:r>
        <w:t xml:space="preserve"> потенциала, которым обладает система МДП для достижения целей Венской программы действий для развивающихся стран, не имеющих выхода к морю, на десятилетие 2014–2024 годов. Осуществление Конвенции МДП может сыграть важную роль в превращении стран, не имеющих выхода к морю, в страны, связанные сухопутными транспортными маршрутами, и, таким образом, способствовать значительному увеличению их торгового потенциала.</w:t>
      </w:r>
    </w:p>
    <w:p w14:paraId="3BB6AC84" w14:textId="187A75C6" w:rsidR="001D5E1E" w:rsidRPr="0062161B" w:rsidRDefault="001D5E1E" w:rsidP="001D5E1E">
      <w:pPr>
        <w:pStyle w:val="HChG"/>
      </w:pPr>
      <w:r>
        <w:rPr>
          <w:bCs/>
        </w:rPr>
        <w:tab/>
        <w:t>III.</w:t>
      </w:r>
      <w:r>
        <w:tab/>
      </w:r>
      <w:r>
        <w:rPr>
          <w:bCs/>
        </w:rPr>
        <w:t xml:space="preserve">На пути к электронной процедуре </w:t>
      </w:r>
      <w:proofErr w:type="spellStart"/>
      <w:r>
        <w:rPr>
          <w:bCs/>
        </w:rPr>
        <w:t>МДП</w:t>
      </w:r>
      <w:proofErr w:type="spellEnd"/>
      <w:r>
        <w:rPr>
          <w:bCs/>
        </w:rPr>
        <w:t xml:space="preserve"> и создани</w:t>
      </w:r>
      <w:r w:rsidR="004E30DF">
        <w:rPr>
          <w:bCs/>
        </w:rPr>
        <w:t>ю</w:t>
      </w:r>
      <w:r>
        <w:rPr>
          <w:bCs/>
        </w:rPr>
        <w:t xml:space="preserve"> международной системы </w:t>
      </w:r>
      <w:proofErr w:type="spellStart"/>
      <w:r>
        <w:rPr>
          <w:bCs/>
        </w:rPr>
        <w:t>eTIR</w:t>
      </w:r>
      <w:proofErr w:type="spellEnd"/>
      <w:r>
        <w:t xml:space="preserve"> </w:t>
      </w:r>
    </w:p>
    <w:p w14:paraId="6A050EE1" w14:textId="77777777" w:rsidR="001D5E1E" w:rsidRPr="0062161B" w:rsidRDefault="001D5E1E" w:rsidP="001D5E1E">
      <w:pPr>
        <w:pStyle w:val="SingleTxtG"/>
        <w:rPr>
          <w:b/>
        </w:rPr>
      </w:pPr>
      <w:r>
        <w:t>6.</w:t>
      </w:r>
      <w:r>
        <w:tab/>
        <w:t>На своей девяносто пятой сессии (19–23 июня 2000 года) Рабочая группа сочла, что следующим логическим шагом после завершения этапов I и II процесса пересмотра МДП является разработка административно-правовой основы режима МДП, позволяющей использовать современные информационные технологии, а также технологии управления и контроля, опирающиеся на высокоавтоматизированные и защищенные электронные процедуры. Рабочая группа признала, что компьютеризация процедуры МДП является неизбежной (TRANS/WP.30/190, пункт 26).</w:t>
      </w:r>
    </w:p>
    <w:p w14:paraId="5F18C027" w14:textId="2927B1F2" w:rsidR="001D5E1E" w:rsidRDefault="001D5E1E" w:rsidP="001D5E1E">
      <w:pPr>
        <w:pStyle w:val="SingleTxtG"/>
      </w:pPr>
      <w:r>
        <w:t>7.</w:t>
      </w:r>
      <w:r>
        <w:tab/>
        <w:t xml:space="preserve">В следующей таблице в обобщенном виде представлены основные этапы разработки приложения 11, а также концепций, функциональных и технических спецификаций международной системы eTIR начиная с 2000 года, когда WP.30 было принято решение о начале работы над электронной процедурой МДП. </w:t>
      </w:r>
    </w:p>
    <w:p w14:paraId="72E24CDB" w14:textId="77777777" w:rsidR="001D5E1E" w:rsidRDefault="001D5E1E">
      <w:pPr>
        <w:suppressAutoHyphens w:val="0"/>
        <w:spacing w:line="240" w:lineRule="auto"/>
        <w:rPr>
          <w:rFonts w:eastAsia="Times New Roman" w:cs="Times New Roman"/>
          <w:szCs w:val="20"/>
        </w:rPr>
      </w:pPr>
      <w:r>
        <w:br w:type="page"/>
      </w:r>
    </w:p>
    <w:tbl>
      <w:tblPr>
        <w:tblStyle w:val="ac"/>
        <w:tblW w:w="752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4"/>
        <w:gridCol w:w="4034"/>
        <w:gridCol w:w="2843"/>
      </w:tblGrid>
      <w:tr w:rsidR="001D5E1E" w:rsidRPr="0062161B" w14:paraId="49759B8E" w14:textId="77777777" w:rsidTr="001D5E1E">
        <w:trPr>
          <w:tblHeader/>
        </w:trPr>
        <w:tc>
          <w:tcPr>
            <w:tcW w:w="644" w:type="dxa"/>
            <w:tcBorders>
              <w:top w:val="single" w:sz="4" w:space="0" w:color="auto"/>
              <w:bottom w:val="single" w:sz="12" w:space="0" w:color="auto"/>
            </w:tcBorders>
            <w:shd w:val="clear" w:color="auto" w:fill="auto"/>
            <w:vAlign w:val="bottom"/>
          </w:tcPr>
          <w:p w14:paraId="53908005" w14:textId="77777777" w:rsidR="001D5E1E" w:rsidRPr="00F41D15" w:rsidRDefault="001D5E1E" w:rsidP="007D2906">
            <w:pPr>
              <w:spacing w:before="80" w:after="80" w:line="200" w:lineRule="exact"/>
              <w:ind w:right="113"/>
              <w:rPr>
                <w:i/>
                <w:sz w:val="16"/>
                <w:szCs w:val="16"/>
              </w:rPr>
            </w:pPr>
            <w:r w:rsidRPr="00F41D15">
              <w:rPr>
                <w:i/>
                <w:iCs/>
                <w:sz w:val="16"/>
                <w:szCs w:val="16"/>
              </w:rPr>
              <w:lastRenderedPageBreak/>
              <w:t>Год</w:t>
            </w:r>
          </w:p>
        </w:tc>
        <w:tc>
          <w:tcPr>
            <w:tcW w:w="4034" w:type="dxa"/>
            <w:tcBorders>
              <w:top w:val="single" w:sz="4" w:space="0" w:color="auto"/>
              <w:bottom w:val="single" w:sz="12" w:space="0" w:color="auto"/>
            </w:tcBorders>
            <w:shd w:val="clear" w:color="auto" w:fill="auto"/>
            <w:vAlign w:val="bottom"/>
          </w:tcPr>
          <w:p w14:paraId="698C1036" w14:textId="77777777" w:rsidR="001D5E1E" w:rsidRPr="00F41D15" w:rsidRDefault="001D5E1E" w:rsidP="007D2906">
            <w:pPr>
              <w:spacing w:before="80" w:after="80" w:line="200" w:lineRule="exact"/>
              <w:ind w:right="113"/>
              <w:rPr>
                <w:i/>
                <w:sz w:val="16"/>
                <w:szCs w:val="16"/>
              </w:rPr>
            </w:pPr>
            <w:r w:rsidRPr="00F41D15">
              <w:rPr>
                <w:i/>
                <w:iCs/>
                <w:sz w:val="16"/>
                <w:szCs w:val="16"/>
              </w:rPr>
              <w:t>Основные решения межправительственных органов</w:t>
            </w:r>
          </w:p>
        </w:tc>
        <w:tc>
          <w:tcPr>
            <w:tcW w:w="2843" w:type="dxa"/>
            <w:tcBorders>
              <w:top w:val="single" w:sz="4" w:space="0" w:color="auto"/>
              <w:bottom w:val="single" w:sz="12" w:space="0" w:color="auto"/>
            </w:tcBorders>
            <w:shd w:val="clear" w:color="auto" w:fill="auto"/>
            <w:vAlign w:val="bottom"/>
          </w:tcPr>
          <w:p w14:paraId="3D56E400" w14:textId="77777777" w:rsidR="001D5E1E" w:rsidRPr="0062161B" w:rsidRDefault="001D5E1E" w:rsidP="007D2906">
            <w:pPr>
              <w:spacing w:before="80" w:after="80" w:line="200" w:lineRule="exact"/>
              <w:ind w:right="113"/>
              <w:rPr>
                <w:i/>
                <w:sz w:val="16"/>
                <w:szCs w:val="16"/>
              </w:rPr>
            </w:pPr>
            <w:r w:rsidRPr="00F41D15">
              <w:rPr>
                <w:i/>
                <w:iCs/>
                <w:sz w:val="16"/>
                <w:szCs w:val="16"/>
              </w:rPr>
              <w:t>Утвержденные версии спецификаций международной системы eTIR</w:t>
            </w:r>
            <w:r w:rsidRPr="00F41D15">
              <w:rPr>
                <w:sz w:val="16"/>
                <w:szCs w:val="16"/>
              </w:rPr>
              <w:t xml:space="preserve"> </w:t>
            </w:r>
          </w:p>
        </w:tc>
      </w:tr>
      <w:tr w:rsidR="001D5E1E" w:rsidRPr="0062161B" w14:paraId="6F6B7630" w14:textId="77777777" w:rsidTr="001D5E1E">
        <w:trPr>
          <w:trHeight w:hRule="exact" w:val="113"/>
          <w:tblHeader/>
        </w:trPr>
        <w:tc>
          <w:tcPr>
            <w:tcW w:w="644" w:type="dxa"/>
            <w:tcBorders>
              <w:top w:val="single" w:sz="12" w:space="0" w:color="auto"/>
            </w:tcBorders>
            <w:shd w:val="clear" w:color="auto" w:fill="auto"/>
          </w:tcPr>
          <w:p w14:paraId="3FDD8255" w14:textId="77777777" w:rsidR="001D5E1E" w:rsidRPr="0062161B" w:rsidRDefault="001D5E1E" w:rsidP="007D2906">
            <w:pPr>
              <w:spacing w:before="40" w:after="120"/>
              <w:ind w:right="113"/>
            </w:pPr>
          </w:p>
        </w:tc>
        <w:tc>
          <w:tcPr>
            <w:tcW w:w="4034" w:type="dxa"/>
            <w:tcBorders>
              <w:top w:val="single" w:sz="12" w:space="0" w:color="auto"/>
            </w:tcBorders>
            <w:shd w:val="clear" w:color="auto" w:fill="auto"/>
          </w:tcPr>
          <w:p w14:paraId="2FDDD85D" w14:textId="77777777" w:rsidR="001D5E1E" w:rsidRPr="0062161B" w:rsidRDefault="001D5E1E" w:rsidP="007D2906">
            <w:pPr>
              <w:spacing w:before="40" w:after="120"/>
              <w:ind w:right="113"/>
            </w:pPr>
          </w:p>
        </w:tc>
        <w:tc>
          <w:tcPr>
            <w:tcW w:w="2843" w:type="dxa"/>
            <w:tcBorders>
              <w:top w:val="single" w:sz="12" w:space="0" w:color="auto"/>
            </w:tcBorders>
            <w:shd w:val="clear" w:color="auto" w:fill="auto"/>
          </w:tcPr>
          <w:p w14:paraId="6CC22752" w14:textId="77777777" w:rsidR="001D5E1E" w:rsidRPr="0062161B" w:rsidRDefault="001D5E1E" w:rsidP="007D2906">
            <w:pPr>
              <w:spacing w:before="40" w:after="120"/>
              <w:ind w:right="113"/>
            </w:pPr>
          </w:p>
        </w:tc>
      </w:tr>
      <w:tr w:rsidR="001D5E1E" w:rsidRPr="00C23E6E" w14:paraId="1D813411" w14:textId="77777777" w:rsidTr="001D5E1E">
        <w:tc>
          <w:tcPr>
            <w:tcW w:w="644" w:type="dxa"/>
            <w:shd w:val="clear" w:color="auto" w:fill="auto"/>
          </w:tcPr>
          <w:p w14:paraId="08A203F4" w14:textId="77777777" w:rsidR="001D5E1E" w:rsidRPr="00C23E6E" w:rsidRDefault="001D5E1E" w:rsidP="007D2906">
            <w:pPr>
              <w:spacing w:before="40" w:after="120"/>
              <w:ind w:right="113"/>
            </w:pPr>
            <w:r>
              <w:t>2000</w:t>
            </w:r>
          </w:p>
        </w:tc>
        <w:tc>
          <w:tcPr>
            <w:tcW w:w="4034" w:type="dxa"/>
            <w:shd w:val="clear" w:color="auto" w:fill="auto"/>
          </w:tcPr>
          <w:p w14:paraId="4A7E6C80" w14:textId="77777777" w:rsidR="001D5E1E" w:rsidRPr="0062161B" w:rsidRDefault="001D5E1E" w:rsidP="007D2906">
            <w:pPr>
              <w:spacing w:before="40" w:after="120"/>
              <w:ind w:right="113"/>
            </w:pPr>
            <w:r>
              <w:t xml:space="preserve">WP.30 приняла решение о начале работы над электронной процедурой МДП </w:t>
            </w:r>
          </w:p>
        </w:tc>
        <w:tc>
          <w:tcPr>
            <w:tcW w:w="2843" w:type="dxa"/>
            <w:shd w:val="clear" w:color="auto" w:fill="auto"/>
          </w:tcPr>
          <w:p w14:paraId="6F154190" w14:textId="00435B5E" w:rsidR="001D5E1E" w:rsidRPr="00C23E6E" w:rsidRDefault="001D5E1E" w:rsidP="007D2906">
            <w:pPr>
              <w:spacing w:before="40" w:after="120"/>
              <w:ind w:right="113"/>
            </w:pPr>
            <w:r>
              <w:rPr>
                <w:rFonts w:cs="Times New Roman"/>
              </w:rPr>
              <w:t>–</w:t>
            </w:r>
          </w:p>
        </w:tc>
      </w:tr>
      <w:tr w:rsidR="001D5E1E" w:rsidRPr="00C23E6E" w14:paraId="68E2CDB6" w14:textId="77777777" w:rsidTr="001D5E1E">
        <w:tc>
          <w:tcPr>
            <w:tcW w:w="644" w:type="dxa"/>
            <w:shd w:val="clear" w:color="auto" w:fill="auto"/>
          </w:tcPr>
          <w:p w14:paraId="00B7224F" w14:textId="77777777" w:rsidR="001D5E1E" w:rsidRPr="00C23E6E" w:rsidRDefault="001D5E1E" w:rsidP="007D2906">
            <w:pPr>
              <w:spacing w:before="40" w:after="120"/>
              <w:ind w:right="113"/>
            </w:pPr>
            <w:r>
              <w:t>2000</w:t>
            </w:r>
          </w:p>
        </w:tc>
        <w:tc>
          <w:tcPr>
            <w:tcW w:w="4034" w:type="dxa"/>
            <w:shd w:val="clear" w:color="auto" w:fill="auto"/>
          </w:tcPr>
          <w:p w14:paraId="0CABD1AC" w14:textId="77777777" w:rsidR="001D5E1E" w:rsidRPr="0062161B" w:rsidRDefault="001D5E1E" w:rsidP="007D2906">
            <w:pPr>
              <w:spacing w:before="40" w:after="120"/>
              <w:ind w:right="113"/>
            </w:pPr>
            <w:r>
              <w:t>WP.30 приняла решение учредить специальную группу экспертов по компьютеризации режима МДП</w:t>
            </w:r>
          </w:p>
        </w:tc>
        <w:tc>
          <w:tcPr>
            <w:tcW w:w="2843" w:type="dxa"/>
            <w:shd w:val="clear" w:color="auto" w:fill="auto"/>
          </w:tcPr>
          <w:p w14:paraId="369763F7" w14:textId="44D906E4" w:rsidR="001D5E1E" w:rsidRPr="00C23E6E" w:rsidRDefault="001D5E1E" w:rsidP="007D2906">
            <w:pPr>
              <w:spacing w:before="40" w:after="120"/>
              <w:ind w:right="113"/>
            </w:pPr>
            <w:r>
              <w:rPr>
                <w:rFonts w:cs="Times New Roman"/>
              </w:rPr>
              <w:t>–</w:t>
            </w:r>
          </w:p>
        </w:tc>
      </w:tr>
      <w:tr w:rsidR="001D5E1E" w:rsidRPr="0062161B" w14:paraId="70277587" w14:textId="77777777" w:rsidTr="001D5E1E">
        <w:tc>
          <w:tcPr>
            <w:tcW w:w="644" w:type="dxa"/>
            <w:vMerge w:val="restart"/>
            <w:shd w:val="clear" w:color="auto" w:fill="auto"/>
          </w:tcPr>
          <w:p w14:paraId="5FFAB281" w14:textId="77777777" w:rsidR="001D5E1E" w:rsidRPr="00C23E6E" w:rsidRDefault="001D5E1E" w:rsidP="007D2906">
            <w:pPr>
              <w:spacing w:before="40" w:after="120"/>
              <w:ind w:right="113"/>
            </w:pPr>
            <w:r>
              <w:t>2015</w:t>
            </w:r>
          </w:p>
        </w:tc>
        <w:tc>
          <w:tcPr>
            <w:tcW w:w="4034" w:type="dxa"/>
            <w:shd w:val="clear" w:color="auto" w:fill="auto"/>
          </w:tcPr>
          <w:p w14:paraId="2F9EF494" w14:textId="4ED1D9FF" w:rsidR="001D5E1E" w:rsidRPr="00C23E6E" w:rsidRDefault="001D5E1E" w:rsidP="007D2906">
            <w:pPr>
              <w:spacing w:before="40" w:after="120"/>
              <w:ind w:right="113"/>
            </w:pPr>
            <w:r>
              <w:t>WP.30 рассмотрела и одобрила версию</w:t>
            </w:r>
            <w:r>
              <w:rPr>
                <w:lang w:val="en-US"/>
              </w:rPr>
              <w:t> </w:t>
            </w:r>
            <w:r>
              <w:t>4.1 Справочной модели eTIR в качестве основы для будущей деятельности GE.2, а также для пилотных проектов</w:t>
            </w:r>
          </w:p>
        </w:tc>
        <w:tc>
          <w:tcPr>
            <w:tcW w:w="2843" w:type="dxa"/>
            <w:shd w:val="clear" w:color="auto" w:fill="auto"/>
          </w:tcPr>
          <w:p w14:paraId="001992F5" w14:textId="77777777" w:rsidR="001D5E1E" w:rsidRPr="0062161B" w:rsidRDefault="001D5E1E" w:rsidP="007D2906">
            <w:pPr>
              <w:spacing w:before="40" w:after="120"/>
              <w:ind w:right="113"/>
            </w:pPr>
            <w:r>
              <w:t xml:space="preserve">Была подготовлена версия 4.1 Справочной модели eTIR </w:t>
            </w:r>
          </w:p>
        </w:tc>
      </w:tr>
      <w:tr w:rsidR="001D5E1E" w:rsidRPr="00C23E6E" w14:paraId="04AFC72B" w14:textId="77777777" w:rsidTr="001D5E1E">
        <w:tc>
          <w:tcPr>
            <w:tcW w:w="644" w:type="dxa"/>
            <w:vMerge/>
            <w:shd w:val="clear" w:color="auto" w:fill="auto"/>
          </w:tcPr>
          <w:p w14:paraId="34D4A28C" w14:textId="77777777" w:rsidR="001D5E1E" w:rsidRPr="0062161B" w:rsidRDefault="001D5E1E" w:rsidP="007D2906">
            <w:pPr>
              <w:spacing w:before="40" w:after="120"/>
              <w:ind w:right="113"/>
            </w:pPr>
          </w:p>
        </w:tc>
        <w:tc>
          <w:tcPr>
            <w:tcW w:w="4034" w:type="dxa"/>
            <w:shd w:val="clear" w:color="auto" w:fill="auto"/>
          </w:tcPr>
          <w:p w14:paraId="5C6CA8B4" w14:textId="77777777" w:rsidR="001D5E1E" w:rsidRPr="0062161B" w:rsidRDefault="001D5E1E" w:rsidP="007D2906">
            <w:pPr>
              <w:spacing w:before="40" w:after="120"/>
              <w:ind w:right="113"/>
            </w:pPr>
            <w:r>
              <w:t xml:space="preserve">ЕЭК и Международный союз автомобильного транспорта (МСАТ) подписали Меморандум о взаимопонимании (МоВ) в целях осуществления пилотных проектов на основе версии 4.1 </w:t>
            </w:r>
          </w:p>
        </w:tc>
        <w:tc>
          <w:tcPr>
            <w:tcW w:w="2843" w:type="dxa"/>
            <w:shd w:val="clear" w:color="auto" w:fill="auto"/>
          </w:tcPr>
          <w:p w14:paraId="4F90E50B" w14:textId="4664451D" w:rsidR="001D5E1E" w:rsidRPr="00C23E6E" w:rsidRDefault="001D5E1E" w:rsidP="007D2906">
            <w:pPr>
              <w:spacing w:before="40" w:after="120"/>
              <w:ind w:right="113"/>
            </w:pPr>
            <w:r>
              <w:rPr>
                <w:rFonts w:cs="Times New Roman"/>
              </w:rPr>
              <w:t>–</w:t>
            </w:r>
          </w:p>
        </w:tc>
      </w:tr>
      <w:tr w:rsidR="001D5E1E" w:rsidRPr="00C23E6E" w14:paraId="70E47B5E" w14:textId="77777777" w:rsidTr="001D5E1E">
        <w:tc>
          <w:tcPr>
            <w:tcW w:w="644" w:type="dxa"/>
            <w:vMerge/>
            <w:shd w:val="clear" w:color="auto" w:fill="auto"/>
          </w:tcPr>
          <w:p w14:paraId="66786CDF" w14:textId="77777777" w:rsidR="001D5E1E" w:rsidRPr="00C23E6E" w:rsidRDefault="001D5E1E" w:rsidP="007D2906">
            <w:pPr>
              <w:spacing w:before="40" w:after="120"/>
              <w:ind w:right="113"/>
            </w:pPr>
          </w:p>
        </w:tc>
        <w:tc>
          <w:tcPr>
            <w:tcW w:w="4034" w:type="dxa"/>
            <w:shd w:val="clear" w:color="auto" w:fill="auto"/>
          </w:tcPr>
          <w:p w14:paraId="34F5A651" w14:textId="77777777" w:rsidR="001D5E1E" w:rsidRPr="0062161B" w:rsidRDefault="001D5E1E" w:rsidP="007D2906">
            <w:pPr>
              <w:spacing w:before="40" w:after="120"/>
              <w:ind w:right="113"/>
            </w:pPr>
            <w:r>
              <w:t xml:space="preserve">Учреждение Группы экспертов по правовым аспектам компьютеризации процедуры МДП (GE.2) для разработки нового приложения 11 к Конвенции </w:t>
            </w:r>
          </w:p>
        </w:tc>
        <w:tc>
          <w:tcPr>
            <w:tcW w:w="2843" w:type="dxa"/>
            <w:shd w:val="clear" w:color="auto" w:fill="auto"/>
          </w:tcPr>
          <w:p w14:paraId="4EFA3C34" w14:textId="053EDC0D" w:rsidR="001D5E1E" w:rsidRPr="00C23E6E" w:rsidRDefault="001D5E1E" w:rsidP="007D2906">
            <w:pPr>
              <w:spacing w:before="40" w:after="120"/>
              <w:ind w:right="113"/>
            </w:pPr>
            <w:r>
              <w:rPr>
                <w:rFonts w:cs="Times New Roman"/>
              </w:rPr>
              <w:t>–</w:t>
            </w:r>
          </w:p>
        </w:tc>
      </w:tr>
      <w:tr w:rsidR="001D5E1E" w:rsidRPr="0062161B" w14:paraId="5E470AC3" w14:textId="77777777" w:rsidTr="001D5E1E">
        <w:tc>
          <w:tcPr>
            <w:tcW w:w="644" w:type="dxa"/>
            <w:vMerge w:val="restart"/>
            <w:shd w:val="clear" w:color="auto" w:fill="auto"/>
          </w:tcPr>
          <w:p w14:paraId="085DB53F" w14:textId="77777777" w:rsidR="001D5E1E" w:rsidRPr="00C23E6E" w:rsidRDefault="001D5E1E" w:rsidP="007D2906">
            <w:pPr>
              <w:spacing w:before="40" w:after="120"/>
              <w:ind w:right="113"/>
            </w:pPr>
            <w:r>
              <w:t>2017</w:t>
            </w:r>
          </w:p>
        </w:tc>
        <w:tc>
          <w:tcPr>
            <w:tcW w:w="4034" w:type="dxa"/>
            <w:shd w:val="clear" w:color="auto" w:fill="auto"/>
          </w:tcPr>
          <w:p w14:paraId="0DFEDB2D" w14:textId="77777777" w:rsidR="001D5E1E" w:rsidRPr="0062161B" w:rsidRDefault="001D5E1E" w:rsidP="007D2906">
            <w:pPr>
              <w:spacing w:before="40" w:after="120"/>
              <w:ind w:right="113"/>
            </w:pPr>
            <w:r>
              <w:t>Подписание нового Меморандума о взаимопонимании между ЕЭК и МСАТ для разработки eTIR (пятилетний проект)</w:t>
            </w:r>
          </w:p>
        </w:tc>
        <w:tc>
          <w:tcPr>
            <w:tcW w:w="2843" w:type="dxa"/>
            <w:vMerge w:val="restart"/>
            <w:shd w:val="clear" w:color="auto" w:fill="auto"/>
          </w:tcPr>
          <w:p w14:paraId="052B040D" w14:textId="77777777" w:rsidR="001D5E1E" w:rsidRPr="0062161B" w:rsidRDefault="001D5E1E" w:rsidP="007D2906">
            <w:pPr>
              <w:spacing w:before="40" w:after="120"/>
              <w:ind w:right="113"/>
            </w:pPr>
            <w:r>
              <w:t>Версия 4.2 спецификаций eTIR была подготовлена, но не утверждена АС.2</w:t>
            </w:r>
          </w:p>
        </w:tc>
      </w:tr>
      <w:tr w:rsidR="001D5E1E" w:rsidRPr="0062161B" w14:paraId="065DE953" w14:textId="77777777" w:rsidTr="001D5E1E">
        <w:tc>
          <w:tcPr>
            <w:tcW w:w="644" w:type="dxa"/>
            <w:vMerge/>
            <w:shd w:val="clear" w:color="auto" w:fill="auto"/>
          </w:tcPr>
          <w:p w14:paraId="6674C2D7" w14:textId="77777777" w:rsidR="001D5E1E" w:rsidRPr="0062161B" w:rsidRDefault="001D5E1E" w:rsidP="007D2906">
            <w:pPr>
              <w:spacing w:before="40" w:after="120"/>
              <w:ind w:right="113"/>
            </w:pPr>
          </w:p>
        </w:tc>
        <w:tc>
          <w:tcPr>
            <w:tcW w:w="4034" w:type="dxa"/>
            <w:shd w:val="clear" w:color="auto" w:fill="auto"/>
          </w:tcPr>
          <w:p w14:paraId="28639071" w14:textId="77777777" w:rsidR="001D5E1E" w:rsidRPr="0062161B" w:rsidRDefault="001D5E1E" w:rsidP="007D2906">
            <w:pPr>
              <w:spacing w:before="40" w:after="120"/>
              <w:ind w:right="113"/>
            </w:pPr>
            <w:r>
              <w:t>Группа экспертов по правовым аспектам компьютеризации процедуры МДП (GE.2) завершила выполнение своего мандата</w:t>
            </w:r>
          </w:p>
        </w:tc>
        <w:tc>
          <w:tcPr>
            <w:tcW w:w="2843" w:type="dxa"/>
            <w:vMerge/>
            <w:shd w:val="clear" w:color="auto" w:fill="auto"/>
          </w:tcPr>
          <w:p w14:paraId="0EA90CD4" w14:textId="77777777" w:rsidR="001D5E1E" w:rsidRPr="0062161B" w:rsidRDefault="001D5E1E" w:rsidP="007D2906">
            <w:pPr>
              <w:spacing w:before="40" w:after="120"/>
              <w:ind w:right="113"/>
            </w:pPr>
          </w:p>
        </w:tc>
      </w:tr>
      <w:tr w:rsidR="001D5E1E" w:rsidRPr="00C23E6E" w14:paraId="64D75C25" w14:textId="77777777" w:rsidTr="001D5E1E">
        <w:tc>
          <w:tcPr>
            <w:tcW w:w="644" w:type="dxa"/>
            <w:shd w:val="clear" w:color="auto" w:fill="auto"/>
          </w:tcPr>
          <w:p w14:paraId="5BCCD37E" w14:textId="77777777" w:rsidR="001D5E1E" w:rsidRPr="00C23E6E" w:rsidRDefault="001D5E1E" w:rsidP="007D2906">
            <w:pPr>
              <w:spacing w:before="40" w:after="120"/>
              <w:ind w:right="113"/>
            </w:pPr>
            <w:r>
              <w:t>2020</w:t>
            </w:r>
          </w:p>
        </w:tc>
        <w:tc>
          <w:tcPr>
            <w:tcW w:w="4034" w:type="dxa"/>
            <w:shd w:val="clear" w:color="auto" w:fill="auto"/>
          </w:tcPr>
          <w:p w14:paraId="5BDA6768" w14:textId="77777777" w:rsidR="001D5E1E" w:rsidRPr="0062161B" w:rsidRDefault="001D5E1E" w:rsidP="007D2906">
            <w:pPr>
              <w:spacing w:before="40" w:after="120"/>
              <w:ind w:right="113"/>
            </w:pPr>
            <w:r>
              <w:t>Принятие Административным комитетом приложения 11 и различных предложений по поправкам к тексту Конвенции</w:t>
            </w:r>
          </w:p>
        </w:tc>
        <w:tc>
          <w:tcPr>
            <w:tcW w:w="2843" w:type="dxa"/>
            <w:shd w:val="clear" w:color="auto" w:fill="auto"/>
          </w:tcPr>
          <w:p w14:paraId="64BDEA6E" w14:textId="41E7FDFB" w:rsidR="001D5E1E" w:rsidRPr="00C23E6E" w:rsidRDefault="001D5E1E" w:rsidP="007D2906">
            <w:pPr>
              <w:spacing w:before="40" w:after="120"/>
              <w:ind w:right="113"/>
            </w:pPr>
            <w:r>
              <w:rPr>
                <w:rFonts w:cs="Times New Roman"/>
              </w:rPr>
              <w:t>–</w:t>
            </w:r>
          </w:p>
        </w:tc>
      </w:tr>
      <w:tr w:rsidR="001D5E1E" w:rsidRPr="0062161B" w14:paraId="3107439D" w14:textId="77777777" w:rsidTr="001D5E1E">
        <w:tc>
          <w:tcPr>
            <w:tcW w:w="644" w:type="dxa"/>
            <w:vMerge w:val="restart"/>
            <w:shd w:val="clear" w:color="auto" w:fill="auto"/>
          </w:tcPr>
          <w:p w14:paraId="34F6DDA5" w14:textId="77777777" w:rsidR="001D5E1E" w:rsidRPr="00C23E6E" w:rsidRDefault="001D5E1E" w:rsidP="007D2906">
            <w:pPr>
              <w:spacing w:before="40" w:after="120"/>
              <w:ind w:right="113"/>
            </w:pPr>
            <w:r>
              <w:t>2021</w:t>
            </w:r>
          </w:p>
        </w:tc>
        <w:tc>
          <w:tcPr>
            <w:tcW w:w="4034" w:type="dxa"/>
            <w:shd w:val="clear" w:color="auto" w:fill="auto"/>
          </w:tcPr>
          <w:p w14:paraId="7DA1D37C" w14:textId="77777777" w:rsidR="001D5E1E" w:rsidRPr="00C23E6E" w:rsidRDefault="001D5E1E" w:rsidP="007D2906">
            <w:pPr>
              <w:spacing w:before="40" w:after="120"/>
              <w:ind w:right="113"/>
            </w:pPr>
            <w:r>
              <w:t>Приложение 11 вступило в силу</w:t>
            </w:r>
          </w:p>
        </w:tc>
        <w:tc>
          <w:tcPr>
            <w:tcW w:w="2843" w:type="dxa"/>
            <w:vMerge w:val="restart"/>
            <w:shd w:val="clear" w:color="auto" w:fill="auto"/>
          </w:tcPr>
          <w:p w14:paraId="443B465D" w14:textId="28C0FF8D" w:rsidR="001D5E1E" w:rsidRPr="0062161B" w:rsidRDefault="001D5E1E" w:rsidP="007D2906">
            <w:pPr>
              <w:spacing w:before="40" w:after="120"/>
              <w:ind w:right="113"/>
            </w:pPr>
            <w:r>
              <w:t xml:space="preserve">Версия 4.3 спецификаций eTIR (концепции, функциональные и технические спецификации) впервые была подготовлена в виде сводных документов на трех официальных языках ЕЭК </w:t>
            </w:r>
          </w:p>
        </w:tc>
      </w:tr>
      <w:tr w:rsidR="001D5E1E" w:rsidRPr="0062161B" w14:paraId="7723933B" w14:textId="77777777" w:rsidTr="001D5E1E">
        <w:tc>
          <w:tcPr>
            <w:tcW w:w="644" w:type="dxa"/>
            <w:vMerge/>
            <w:shd w:val="clear" w:color="auto" w:fill="auto"/>
          </w:tcPr>
          <w:p w14:paraId="7EB9B21A" w14:textId="77777777" w:rsidR="001D5E1E" w:rsidRPr="0062161B" w:rsidRDefault="001D5E1E" w:rsidP="007D2906">
            <w:pPr>
              <w:spacing w:before="40" w:after="120"/>
              <w:ind w:right="113"/>
            </w:pPr>
          </w:p>
        </w:tc>
        <w:tc>
          <w:tcPr>
            <w:tcW w:w="4034" w:type="dxa"/>
            <w:shd w:val="clear" w:color="auto" w:fill="auto"/>
          </w:tcPr>
          <w:p w14:paraId="34F28802" w14:textId="77777777" w:rsidR="001D5E1E" w:rsidRPr="0062161B" w:rsidRDefault="001D5E1E" w:rsidP="007D2906">
            <w:pPr>
              <w:spacing w:before="40" w:after="120"/>
              <w:ind w:right="113"/>
            </w:pPr>
            <w:r>
              <w:t xml:space="preserve">На основе версии 4.3 секретариат МДП разработал международную систему eTIR </w:t>
            </w:r>
          </w:p>
        </w:tc>
        <w:tc>
          <w:tcPr>
            <w:tcW w:w="2843" w:type="dxa"/>
            <w:vMerge/>
            <w:shd w:val="clear" w:color="auto" w:fill="auto"/>
          </w:tcPr>
          <w:p w14:paraId="5758723E" w14:textId="77777777" w:rsidR="001D5E1E" w:rsidRPr="0062161B" w:rsidRDefault="001D5E1E" w:rsidP="007D2906">
            <w:pPr>
              <w:spacing w:before="40" w:after="120"/>
              <w:ind w:right="113"/>
            </w:pPr>
          </w:p>
        </w:tc>
      </w:tr>
      <w:tr w:rsidR="001D5E1E" w:rsidRPr="00C23E6E" w14:paraId="01E00C81" w14:textId="77777777" w:rsidTr="001D5E1E">
        <w:tc>
          <w:tcPr>
            <w:tcW w:w="644" w:type="dxa"/>
            <w:vMerge/>
            <w:shd w:val="clear" w:color="auto" w:fill="auto"/>
          </w:tcPr>
          <w:p w14:paraId="2AD42F0D" w14:textId="77777777" w:rsidR="001D5E1E" w:rsidRPr="0062161B" w:rsidRDefault="001D5E1E" w:rsidP="007D2906">
            <w:pPr>
              <w:spacing w:before="40" w:after="120"/>
              <w:ind w:right="113"/>
            </w:pPr>
          </w:p>
        </w:tc>
        <w:tc>
          <w:tcPr>
            <w:tcW w:w="4034" w:type="dxa"/>
            <w:shd w:val="clear" w:color="auto" w:fill="auto"/>
          </w:tcPr>
          <w:p w14:paraId="291DDFDD" w14:textId="491B1E73" w:rsidR="001D5E1E" w:rsidRPr="00C23E6E" w:rsidRDefault="001D5E1E" w:rsidP="007D2906">
            <w:pPr>
              <w:spacing w:before="40" w:after="120"/>
              <w:ind w:right="113"/>
            </w:pPr>
            <w:r>
              <w:t>Учреждение Технического органа по осуществлению (ТОО), создание которого было предусмотрено в приложении 11</w:t>
            </w:r>
          </w:p>
        </w:tc>
        <w:tc>
          <w:tcPr>
            <w:tcW w:w="2843" w:type="dxa"/>
            <w:vMerge/>
            <w:shd w:val="clear" w:color="auto" w:fill="auto"/>
          </w:tcPr>
          <w:p w14:paraId="7A21E877" w14:textId="77777777" w:rsidR="001D5E1E" w:rsidRPr="00C23E6E" w:rsidRDefault="001D5E1E" w:rsidP="007D2906">
            <w:pPr>
              <w:spacing w:before="40" w:after="120"/>
              <w:ind w:right="113"/>
            </w:pPr>
          </w:p>
        </w:tc>
      </w:tr>
      <w:tr w:rsidR="001D5E1E" w:rsidRPr="0062161B" w14:paraId="4E444A71" w14:textId="77777777" w:rsidTr="001D5E1E">
        <w:tc>
          <w:tcPr>
            <w:tcW w:w="644" w:type="dxa"/>
            <w:vMerge/>
            <w:shd w:val="clear" w:color="auto" w:fill="auto"/>
          </w:tcPr>
          <w:p w14:paraId="0B4C5A4D" w14:textId="77777777" w:rsidR="001D5E1E" w:rsidRPr="00C23E6E" w:rsidRDefault="001D5E1E" w:rsidP="007D2906">
            <w:pPr>
              <w:spacing w:before="40" w:after="120"/>
              <w:ind w:right="113"/>
            </w:pPr>
          </w:p>
        </w:tc>
        <w:tc>
          <w:tcPr>
            <w:tcW w:w="4034" w:type="dxa"/>
            <w:shd w:val="clear" w:color="auto" w:fill="auto"/>
          </w:tcPr>
          <w:p w14:paraId="0B31009D" w14:textId="306BEB0F" w:rsidR="001D5E1E" w:rsidRPr="0062161B" w:rsidRDefault="001D5E1E" w:rsidP="007D2906">
            <w:pPr>
              <w:spacing w:before="40" w:after="120"/>
              <w:ind w:right="113"/>
            </w:pPr>
            <w:r>
              <w:t xml:space="preserve">С учетом новых изменений (вступление в силу приложения 11) был проведен пересмотр и обновление МоВ 2017 года, заключенного между ЕЭК и МСАТ, и срок его действия был продлен еще на два года </w:t>
            </w:r>
            <w:r>
              <w:rPr>
                <w:rFonts w:cs="Times New Roman"/>
              </w:rPr>
              <w:t>—</w:t>
            </w:r>
            <w:r>
              <w:t xml:space="preserve"> до 2024 года включительно</w:t>
            </w:r>
          </w:p>
        </w:tc>
        <w:tc>
          <w:tcPr>
            <w:tcW w:w="2843" w:type="dxa"/>
            <w:vMerge/>
            <w:shd w:val="clear" w:color="auto" w:fill="auto"/>
          </w:tcPr>
          <w:p w14:paraId="71F139D3" w14:textId="77777777" w:rsidR="001D5E1E" w:rsidRPr="0062161B" w:rsidRDefault="001D5E1E" w:rsidP="007D2906">
            <w:pPr>
              <w:spacing w:before="40" w:after="120"/>
              <w:ind w:right="113"/>
            </w:pPr>
          </w:p>
        </w:tc>
      </w:tr>
      <w:tr w:rsidR="001D5E1E" w:rsidRPr="00C23E6E" w14:paraId="2475BBDD" w14:textId="77777777" w:rsidTr="001D5E1E">
        <w:tc>
          <w:tcPr>
            <w:tcW w:w="644" w:type="dxa"/>
            <w:vMerge w:val="restart"/>
            <w:shd w:val="clear" w:color="auto" w:fill="auto"/>
          </w:tcPr>
          <w:p w14:paraId="2CE8AE7D" w14:textId="77777777" w:rsidR="001D5E1E" w:rsidRPr="00C23E6E" w:rsidRDefault="001D5E1E" w:rsidP="007D2906">
            <w:pPr>
              <w:spacing w:before="40" w:after="120"/>
              <w:ind w:right="113"/>
            </w:pPr>
            <w:r>
              <w:t>2022</w:t>
            </w:r>
          </w:p>
        </w:tc>
        <w:tc>
          <w:tcPr>
            <w:tcW w:w="4034" w:type="dxa"/>
            <w:shd w:val="clear" w:color="auto" w:fill="auto"/>
          </w:tcPr>
          <w:p w14:paraId="757AB84A" w14:textId="77777777" w:rsidR="001D5E1E" w:rsidRPr="0062161B" w:rsidRDefault="001D5E1E" w:rsidP="007D2906">
            <w:pPr>
              <w:spacing w:before="40" w:after="120"/>
              <w:ind w:right="113"/>
            </w:pPr>
            <w:r>
              <w:t xml:space="preserve">Начало реализации проектов по подключению международной системы eTIR к национальным таможенным системам </w:t>
            </w:r>
          </w:p>
        </w:tc>
        <w:tc>
          <w:tcPr>
            <w:tcW w:w="2843" w:type="dxa"/>
            <w:shd w:val="clear" w:color="auto" w:fill="auto"/>
          </w:tcPr>
          <w:p w14:paraId="7FFCE8A3" w14:textId="6BCEAC75" w:rsidR="001D5E1E" w:rsidRPr="00C23E6E" w:rsidRDefault="001D5E1E" w:rsidP="007D2906">
            <w:pPr>
              <w:spacing w:before="40" w:after="120"/>
              <w:ind w:right="113"/>
            </w:pPr>
            <w:r>
              <w:t>На своей первой сессии (январь</w:t>
            </w:r>
            <w:r w:rsidR="00135B55">
              <w:t> </w:t>
            </w:r>
            <w:r>
              <w:t>2022 года) ТОО принял</w:t>
            </w:r>
            <w:r w:rsidR="00135B55">
              <w:t> </w:t>
            </w:r>
            <w:r>
              <w:t>версию</w:t>
            </w:r>
            <w:r w:rsidR="00135B55">
              <w:t> </w:t>
            </w:r>
            <w:r>
              <w:t xml:space="preserve">4.3 технических спецификаций </w:t>
            </w:r>
            <w:proofErr w:type="spellStart"/>
            <w:r>
              <w:t>eTIR</w:t>
            </w:r>
            <w:proofErr w:type="spellEnd"/>
            <w:r>
              <w:t xml:space="preserve"> и подтвердил их соответствие версии 4.3 концепций </w:t>
            </w:r>
            <w:proofErr w:type="spellStart"/>
            <w:r>
              <w:t>eTIR</w:t>
            </w:r>
            <w:proofErr w:type="spellEnd"/>
            <w:r>
              <w:t xml:space="preserve"> и</w:t>
            </w:r>
            <w:r w:rsidR="00C87C05">
              <w:t> </w:t>
            </w:r>
            <w:r>
              <w:t xml:space="preserve">функциональных спецификаций </w:t>
            </w:r>
            <w:proofErr w:type="spellStart"/>
            <w:r>
              <w:t>eTIR</w:t>
            </w:r>
            <w:proofErr w:type="spellEnd"/>
          </w:p>
        </w:tc>
      </w:tr>
      <w:tr w:rsidR="001D5E1E" w:rsidRPr="0062161B" w14:paraId="68A021FD" w14:textId="77777777" w:rsidTr="001D5E1E">
        <w:tc>
          <w:tcPr>
            <w:tcW w:w="644" w:type="dxa"/>
            <w:vMerge/>
            <w:shd w:val="clear" w:color="auto" w:fill="auto"/>
          </w:tcPr>
          <w:p w14:paraId="53B4D07F" w14:textId="77777777" w:rsidR="001D5E1E" w:rsidRPr="00C23E6E" w:rsidRDefault="001D5E1E" w:rsidP="007D2906">
            <w:pPr>
              <w:spacing w:before="40" w:after="120"/>
              <w:ind w:right="113"/>
            </w:pPr>
          </w:p>
        </w:tc>
        <w:tc>
          <w:tcPr>
            <w:tcW w:w="4034" w:type="dxa"/>
            <w:shd w:val="clear" w:color="auto" w:fill="auto"/>
          </w:tcPr>
          <w:p w14:paraId="5AAF6F5A" w14:textId="37256AA7" w:rsidR="001D5E1E" w:rsidRPr="0062161B" w:rsidRDefault="001D5E1E" w:rsidP="007D2906">
            <w:pPr>
              <w:spacing w:before="40" w:after="120"/>
              <w:ind w:right="113"/>
            </w:pPr>
            <w:r>
              <w:t>Азербайджан, Грузия, Пакистан, Тунис, Турция, Узбекистан и МСАТ завершили проекты по подключению. Армения завершила исследование, посвященное анализу требований. Для подключения международной системы МДП к НКТС Европейского союза была подготовлена соответствующая проверка концепции, согласованная с Европейской комиссией</w:t>
            </w:r>
          </w:p>
        </w:tc>
        <w:tc>
          <w:tcPr>
            <w:tcW w:w="2843" w:type="dxa"/>
            <w:vMerge w:val="restart"/>
            <w:shd w:val="clear" w:color="auto" w:fill="auto"/>
          </w:tcPr>
          <w:p w14:paraId="174FBA05" w14:textId="749F6024" w:rsidR="001D5E1E" w:rsidRPr="0062161B" w:rsidRDefault="001D5E1E" w:rsidP="007D2906">
            <w:pPr>
              <w:spacing w:before="40" w:after="120"/>
              <w:ind w:right="113"/>
            </w:pPr>
            <w:r>
              <w:t>На своей семьдесят седьмой сессии (февраль 2022 года) AC.2 утвердил концепции eTIR и функциональные спецификации eTIR. Это обеспечило полноценную правовую и техническую основу для тех стран, которые желают как можно скорее внедрить процедуру eTIR</w:t>
            </w:r>
          </w:p>
        </w:tc>
      </w:tr>
      <w:tr w:rsidR="001D5E1E" w:rsidRPr="0062161B" w14:paraId="2E9C0441" w14:textId="77777777" w:rsidTr="001D5E1E">
        <w:tc>
          <w:tcPr>
            <w:tcW w:w="644" w:type="dxa"/>
            <w:vMerge/>
            <w:shd w:val="clear" w:color="auto" w:fill="auto"/>
          </w:tcPr>
          <w:p w14:paraId="6244CE62" w14:textId="77777777" w:rsidR="001D5E1E" w:rsidRPr="0062161B" w:rsidRDefault="001D5E1E" w:rsidP="007D2906">
            <w:pPr>
              <w:spacing w:before="40" w:after="120"/>
              <w:ind w:right="113"/>
            </w:pPr>
          </w:p>
        </w:tc>
        <w:tc>
          <w:tcPr>
            <w:tcW w:w="4034" w:type="dxa"/>
            <w:shd w:val="clear" w:color="auto" w:fill="auto"/>
          </w:tcPr>
          <w:p w14:paraId="04AE7FE3" w14:textId="31795818" w:rsidR="001D5E1E" w:rsidRPr="0062161B" w:rsidRDefault="001D5E1E" w:rsidP="007D2906">
            <w:pPr>
              <w:spacing w:before="40" w:after="120"/>
              <w:ind w:right="113"/>
            </w:pPr>
            <w:r>
              <w:t xml:space="preserve">Азербайджан, Грузия, Пакистан, Тунис, Узбекистан и МСАТ завершили проведение проверок соответствия, и процедура eTIR начала функционировать в этих странах </w:t>
            </w:r>
          </w:p>
        </w:tc>
        <w:tc>
          <w:tcPr>
            <w:tcW w:w="2843" w:type="dxa"/>
            <w:vMerge/>
            <w:shd w:val="clear" w:color="auto" w:fill="auto"/>
          </w:tcPr>
          <w:p w14:paraId="356CEBBA" w14:textId="77777777" w:rsidR="001D5E1E" w:rsidRPr="0062161B" w:rsidRDefault="001D5E1E" w:rsidP="007D2906">
            <w:pPr>
              <w:spacing w:before="40" w:after="120"/>
              <w:ind w:right="113"/>
            </w:pPr>
          </w:p>
        </w:tc>
      </w:tr>
      <w:tr w:rsidR="001D5E1E" w:rsidRPr="0062161B" w14:paraId="1E342D2A" w14:textId="77777777" w:rsidTr="001D5E1E">
        <w:tc>
          <w:tcPr>
            <w:tcW w:w="644" w:type="dxa"/>
            <w:vMerge/>
            <w:tcBorders>
              <w:bottom w:val="single" w:sz="12" w:space="0" w:color="auto"/>
            </w:tcBorders>
            <w:shd w:val="clear" w:color="auto" w:fill="auto"/>
          </w:tcPr>
          <w:p w14:paraId="325C089B" w14:textId="77777777" w:rsidR="001D5E1E" w:rsidRPr="0062161B" w:rsidRDefault="001D5E1E" w:rsidP="007D2906">
            <w:pPr>
              <w:spacing w:before="40" w:after="120"/>
              <w:ind w:right="113"/>
            </w:pPr>
          </w:p>
        </w:tc>
        <w:tc>
          <w:tcPr>
            <w:tcW w:w="4034" w:type="dxa"/>
            <w:tcBorders>
              <w:bottom w:val="single" w:sz="12" w:space="0" w:color="auto"/>
            </w:tcBorders>
            <w:shd w:val="clear" w:color="auto" w:fill="auto"/>
          </w:tcPr>
          <w:p w14:paraId="0FC2F7BB" w14:textId="173558E1" w:rsidR="001D5E1E" w:rsidRPr="0062161B" w:rsidRDefault="001D5E1E" w:rsidP="007D2906">
            <w:pPr>
              <w:spacing w:before="40" w:after="120"/>
              <w:ind w:right="113"/>
            </w:pPr>
            <w:r>
              <w:t>Между Азербайджаном и Грузией была осуществлена первая в истории перевозка в режиме eTIR на основе Конвенции, что стало началом новой эры для системы МДП</w:t>
            </w:r>
          </w:p>
        </w:tc>
        <w:tc>
          <w:tcPr>
            <w:tcW w:w="2843" w:type="dxa"/>
            <w:vMerge/>
            <w:tcBorders>
              <w:bottom w:val="single" w:sz="12" w:space="0" w:color="auto"/>
            </w:tcBorders>
            <w:shd w:val="clear" w:color="auto" w:fill="auto"/>
          </w:tcPr>
          <w:p w14:paraId="45A6771B" w14:textId="77777777" w:rsidR="001D5E1E" w:rsidRPr="0062161B" w:rsidRDefault="001D5E1E" w:rsidP="007D2906">
            <w:pPr>
              <w:spacing w:before="40" w:after="120"/>
              <w:ind w:right="113"/>
            </w:pPr>
          </w:p>
        </w:tc>
      </w:tr>
    </w:tbl>
    <w:p w14:paraId="52B55C61" w14:textId="74EE5FEB" w:rsidR="001D5E1E" w:rsidRPr="0062161B" w:rsidRDefault="001D5E1E" w:rsidP="001D5E1E">
      <w:pPr>
        <w:pStyle w:val="SingleTxtG"/>
        <w:spacing w:before="240"/>
      </w:pPr>
      <w:r>
        <w:t>8.</w:t>
      </w:r>
      <w:r>
        <w:tab/>
        <w:t xml:space="preserve">Конечная цель компьютеризации процедуры МДП включает компьютеризацию всего жизненного цикла книжки МДП (от ее распространения и выдачи до перевозки МДП, возвращения и хранения книжки), и в конечном счете она должна быть направлена на замену нынешней бумажной книжки МДП без изменения базовой концепции Конвенции МДП. Для оптимизации работы по решению этой непростой задачи договаривающимися сторонами была достигнута договоренность о том, что подход к процессу компьютеризации должен быть сосредоточен на создании международной централизованной базы данных, призванной предоставить таможенным органам возможность управлять данными о гарантиях и осуществлять обмен информацией между таможенными администрациями, </w:t>
      </w:r>
      <w:r w:rsidR="00D454D5">
        <w:t>т. е.</w:t>
      </w:r>
      <w:r>
        <w:t xml:space="preserve"> охватить два элемента цикла использования книжки МДП, которые до сих пор не были компьютеризированы.</w:t>
      </w:r>
    </w:p>
    <w:p w14:paraId="12A5D0F4" w14:textId="77777777" w:rsidR="001D5E1E" w:rsidRPr="0062161B" w:rsidRDefault="001D5E1E" w:rsidP="001D5E1E">
      <w:pPr>
        <w:pStyle w:val="SingleTxtG"/>
      </w:pPr>
      <w:r>
        <w:t>9.</w:t>
      </w:r>
      <w:r>
        <w:tab/>
        <w:t>Держатели книжек или их представители должны направлять свои предварительные данные МДП и предварительные данные об изменениях только тем странам, в которых перевозка МДП</w:t>
      </w:r>
      <w:r w:rsidRPr="00727A0E">
        <w:t xml:space="preserve"> </w:t>
      </w:r>
      <w:r>
        <w:t>начинается. Держатель может направить эту информацию непосредственно в страну начала перевозки, используя национальные механизмы декларирования. В качестве альтернативы держатель может использовать национальную таможенною систему в стране своего постоянного местопребывания для направления деклараций в третьи страны (для таможенных систем предусмотрена такая факультативная возможность), воспользоваться имеющимся в международной системе eTIR механизмом декларирования или использовать иные частные услуги. Для этого в функциональных спецификациях eTIR определены стандартные сообщения.</w:t>
      </w:r>
    </w:p>
    <w:p w14:paraId="7E4DE0B3" w14:textId="3E4C5F4C" w:rsidR="001D5E1E" w:rsidRPr="0062161B" w:rsidRDefault="001D5E1E" w:rsidP="001D5E1E">
      <w:pPr>
        <w:pStyle w:val="SingleTxtG"/>
      </w:pPr>
      <w:r>
        <w:t>10.</w:t>
      </w:r>
      <w:r>
        <w:tab/>
        <w:t>В приложении 11 и спецификациях eTIR содержится набор положений и инструкций по осуществлению процедуры eTIR. Однако, если какое-либо конкретное положение приложения 11 не заменяет и не дополняет то или иное положение Конвенции МДП, то к процедуре eTIR применяются mutatis mutandis все положения Конвенции МДП, в том числе касающиеся допущения международной организации, национальных объединений, транспортных операторов и транспортных средств, организации и функционирования системы гарантий и управления претензиями.</w:t>
      </w:r>
    </w:p>
    <w:p w14:paraId="0CB23ED9" w14:textId="03938E97" w:rsidR="001D5E1E" w:rsidRPr="0062161B" w:rsidRDefault="001D5E1E" w:rsidP="001D5E1E">
      <w:pPr>
        <w:pStyle w:val="SingleTxtG"/>
      </w:pPr>
      <w:r>
        <w:t>11.</w:t>
      </w:r>
      <w:r>
        <w:tab/>
        <w:t>Вместе с тем надлежащее осуществление процедуры eTIR заменяет юридические требования в отношении представления данных, изложенные в пунктах</w:t>
      </w:r>
      <w:r>
        <w:rPr>
          <w:lang w:val="en-US"/>
        </w:rPr>
        <w:t> </w:t>
      </w:r>
      <w:r>
        <w:t xml:space="preserve">1, 3 и 4 приложения 10, а в приложении 11 содержатся конкретные положения, касающиеся административного сопровождения спецификаций eTIR. </w:t>
      </w:r>
    </w:p>
    <w:p w14:paraId="023E31FF" w14:textId="5CE8CA78" w:rsidR="001D5E1E" w:rsidRPr="0062161B" w:rsidRDefault="001D5E1E" w:rsidP="001D5E1E">
      <w:pPr>
        <w:pStyle w:val="1"/>
        <w:spacing w:before="240" w:after="120"/>
        <w:ind w:left="1134"/>
        <w:jc w:val="left"/>
        <w:rPr>
          <w:b w:val="0"/>
          <w:bCs w:val="0"/>
        </w:rPr>
      </w:pPr>
      <w:r w:rsidRPr="001D5E1E">
        <w:rPr>
          <w:b w:val="0"/>
          <w:bCs w:val="0"/>
        </w:rPr>
        <w:lastRenderedPageBreak/>
        <w:t>Рисунок</w:t>
      </w:r>
      <w:r>
        <w:rPr>
          <w:b w:val="0"/>
          <w:bCs w:val="0"/>
        </w:rPr>
        <w:br/>
      </w:r>
      <w:r>
        <w:t>Высокоуровневая архитектура международной системы eTIR</w:t>
      </w:r>
    </w:p>
    <w:tbl>
      <w:tblPr>
        <w:tblStyle w:val="ac"/>
        <w:tblW w:w="7371" w:type="dxa"/>
        <w:jc w:val="center"/>
        <w:tblLayout w:type="fixed"/>
        <w:tblLook w:val="04A0" w:firstRow="1" w:lastRow="0" w:firstColumn="1" w:lastColumn="0" w:noHBand="0" w:noVBand="1"/>
      </w:tblPr>
      <w:tblGrid>
        <w:gridCol w:w="7371"/>
      </w:tblGrid>
      <w:tr w:rsidR="001D5E1E" w:rsidRPr="00C23E6E" w14:paraId="4747E578" w14:textId="77777777" w:rsidTr="00577D8E">
        <w:trPr>
          <w:jc w:val="center"/>
        </w:trPr>
        <w:tc>
          <w:tcPr>
            <w:tcW w:w="7371" w:type="dxa"/>
          </w:tcPr>
          <w:p w14:paraId="2710B6F7" w14:textId="77777777" w:rsidR="001D5E1E" w:rsidRPr="00C23E6E" w:rsidRDefault="001D5E1E" w:rsidP="001D5E1E">
            <w:pPr>
              <w:pStyle w:val="SingleTxtG"/>
              <w:ind w:left="142" w:right="87"/>
              <w:jc w:val="center"/>
            </w:pPr>
            <w:r>
              <w:rPr>
                <w:noProof/>
              </w:rPr>
              <w:drawing>
                <wp:inline distT="0" distB="0" distL="0" distR="0" wp14:anchorId="7E0FB4DB" wp14:editId="4DC7353E">
                  <wp:extent cx="4606181" cy="3190808"/>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755"/>
                          <a:stretch/>
                        </pic:blipFill>
                        <pic:spPr bwMode="auto">
                          <a:xfrm>
                            <a:off x="0" y="0"/>
                            <a:ext cx="4703221" cy="32580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3AFEDE" w14:textId="77777777" w:rsidR="001D5E1E" w:rsidRPr="0062161B" w:rsidRDefault="001D5E1E" w:rsidP="001D5E1E">
      <w:pPr>
        <w:pStyle w:val="SingleTxtG"/>
        <w:spacing w:before="120"/>
      </w:pPr>
      <w:r>
        <w:t>12.</w:t>
      </w:r>
      <w:r>
        <w:tab/>
        <w:t>Международная система eTIR призвана обеспечить таможням возможность осуществлять управление данными о гарантиях и защищенный обмен между национальными таможенными системами данными, касающимися международного транзита грузов, транспортных средств и/или контейнеров, в соответствии с положениями Конвенции МДП. Таким образом, с помощью международной системы eTIR осуществляется управление лишь частью информационного потока, необходимого для функционирования процедуры eTIR.</w:t>
      </w:r>
    </w:p>
    <w:p w14:paraId="6E504F0E" w14:textId="77777777" w:rsidR="001D5E1E" w:rsidRPr="0062161B" w:rsidRDefault="001D5E1E" w:rsidP="001D5E1E">
      <w:pPr>
        <w:pStyle w:val="SingleTxtG"/>
      </w:pPr>
      <w:r>
        <w:t>13.</w:t>
      </w:r>
      <w:r>
        <w:tab/>
        <w:t>С одной стороны, гарантийная цепь передает в международную систему eTIR информацию о гарантиях, которые она предоставила держателям, с тем чтобы они могли быть зарегистрированы в международной системе eTIR. Гарантийная цепь может также в любое время направить запрос о статусе выданных ею гарантий и получить информацию о соответствующих перевозках МДП. С другой стороны, таможенные органы используют международную систему eTIR для проверки статуса гарантий и для обмена информацией, связанной с перевозками МДП и операциями МДП.</w:t>
      </w:r>
    </w:p>
    <w:p w14:paraId="19F5C612" w14:textId="77777777" w:rsidR="001D5E1E" w:rsidRPr="0062161B" w:rsidRDefault="001D5E1E" w:rsidP="001D5E1E">
      <w:pPr>
        <w:pStyle w:val="SingleTxtG"/>
      </w:pPr>
      <w:r>
        <w:t>14.</w:t>
      </w:r>
      <w:r>
        <w:tab/>
        <w:t>Таким образом, двумя основополагающими элементами международной системы eTIR являются таможенное управление данными о гарантиях и защищенный обмен данными между национальными таможенными системами в связи с информацией о перевозке МДП. Кроме того, в приложении I подробно описаны механизмы декларирования, позволяющие держателю представлять таможенным органам предварительные данные МДП и предварительные данные об изменениях.</w:t>
      </w:r>
    </w:p>
    <w:p w14:paraId="04BC6F4B" w14:textId="77777777" w:rsidR="001D5E1E" w:rsidRPr="0062161B" w:rsidRDefault="001D5E1E" w:rsidP="001D5E1E">
      <w:pPr>
        <w:pStyle w:val="SingleTxtG"/>
      </w:pPr>
      <w:r>
        <w:t>15.</w:t>
      </w:r>
      <w:r>
        <w:tab/>
        <w:t>Таможенное управление данными о гарантиях требует четкого взаимодействия между гарантийной цепью и международной системой еTIR. Гарантийная цепь направляет в международную систему еTIR информацию о каждой выданной гарантии. Регистрация этой информации в международной системе еTIR зависит от результатов контроля в Международном банке данных МДП (МБДМДП) в отношении уполномоченных держателей.</w:t>
      </w:r>
    </w:p>
    <w:p w14:paraId="4C06400D" w14:textId="77777777" w:rsidR="001D5E1E" w:rsidRPr="0062161B" w:rsidRDefault="001D5E1E" w:rsidP="001D5E1E">
      <w:pPr>
        <w:pStyle w:val="SingleTxtG"/>
      </w:pPr>
      <w:r>
        <w:t>16.</w:t>
      </w:r>
      <w:r>
        <w:tab/>
        <w:t xml:space="preserve">Система еTIR построена вокруг центральной платформы — международной системы еTIR, — которая включает аппаратное и программное обеспечение, в том числе базы данных и веб-сервисы, при этом ее разработку и хостинг осуществляет секретариат МДП ЕЭК. Базы данных служат для хранения информации и предоставления доступа к ней и выполняют функции репозитория для всей информации, касающейся системы МДП, тогда как веб-услуги обеспечивают </w:t>
      </w:r>
      <w:r>
        <w:lastRenderedPageBreak/>
        <w:t>эффективное и защищенное взаимодействие между договаривающимися сторонами, гарантийной цепью и центральной платформой. Международная система eTIR обеспечивает хранение и архивирование данных в течение периода продолжительностью не менее десяти [10] лет.</w:t>
      </w:r>
    </w:p>
    <w:p w14:paraId="26D40838" w14:textId="77777777" w:rsidR="001D5E1E" w:rsidRPr="0062161B" w:rsidRDefault="001D5E1E" w:rsidP="001D5E1E">
      <w:pPr>
        <w:pStyle w:val="SingleTxtG"/>
      </w:pPr>
      <w:r>
        <w:t>17.</w:t>
      </w:r>
      <w:r>
        <w:tab/>
        <w:t xml:space="preserve">Хотя внедрение процедуры eTIR (приложение 11) не лишает транспортных операторов возможности продолжать использовать бумажные книжки МДП, более широкие возможности, предоставляемые процедурой eTIR, должны послужить для транспортных операторов стимулом к постепенному переходу на ее использование на тех маршрутах, где это возможно. Тем не менее, прежде чем на том или ином маршруте процедуру МДП можно будет заменить процедурой eTIR, все стороны, участвующие в перевозке МДП, должны быть в состоянии осуществлять обмен данными декларации, данными об операции МДП и данными о гарантиях в безопасном режиме. </w:t>
      </w:r>
    </w:p>
    <w:p w14:paraId="2F4C097D" w14:textId="5CA495D5" w:rsidR="001D5E1E" w:rsidRPr="0062161B" w:rsidRDefault="001D5E1E" w:rsidP="001D5E1E">
      <w:pPr>
        <w:pStyle w:val="SingleTxtG"/>
      </w:pPr>
      <w:r>
        <w:t>18.</w:t>
      </w:r>
      <w:r>
        <w:tab/>
        <w:t xml:space="preserve">Кроме того, таможенная администрация должна обеспечить национальным и иностранным транспортным операторам возможность представления предварительных данных МДП и предварительных данных об изменениях. Таким образом, для перевозок МДП с участием стран, которые еще не подключены к международной системе eTIR, использование бумажных книжек МДП останется единственной возможностью воспользоваться преимуществами Конвенции МДП. </w:t>
      </w:r>
      <w:r w:rsidR="00CC6152">
        <w:br/>
      </w:r>
      <w:r>
        <w:t>С учетом широкого географического охвата Конвенции МДП и различий в уровнях технологического развития задействованных стран и требований таможенных союзов продолжительность переходного периода может меняться от страны к стране.</w:t>
      </w:r>
    </w:p>
    <w:p w14:paraId="1314BC48" w14:textId="77777777" w:rsidR="001D5E1E" w:rsidRPr="0062161B" w:rsidRDefault="001D5E1E" w:rsidP="001D5E1E">
      <w:pPr>
        <w:pStyle w:val="HChG"/>
      </w:pPr>
      <w:r>
        <w:rPr>
          <w:bCs/>
        </w:rPr>
        <w:tab/>
        <w:t>IV.</w:t>
      </w:r>
      <w:r>
        <w:tab/>
      </w:r>
      <w:r>
        <w:rPr>
          <w:bCs/>
        </w:rPr>
        <w:t>Рассмотрение Комитетом</w:t>
      </w:r>
    </w:p>
    <w:p w14:paraId="1D87CEA8" w14:textId="4EA8DF59" w:rsidR="001D5E1E" w:rsidRPr="0062161B" w:rsidRDefault="001D5E1E" w:rsidP="001D5E1E">
      <w:pPr>
        <w:pStyle w:val="SingleTxtG"/>
      </w:pPr>
      <w:r>
        <w:t>19.</w:t>
      </w:r>
      <w:r>
        <w:tab/>
        <w:t xml:space="preserve">Комитет, возможно, пожелает принять к сведению информацию о ходе работы, касающейся внедрения процедуры </w:t>
      </w:r>
      <w:proofErr w:type="spellStart"/>
      <w:r>
        <w:t>eTIR</w:t>
      </w:r>
      <w:proofErr w:type="spellEnd"/>
      <w:r>
        <w:t xml:space="preserve"> и Международного банка данных </w:t>
      </w:r>
      <w:proofErr w:type="spellStart"/>
      <w:r>
        <w:t>МДП</w:t>
      </w:r>
      <w:proofErr w:type="spellEnd"/>
      <w:r>
        <w:t xml:space="preserve">, </w:t>
      </w:r>
      <w:r w:rsidR="002B0566">
        <w:br/>
      </w:r>
      <w:r>
        <w:t>в рамках которой уже была достигнута одна из основных целей повестки дня КВТ на период до 2030 года, и предложить договаривающимся сторонам МДП, которые еще не сделали этого, подключить свои национальные таможенные системы к международной системе eTIR при первой же удобной оперативной возможности.</w:t>
      </w:r>
    </w:p>
    <w:p w14:paraId="6AE0DCA7" w14:textId="0D041AB7" w:rsidR="001D5E1E" w:rsidRPr="001D5E1E" w:rsidRDefault="001D5E1E" w:rsidP="001D5E1E">
      <w:pPr>
        <w:spacing w:before="240"/>
        <w:jc w:val="center"/>
        <w:rPr>
          <w:u w:val="single"/>
        </w:rPr>
      </w:pPr>
      <w:r>
        <w:rPr>
          <w:u w:val="single"/>
        </w:rPr>
        <w:tab/>
      </w:r>
      <w:r>
        <w:rPr>
          <w:u w:val="single"/>
        </w:rPr>
        <w:tab/>
      </w:r>
      <w:r>
        <w:rPr>
          <w:u w:val="single"/>
        </w:rPr>
        <w:tab/>
      </w:r>
    </w:p>
    <w:sectPr w:rsidR="001D5E1E" w:rsidRPr="001D5E1E" w:rsidSect="001D5E1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F049" w14:textId="77777777" w:rsidR="00C0290C" w:rsidRPr="00A312BC" w:rsidRDefault="00C0290C" w:rsidP="00A312BC"/>
  </w:endnote>
  <w:endnote w:type="continuationSeparator" w:id="0">
    <w:p w14:paraId="021899A4" w14:textId="77777777" w:rsidR="00C0290C" w:rsidRPr="00A312BC" w:rsidRDefault="00C029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50D6" w14:textId="2666259F" w:rsidR="001D5E1E" w:rsidRPr="001D5E1E" w:rsidRDefault="001D5E1E">
    <w:pPr>
      <w:pStyle w:val="a8"/>
    </w:pPr>
    <w:r w:rsidRPr="001D5E1E">
      <w:rPr>
        <w:b/>
        <w:sz w:val="18"/>
      </w:rPr>
      <w:fldChar w:fldCharType="begin"/>
    </w:r>
    <w:r w:rsidRPr="001D5E1E">
      <w:rPr>
        <w:b/>
        <w:sz w:val="18"/>
      </w:rPr>
      <w:instrText xml:space="preserve"> PAGE  \* MERGEFORMAT </w:instrText>
    </w:r>
    <w:r w:rsidRPr="001D5E1E">
      <w:rPr>
        <w:b/>
        <w:sz w:val="18"/>
      </w:rPr>
      <w:fldChar w:fldCharType="separate"/>
    </w:r>
    <w:r w:rsidRPr="001D5E1E">
      <w:rPr>
        <w:b/>
        <w:noProof/>
        <w:sz w:val="18"/>
      </w:rPr>
      <w:t>2</w:t>
    </w:r>
    <w:r w:rsidRPr="001D5E1E">
      <w:rPr>
        <w:b/>
        <w:sz w:val="18"/>
      </w:rPr>
      <w:fldChar w:fldCharType="end"/>
    </w:r>
    <w:r>
      <w:rPr>
        <w:b/>
        <w:sz w:val="18"/>
      </w:rPr>
      <w:tab/>
    </w:r>
    <w:r>
      <w:t>GE.22-27934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1A8F" w14:textId="29A51643" w:rsidR="001D5E1E" w:rsidRPr="001D5E1E" w:rsidRDefault="001D5E1E" w:rsidP="001D5E1E">
    <w:pPr>
      <w:pStyle w:val="a8"/>
      <w:tabs>
        <w:tab w:val="clear" w:pos="9639"/>
        <w:tab w:val="right" w:pos="9638"/>
      </w:tabs>
      <w:rPr>
        <w:b/>
        <w:sz w:val="18"/>
      </w:rPr>
    </w:pPr>
    <w:r>
      <w:t>GE.22-27934</w:t>
    </w:r>
    <w:r>
      <w:tab/>
    </w:r>
    <w:r w:rsidRPr="001D5E1E">
      <w:rPr>
        <w:b/>
        <w:sz w:val="18"/>
      </w:rPr>
      <w:fldChar w:fldCharType="begin"/>
    </w:r>
    <w:r w:rsidRPr="001D5E1E">
      <w:rPr>
        <w:b/>
        <w:sz w:val="18"/>
      </w:rPr>
      <w:instrText xml:space="preserve"> PAGE  \* MERGEFORMAT </w:instrText>
    </w:r>
    <w:r w:rsidRPr="001D5E1E">
      <w:rPr>
        <w:b/>
        <w:sz w:val="18"/>
      </w:rPr>
      <w:fldChar w:fldCharType="separate"/>
    </w:r>
    <w:r w:rsidRPr="001D5E1E">
      <w:rPr>
        <w:b/>
        <w:noProof/>
        <w:sz w:val="18"/>
      </w:rPr>
      <w:t>3</w:t>
    </w:r>
    <w:r w:rsidRPr="001D5E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BBA" w14:textId="36103D82" w:rsidR="00042B72" w:rsidRPr="001D5E1E" w:rsidRDefault="001D5E1E" w:rsidP="001D5E1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B35675E" wp14:editId="0428852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22-27934  (R)</w:t>
    </w:r>
    <w:r>
      <w:rPr>
        <w:noProof/>
      </w:rPr>
      <w:drawing>
        <wp:anchor distT="0" distB="0" distL="114300" distR="114300" simplePos="0" relativeHeight="251659264" behindDoc="0" locked="0" layoutInCell="1" allowOverlap="1" wp14:anchorId="18B9F9DF" wp14:editId="1BFA51C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141222  141222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4751" w14:textId="77777777" w:rsidR="00C0290C" w:rsidRPr="001075E9" w:rsidRDefault="00C0290C" w:rsidP="001075E9">
      <w:pPr>
        <w:tabs>
          <w:tab w:val="right" w:pos="2155"/>
        </w:tabs>
        <w:spacing w:after="80" w:line="240" w:lineRule="auto"/>
        <w:ind w:left="680"/>
        <w:rPr>
          <w:u w:val="single"/>
        </w:rPr>
      </w:pPr>
      <w:r>
        <w:rPr>
          <w:u w:val="single"/>
        </w:rPr>
        <w:tab/>
      </w:r>
    </w:p>
  </w:footnote>
  <w:footnote w:type="continuationSeparator" w:id="0">
    <w:p w14:paraId="7DB5E47B" w14:textId="77777777" w:rsidR="00C0290C" w:rsidRDefault="00C0290C"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C5FD" w14:textId="5A5E11EC" w:rsidR="001D5E1E" w:rsidRPr="001D5E1E" w:rsidRDefault="001D5E1E">
    <w:pPr>
      <w:pStyle w:val="a5"/>
    </w:pPr>
    <w:r>
      <w:fldChar w:fldCharType="begin"/>
    </w:r>
    <w:r>
      <w:instrText xml:space="preserve"> TITLE  \* MERGEFORMAT </w:instrText>
    </w:r>
    <w:r>
      <w:fldChar w:fldCharType="separate"/>
    </w:r>
    <w:proofErr w:type="spellStart"/>
    <w:r w:rsidR="00677DB3">
      <w:t>ECE</w:t>
    </w:r>
    <w:proofErr w:type="spellEnd"/>
    <w:r w:rsidR="00677DB3">
      <w:t>/TRANS/2023/29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5789" w14:textId="3B21D717" w:rsidR="001D5E1E" w:rsidRPr="001D5E1E" w:rsidRDefault="001D5E1E" w:rsidP="001D5E1E">
    <w:pPr>
      <w:pStyle w:val="a5"/>
      <w:jc w:val="right"/>
    </w:pPr>
    <w:r>
      <w:fldChar w:fldCharType="begin"/>
    </w:r>
    <w:r>
      <w:instrText xml:space="preserve"> TITLE  \* MERGEFORMAT </w:instrText>
    </w:r>
    <w:r>
      <w:fldChar w:fldCharType="separate"/>
    </w:r>
    <w:proofErr w:type="spellStart"/>
    <w:r w:rsidR="00677DB3">
      <w:t>ECE</w:t>
    </w:r>
    <w:proofErr w:type="spellEnd"/>
    <w:r w:rsidR="00677DB3">
      <w:t>/TRANS/2023/29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0C"/>
    <w:rsid w:val="00033EE1"/>
    <w:rsid w:val="00042B72"/>
    <w:rsid w:val="000501F2"/>
    <w:rsid w:val="000558BD"/>
    <w:rsid w:val="000B57E7"/>
    <w:rsid w:val="000B6373"/>
    <w:rsid w:val="000E4E5B"/>
    <w:rsid w:val="000F09DF"/>
    <w:rsid w:val="000F61B2"/>
    <w:rsid w:val="001075E9"/>
    <w:rsid w:val="00135B55"/>
    <w:rsid w:val="0014152F"/>
    <w:rsid w:val="00180183"/>
    <w:rsid w:val="0018024D"/>
    <w:rsid w:val="0018649F"/>
    <w:rsid w:val="00196389"/>
    <w:rsid w:val="001B3EF6"/>
    <w:rsid w:val="001C7A89"/>
    <w:rsid w:val="001D5E1E"/>
    <w:rsid w:val="00255343"/>
    <w:rsid w:val="0027151D"/>
    <w:rsid w:val="002A2EFC"/>
    <w:rsid w:val="002B0106"/>
    <w:rsid w:val="002B0566"/>
    <w:rsid w:val="002B74B1"/>
    <w:rsid w:val="002C0E18"/>
    <w:rsid w:val="002D5AAC"/>
    <w:rsid w:val="002E4BDA"/>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E30DF"/>
    <w:rsid w:val="004F024A"/>
    <w:rsid w:val="0050108D"/>
    <w:rsid w:val="00513081"/>
    <w:rsid w:val="00517901"/>
    <w:rsid w:val="00526683"/>
    <w:rsid w:val="00526DB8"/>
    <w:rsid w:val="005301B0"/>
    <w:rsid w:val="005639C1"/>
    <w:rsid w:val="005709E0"/>
    <w:rsid w:val="00572E19"/>
    <w:rsid w:val="00577D8E"/>
    <w:rsid w:val="005961C8"/>
    <w:rsid w:val="005966F1"/>
    <w:rsid w:val="005D7914"/>
    <w:rsid w:val="005E2B41"/>
    <w:rsid w:val="005F0B42"/>
    <w:rsid w:val="005F55B5"/>
    <w:rsid w:val="00617A43"/>
    <w:rsid w:val="006345DB"/>
    <w:rsid w:val="00640F49"/>
    <w:rsid w:val="00677DB3"/>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0290C"/>
    <w:rsid w:val="00C106D6"/>
    <w:rsid w:val="00C119AE"/>
    <w:rsid w:val="00C23186"/>
    <w:rsid w:val="00C60F0C"/>
    <w:rsid w:val="00C71E84"/>
    <w:rsid w:val="00C805C9"/>
    <w:rsid w:val="00C87C05"/>
    <w:rsid w:val="00C92939"/>
    <w:rsid w:val="00CA1679"/>
    <w:rsid w:val="00CB151C"/>
    <w:rsid w:val="00CC6152"/>
    <w:rsid w:val="00CE5A1A"/>
    <w:rsid w:val="00CF55F6"/>
    <w:rsid w:val="00D33D63"/>
    <w:rsid w:val="00D42CE0"/>
    <w:rsid w:val="00D454D5"/>
    <w:rsid w:val="00D5253A"/>
    <w:rsid w:val="00D873A8"/>
    <w:rsid w:val="00D90028"/>
    <w:rsid w:val="00D90138"/>
    <w:rsid w:val="00D9145B"/>
    <w:rsid w:val="00DB1F14"/>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2B426"/>
  <w15:docId w15:val="{D6E08E83-AA38-49BB-8802-F6E3B47A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1D5E1E"/>
    <w:rPr>
      <w:b/>
      <w:sz w:val="28"/>
      <w:lang w:val="ru-RU" w:eastAsia="ru-RU"/>
    </w:rPr>
  </w:style>
  <w:style w:type="character" w:customStyle="1" w:styleId="H1GChar">
    <w:name w:val="_ H_1_G Char"/>
    <w:link w:val="H1G"/>
    <w:rsid w:val="001D5E1E"/>
    <w:rPr>
      <w:b/>
      <w:sz w:val="24"/>
      <w:lang w:val="ru-RU" w:eastAsia="ru-RU"/>
    </w:rPr>
  </w:style>
  <w:style w:type="character" w:customStyle="1" w:styleId="SingleTxtGChar">
    <w:name w:val="_ Single Txt_G Char"/>
    <w:link w:val="SingleTxtG"/>
    <w:qFormat/>
    <w:rsid w:val="001D5E1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6</Pages>
  <Words>1867</Words>
  <Characters>12812</Characters>
  <Application>Microsoft Office Word</Application>
  <DocSecurity>0</DocSecurity>
  <Lines>1164</Lines>
  <Paragraphs>489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ECE/TRANS/2023/29</vt:lpstr>
      <vt:lpstr>A/</vt:lpstr>
      <vt:lpstr>A/</vt:lpstr>
    </vt:vector>
  </TitlesOfParts>
  <Company>DCM</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ECE/TRANS/2023/29</dc:title>
  <dc:subject/>
  <dc:creator>Anna PETELINA</dc:creator>
  <cp:keywords/>
  <cp:lastModifiedBy>Anna Petelina</cp:lastModifiedBy>
  <cp:revision>3</cp:revision>
  <cp:lastPrinted>2022-12-14T14:36:00Z</cp:lastPrinted>
  <dcterms:created xsi:type="dcterms:W3CDTF">2022-12-14T14:35:00Z</dcterms:created>
  <dcterms:modified xsi:type="dcterms:W3CDTF">2022-12-14T14:36:00Z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