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F30F7" w14:paraId="5DC57B11" w14:textId="77777777" w:rsidTr="00A27C92">
        <w:trPr>
          <w:trHeight w:hRule="exact" w:val="851"/>
        </w:trPr>
        <w:tc>
          <w:tcPr>
            <w:tcW w:w="9639" w:type="dxa"/>
            <w:gridSpan w:val="2"/>
            <w:tcBorders>
              <w:bottom w:val="single" w:sz="4" w:space="0" w:color="auto"/>
            </w:tcBorders>
            <w:shd w:val="clear" w:color="auto" w:fill="auto"/>
            <w:vAlign w:val="bottom"/>
          </w:tcPr>
          <w:p w14:paraId="41365E1E" w14:textId="77777777" w:rsidR="009E5C2D" w:rsidRPr="009E5C2D" w:rsidRDefault="009E5C2D" w:rsidP="009E5C2D">
            <w:pPr>
              <w:jc w:val="right"/>
              <w:rPr>
                <w:lang w:val="en-US"/>
              </w:rPr>
            </w:pPr>
            <w:r w:rsidRPr="009E5C2D">
              <w:rPr>
                <w:sz w:val="40"/>
                <w:lang w:val="en-US"/>
              </w:rPr>
              <w:t>E</w:t>
            </w:r>
            <w:r w:rsidRPr="009E5C2D">
              <w:rPr>
                <w:lang w:val="en-US"/>
              </w:rPr>
              <w:t>/ECE/324/Rev.1/Add.62/Rev.1/Amend.5−</w:t>
            </w:r>
            <w:r w:rsidRPr="009E5C2D">
              <w:rPr>
                <w:sz w:val="40"/>
                <w:lang w:val="en-US"/>
              </w:rPr>
              <w:t>E</w:t>
            </w:r>
            <w:r w:rsidRPr="009E5C2D">
              <w:rPr>
                <w:lang w:val="en-US"/>
              </w:rPr>
              <w:t>/ECE/TRANS/505/Rev.1/Add.62/Rev.1/Amend.5</w:t>
            </w:r>
          </w:p>
        </w:tc>
      </w:tr>
      <w:tr w:rsidR="00421A10" w:rsidRPr="00DB58B5" w14:paraId="2638035C" w14:textId="77777777" w:rsidTr="00A27C92">
        <w:trPr>
          <w:trHeight w:hRule="exact" w:val="2835"/>
        </w:trPr>
        <w:tc>
          <w:tcPr>
            <w:tcW w:w="6804" w:type="dxa"/>
            <w:tcBorders>
              <w:top w:val="single" w:sz="4" w:space="0" w:color="auto"/>
              <w:bottom w:val="single" w:sz="12" w:space="0" w:color="auto"/>
            </w:tcBorders>
            <w:shd w:val="clear" w:color="auto" w:fill="auto"/>
          </w:tcPr>
          <w:p w14:paraId="7C0F10AA" w14:textId="77777777" w:rsidR="00421A10" w:rsidRPr="009E5C2D"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8FF53A0" w14:textId="77777777" w:rsidR="00421A10" w:rsidRPr="00DB58B5" w:rsidRDefault="009E5C2D" w:rsidP="00A27C92">
            <w:pPr>
              <w:spacing w:before="480" w:line="240" w:lineRule="exact"/>
            </w:pPr>
            <w:r>
              <w:t>11 novembre 2022</w:t>
            </w:r>
          </w:p>
        </w:tc>
      </w:tr>
    </w:tbl>
    <w:p w14:paraId="4DE598EB" w14:textId="77777777" w:rsidR="00421A10" w:rsidRPr="006549FF" w:rsidRDefault="0029791D" w:rsidP="0029791D">
      <w:pPr>
        <w:pStyle w:val="HChG"/>
      </w:pPr>
      <w:r>
        <w:tab/>
      </w:r>
      <w:r>
        <w:tab/>
      </w:r>
      <w:r w:rsidR="00421A10" w:rsidRPr="006549FF">
        <w:t>Accord</w:t>
      </w:r>
    </w:p>
    <w:p w14:paraId="7C28478F" w14:textId="5FA5EC32" w:rsidR="00421A10" w:rsidRPr="00583D68" w:rsidRDefault="0029791D" w:rsidP="0029791D">
      <w:pPr>
        <w:pStyle w:val="H1G"/>
      </w:pPr>
      <w:r>
        <w:tab/>
      </w:r>
      <w:r>
        <w:tab/>
      </w:r>
      <w:r w:rsidR="00421A10" w:rsidRPr="00583D68">
        <w:t xml:space="preserve">Concernant l’adoption </w:t>
      </w:r>
      <w:r w:rsidR="009E5C2D" w:rsidRPr="004C1020">
        <w:rPr>
          <w:szCs w:val="18"/>
          <w:lang w:val="fr-FR"/>
        </w:rPr>
        <w:t xml:space="preserve">de Règlements techniques harmonisés </w:t>
      </w:r>
      <w:r w:rsidR="000473E1">
        <w:rPr>
          <w:szCs w:val="18"/>
          <w:lang w:val="fr-FR"/>
        </w:rPr>
        <w:br/>
      </w:r>
      <w:r w:rsidR="009E5C2D" w:rsidRPr="004C1020">
        <w:rPr>
          <w:szCs w:val="18"/>
          <w:lang w:val="fr-FR"/>
        </w:rPr>
        <w:t>de l</w:t>
      </w:r>
      <w:r w:rsidR="009E5C2D">
        <w:rPr>
          <w:szCs w:val="18"/>
          <w:lang w:val="fr-FR"/>
        </w:rPr>
        <w:t>’</w:t>
      </w:r>
      <w:r w:rsidR="009E5C2D" w:rsidRPr="004C1020">
        <w:rPr>
          <w:szCs w:val="18"/>
          <w:lang w:val="fr-FR"/>
        </w:rPr>
        <w:t xml:space="preserve">ONU applicables aux véhicules à roues et aux équipements et </w:t>
      </w:r>
      <w:r w:rsidR="000473E1">
        <w:rPr>
          <w:szCs w:val="18"/>
          <w:lang w:val="fr-FR"/>
        </w:rPr>
        <w:br/>
      </w:r>
      <w:r w:rsidR="009E5C2D" w:rsidRPr="004C1020">
        <w:rPr>
          <w:szCs w:val="18"/>
          <w:lang w:val="fr-FR"/>
        </w:rPr>
        <w:t>pièces susceptibles d</w:t>
      </w:r>
      <w:r w:rsidR="009E5C2D">
        <w:rPr>
          <w:szCs w:val="18"/>
          <w:lang w:val="fr-FR"/>
        </w:rPr>
        <w:t>’</w:t>
      </w:r>
      <w:r w:rsidR="009E5C2D" w:rsidRPr="004C1020">
        <w:rPr>
          <w:szCs w:val="18"/>
          <w:lang w:val="fr-FR"/>
        </w:rPr>
        <w:t xml:space="preserve">être montés ou utilisés sur les véhicules à roues </w:t>
      </w:r>
      <w:r w:rsidR="000473E1">
        <w:rPr>
          <w:szCs w:val="18"/>
          <w:lang w:val="fr-FR"/>
        </w:rPr>
        <w:br/>
      </w:r>
      <w:r w:rsidR="009E5C2D" w:rsidRPr="004C1020">
        <w:rPr>
          <w:szCs w:val="18"/>
          <w:lang w:val="fr-FR"/>
        </w:rPr>
        <w:t>et les conditions de reconnaissance réciproque des homologations délivrées conformément à ces Règlements</w:t>
      </w:r>
      <w:r w:rsidR="00442E31" w:rsidRPr="009E5C2D">
        <w:rPr>
          <w:rStyle w:val="Appelnotedebasdep"/>
          <w:b w:val="0"/>
          <w:bCs/>
          <w:sz w:val="20"/>
          <w:vertAlign w:val="baseline"/>
        </w:rPr>
        <w:footnoteReference w:customMarkFollows="1" w:id="2"/>
        <w:t>*</w:t>
      </w:r>
    </w:p>
    <w:p w14:paraId="304E3123" w14:textId="2063E99A" w:rsidR="00421A10" w:rsidRPr="00A12483" w:rsidRDefault="00421A10" w:rsidP="0029791D">
      <w:pPr>
        <w:pStyle w:val="SingleTxtG"/>
        <w:jc w:val="left"/>
        <w:rPr>
          <w:b/>
          <w:sz w:val="24"/>
          <w:szCs w:val="24"/>
        </w:rPr>
      </w:pPr>
      <w:r w:rsidRPr="006549FF">
        <w:t xml:space="preserve">(Révision </w:t>
      </w:r>
      <w:r w:rsidR="009E5C2D" w:rsidRPr="004C1020">
        <w:rPr>
          <w:lang w:val="fr-FR"/>
        </w:rPr>
        <w:t>3, comprenant les amendements entrés en vigueur le 14 septembre 2017</w:t>
      </w:r>
      <w:r w:rsidRPr="006549FF">
        <w:t>)</w:t>
      </w:r>
    </w:p>
    <w:p w14:paraId="42BFCCAE" w14:textId="77777777" w:rsidR="00421A10" w:rsidRPr="006549FF" w:rsidRDefault="0029791D" w:rsidP="0029791D">
      <w:pPr>
        <w:jc w:val="center"/>
      </w:pPr>
      <w:r>
        <w:t>_______________</w:t>
      </w:r>
    </w:p>
    <w:p w14:paraId="531BF531" w14:textId="2A304592" w:rsidR="00421A10" w:rsidRPr="006549FF" w:rsidRDefault="0029791D" w:rsidP="0029791D">
      <w:pPr>
        <w:pStyle w:val="HChG"/>
      </w:pPr>
      <w:r>
        <w:tab/>
      </w:r>
      <w:r>
        <w:tab/>
      </w:r>
      <w:r w:rsidR="00421A10" w:rsidRPr="006549FF">
        <w:t xml:space="preserve">Additif </w:t>
      </w:r>
      <w:r w:rsidR="009E5C2D" w:rsidRPr="004C1020">
        <w:rPr>
          <w:lang w:val="fr-FR"/>
        </w:rPr>
        <w:t>62 – Règlement ONU n</w:t>
      </w:r>
      <w:r w:rsidR="009E5C2D" w:rsidRPr="004C1020">
        <w:rPr>
          <w:vertAlign w:val="superscript"/>
          <w:lang w:val="fr-FR"/>
        </w:rPr>
        <w:t>o</w:t>
      </w:r>
      <w:r w:rsidR="009E5C2D" w:rsidRPr="004C1020">
        <w:rPr>
          <w:lang w:val="fr-FR"/>
        </w:rPr>
        <w:t xml:space="preserve"> 63</w:t>
      </w:r>
    </w:p>
    <w:p w14:paraId="729A4BAA" w14:textId="240A3B03" w:rsidR="00421A10" w:rsidRPr="006549FF" w:rsidRDefault="0029791D" w:rsidP="0029791D">
      <w:pPr>
        <w:pStyle w:val="H1G"/>
      </w:pPr>
      <w:r>
        <w:tab/>
      </w:r>
      <w:r>
        <w:tab/>
      </w:r>
      <w:r w:rsidR="00421A10" w:rsidRPr="006549FF">
        <w:t xml:space="preserve">Révision </w:t>
      </w:r>
      <w:r w:rsidR="009E5C2D" w:rsidRPr="004C1020">
        <w:rPr>
          <w:lang w:val="fr-FR"/>
        </w:rPr>
        <w:t xml:space="preserve">1 </w:t>
      </w:r>
      <w:r w:rsidR="009E5C2D">
        <w:rPr>
          <w:lang w:val="fr-FR"/>
        </w:rPr>
        <w:t>−</w:t>
      </w:r>
      <w:r w:rsidR="009E5C2D" w:rsidRPr="004C1020">
        <w:rPr>
          <w:lang w:val="fr-FR"/>
        </w:rPr>
        <w:t>Amendement 5</w:t>
      </w:r>
    </w:p>
    <w:p w14:paraId="04838B20" w14:textId="18C0F72A" w:rsidR="00421A10" w:rsidRPr="0029791D" w:rsidRDefault="009E5C2D" w:rsidP="0029791D">
      <w:pPr>
        <w:pStyle w:val="SingleTxtG"/>
      </w:pPr>
      <w:r w:rsidRPr="004C1020">
        <w:rPr>
          <w:spacing w:val="-2"/>
          <w:lang w:val="fr-FR"/>
        </w:rPr>
        <w:t>Complément 5 à la série 02 d</w:t>
      </w:r>
      <w:r>
        <w:rPr>
          <w:spacing w:val="-2"/>
          <w:lang w:val="fr-FR"/>
        </w:rPr>
        <w:t>’</w:t>
      </w:r>
      <w:r w:rsidRPr="004C1020">
        <w:rPr>
          <w:spacing w:val="-2"/>
          <w:lang w:val="fr-FR"/>
        </w:rPr>
        <w:t>amendements – Date d</w:t>
      </w:r>
      <w:r>
        <w:rPr>
          <w:spacing w:val="-2"/>
          <w:lang w:val="fr-FR"/>
        </w:rPr>
        <w:t>’</w:t>
      </w:r>
      <w:r w:rsidRPr="004C1020">
        <w:rPr>
          <w:spacing w:val="-2"/>
          <w:lang w:val="fr-FR"/>
        </w:rPr>
        <w:t xml:space="preserve">entrée en </w:t>
      </w:r>
      <w:r w:rsidRPr="00C12FA5">
        <w:rPr>
          <w:spacing w:val="-2"/>
          <w:lang w:val="fr-FR"/>
        </w:rPr>
        <w:t>vigueur :</w:t>
      </w:r>
      <w:r w:rsidRPr="004C1020">
        <w:rPr>
          <w:spacing w:val="-2"/>
          <w:lang w:val="fr-FR"/>
        </w:rPr>
        <w:t xml:space="preserve"> </w:t>
      </w:r>
      <w:r w:rsidRPr="004C1020">
        <w:rPr>
          <w:lang w:val="fr-FR"/>
        </w:rPr>
        <w:t>8 octobre 2022</w:t>
      </w:r>
    </w:p>
    <w:p w14:paraId="457CFC87" w14:textId="4A6B1090" w:rsidR="00421A10" w:rsidRDefault="0029791D" w:rsidP="0029791D">
      <w:pPr>
        <w:pStyle w:val="H1G"/>
      </w:pPr>
      <w:r>
        <w:tab/>
      </w:r>
      <w:r>
        <w:tab/>
      </w:r>
      <w:r w:rsidR="00421A10" w:rsidRPr="007619D3">
        <w:t xml:space="preserve">Prescriptions uniformes relatives </w:t>
      </w:r>
      <w:r w:rsidR="009E5C2D">
        <w:t xml:space="preserve">à l’homologation des véhicules de la </w:t>
      </w:r>
      <w:r w:rsidR="009E5C2D" w:rsidRPr="00792B93">
        <w:t>catégorie L</w:t>
      </w:r>
      <w:r w:rsidR="009E5C2D" w:rsidRPr="00792B93">
        <w:rPr>
          <w:vertAlign w:val="subscript"/>
        </w:rPr>
        <w:t>1</w:t>
      </w:r>
      <w:r w:rsidR="009E5C2D" w:rsidRPr="00792B93">
        <w:t xml:space="preserve"> en</w:t>
      </w:r>
      <w:r w:rsidR="009E5C2D">
        <w:t xml:space="preserve"> ce qui concerne les émissions sonores</w:t>
      </w:r>
    </w:p>
    <w:p w14:paraId="66F09FD5" w14:textId="3FB894F0" w:rsidR="009E5C2D" w:rsidRDefault="009E5C2D" w:rsidP="009E5C2D">
      <w:pPr>
        <w:pStyle w:val="SingleTxtG"/>
      </w:pPr>
      <w:r w:rsidRPr="009E5C2D">
        <w:rPr>
          <w:rFonts w:eastAsia="Calibri"/>
          <w:spacing w:val="-4"/>
          <w:lang w:eastAsia="en-GB"/>
        </w:rPr>
        <w:t>Le présent document est communiqué uniquement à titre d’information. Le texte authentique, juridiquement contraignant, est celui du document</w:t>
      </w:r>
      <w:r w:rsidRPr="009E5C2D">
        <w:rPr>
          <w:rFonts w:eastAsia="Calibri"/>
          <w:lang w:eastAsia="en-GB"/>
        </w:rPr>
        <w:t xml:space="preserve"> </w:t>
      </w:r>
      <w:r w:rsidRPr="009E5C2D">
        <w:rPr>
          <w:rFonts w:eastAsia="Calibri"/>
          <w:spacing w:val="-6"/>
          <w:lang w:eastAsia="en-GB"/>
        </w:rPr>
        <w:t>ECE/TRANS/WP.29/2022/5.</w:t>
      </w:r>
      <w:r w:rsidR="00442E31">
        <w:rPr>
          <w:noProof/>
          <w:lang w:eastAsia="fr-CH"/>
        </w:rPr>
        <mc:AlternateContent>
          <mc:Choice Requires="wps">
            <w:drawing>
              <wp:anchor distT="0" distB="0" distL="114300" distR="114300" simplePos="0" relativeHeight="251658240" behindDoc="1" locked="0" layoutInCell="1" allowOverlap="1" wp14:anchorId="3A4DEDDA" wp14:editId="07BEE0BA">
                <wp:simplePos x="0" y="0"/>
                <wp:positionH relativeFrom="margin">
                  <wp:posOffset>-2540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8A4BBD7" w14:textId="77777777" w:rsidR="00442E31" w:rsidRPr="0029791D" w:rsidRDefault="00442E31" w:rsidP="00C9521D">
                            <w:pPr>
                              <w:ind w:left="1134" w:right="1134"/>
                              <w:jc w:val="center"/>
                            </w:pPr>
                            <w:r>
                              <w:t>_______________</w:t>
                            </w:r>
                          </w:p>
                          <w:p w14:paraId="32C6E513" w14:textId="77777777" w:rsidR="00442E31" w:rsidRDefault="00442E31" w:rsidP="00C9521D">
                            <w:pPr>
                              <w:jc w:val="center"/>
                              <w:rPr>
                                <w:b/>
                                <w:bCs/>
                                <w:sz w:val="22"/>
                              </w:rPr>
                            </w:pPr>
                            <w:r>
                              <w:rPr>
                                <w:noProof/>
                                <w:lang w:eastAsia="fr-CH"/>
                              </w:rPr>
                              <w:drawing>
                                <wp:inline distT="0" distB="0" distL="0" distR="0" wp14:anchorId="7D97EE6C" wp14:editId="48A2994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34EDCB1"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DEDDA" id="_x0000_t202" coordsize="21600,21600" o:spt="202" path="m,l,21600r21600,l21600,xe">
                <v:stroke joinstyle="miter"/>
                <v:path gradientshapeok="t" o:connecttype="rect"/>
              </v:shapetype>
              <v:shape id="Zone de texte 4" o:spid="_x0000_s1026" type="#_x0000_t202" style="position:absolute;left:0;text-align:left;margin-left:-.2pt;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" stroked="f">
                <v:textbox inset="0,0,0,0">
                  <w:txbxContent>
                    <w:p w14:paraId="08A4BBD7" w14:textId="77777777" w:rsidR="00442E31" w:rsidRPr="0029791D" w:rsidRDefault="00442E31" w:rsidP="00C9521D">
                      <w:pPr>
                        <w:ind w:left="1134" w:right="1134"/>
                        <w:jc w:val="center"/>
                      </w:pPr>
                      <w:r>
                        <w:t>_______________</w:t>
                      </w:r>
                    </w:p>
                    <w:p w14:paraId="32C6E513" w14:textId="77777777" w:rsidR="00442E31" w:rsidRDefault="00442E31" w:rsidP="00C9521D">
                      <w:pPr>
                        <w:jc w:val="center"/>
                        <w:rPr>
                          <w:b/>
                          <w:bCs/>
                          <w:sz w:val="22"/>
                        </w:rPr>
                      </w:pPr>
                      <w:r>
                        <w:rPr>
                          <w:noProof/>
                          <w:lang w:eastAsia="fr-CH"/>
                        </w:rPr>
                        <w:drawing>
                          <wp:inline distT="0" distB="0" distL="0" distR="0" wp14:anchorId="7D97EE6C" wp14:editId="48A2994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34EDCB1"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38309196" w14:textId="40BFF12C" w:rsidR="009E5C2D" w:rsidRDefault="009E5C2D">
      <w:pPr>
        <w:suppressAutoHyphens w:val="0"/>
        <w:kinsoku/>
        <w:overflowPunct/>
        <w:autoSpaceDE/>
        <w:autoSpaceDN/>
        <w:adjustRightInd/>
        <w:snapToGrid/>
        <w:spacing w:line="240" w:lineRule="auto"/>
      </w:pPr>
      <w:r>
        <w:br w:type="page"/>
      </w:r>
    </w:p>
    <w:p w14:paraId="07E1BFCB" w14:textId="77777777" w:rsidR="009E5C2D" w:rsidRPr="009E5C2D" w:rsidRDefault="009E5C2D" w:rsidP="005926B2">
      <w:pPr>
        <w:pStyle w:val="SingleTxtG"/>
        <w:rPr>
          <w:rFonts w:eastAsia="Calibri"/>
          <w:i/>
          <w:color w:val="000000"/>
          <w:lang w:val="fr-FR"/>
        </w:rPr>
      </w:pPr>
      <w:r w:rsidRPr="009E5C2D">
        <w:rPr>
          <w:rFonts w:eastAsia="Calibri"/>
          <w:i/>
          <w:iCs/>
          <w:lang w:val="fr-FR"/>
        </w:rPr>
        <w:lastRenderedPageBreak/>
        <w:t>Table des matières, annexes</w:t>
      </w:r>
      <w:r w:rsidRPr="009E5C2D">
        <w:rPr>
          <w:rFonts w:eastAsia="Calibri"/>
          <w:lang w:val="fr-FR"/>
        </w:rPr>
        <w:t>, lire :</w:t>
      </w:r>
    </w:p>
    <w:p w14:paraId="7A877927" w14:textId="77777777" w:rsidR="009E5C2D" w:rsidRPr="009E5C2D" w:rsidRDefault="009E5C2D" w:rsidP="000473E1">
      <w:pPr>
        <w:pStyle w:val="SingleTxtG"/>
        <w:ind w:left="2268" w:hanging="1134"/>
        <w:rPr>
          <w:rFonts w:eastAsia="Calibri"/>
          <w:b/>
          <w:color w:val="000000"/>
          <w:lang w:val="fr-FR"/>
        </w:rPr>
      </w:pPr>
      <w:r w:rsidRPr="009E5C2D">
        <w:rPr>
          <w:rFonts w:eastAsia="Calibri"/>
          <w:lang w:val="fr-FR"/>
        </w:rPr>
        <w:t>« 5</w:t>
      </w:r>
      <w:r w:rsidRPr="009E5C2D">
        <w:rPr>
          <w:rFonts w:eastAsia="Calibri"/>
          <w:lang w:val="fr-FR"/>
        </w:rPr>
        <w:tab/>
        <w:t>Caractéristiques de la piste d’essai</w:t>
      </w:r>
      <w:r w:rsidRPr="009E5C2D">
        <w:rPr>
          <w:rFonts w:eastAsia="Calibri"/>
          <w:b/>
          <w:bCs/>
          <w:lang w:val="fr-FR"/>
        </w:rPr>
        <w:t> </w:t>
      </w:r>
      <w:r w:rsidRPr="009E5C2D">
        <w:rPr>
          <w:rFonts w:eastAsia="Calibri"/>
          <w:lang w:val="fr-FR"/>
        </w:rPr>
        <w:t>».</w:t>
      </w:r>
    </w:p>
    <w:p w14:paraId="3A3FC607" w14:textId="77777777" w:rsidR="009E5C2D" w:rsidRPr="009E5C2D" w:rsidRDefault="009E5C2D" w:rsidP="005926B2">
      <w:pPr>
        <w:pStyle w:val="SingleTxtG"/>
        <w:rPr>
          <w:rFonts w:eastAsia="Yu Mincho"/>
          <w:iCs/>
          <w:color w:val="000000"/>
          <w:lang w:val="fr-FR"/>
        </w:rPr>
      </w:pPr>
      <w:r w:rsidRPr="009E5C2D">
        <w:rPr>
          <w:rFonts w:eastAsia="Calibri"/>
          <w:i/>
          <w:iCs/>
          <w:lang w:val="fr-FR"/>
        </w:rPr>
        <w:t>Paragraphe 10.3</w:t>
      </w:r>
      <w:r w:rsidRPr="009E5C2D">
        <w:rPr>
          <w:rFonts w:eastAsia="Calibri"/>
          <w:lang w:val="fr-FR"/>
        </w:rPr>
        <w:t>, lire :</w:t>
      </w:r>
    </w:p>
    <w:p w14:paraId="3B9CD3EF" w14:textId="77777777" w:rsidR="009E5C2D" w:rsidRPr="009E5C2D" w:rsidRDefault="009E5C2D" w:rsidP="005926B2">
      <w:pPr>
        <w:pStyle w:val="SingleTxtG"/>
        <w:ind w:left="2268" w:hanging="1134"/>
        <w:rPr>
          <w:color w:val="000000"/>
          <w:lang w:val="fr-FR"/>
        </w:rPr>
      </w:pPr>
      <w:r w:rsidRPr="009E5C2D">
        <w:rPr>
          <w:lang w:val="fr-FR"/>
        </w:rPr>
        <w:t>« 10.3</w:t>
      </w:r>
      <w:r w:rsidRPr="009E5C2D">
        <w:rPr>
          <w:lang w:val="fr-FR"/>
        </w:rPr>
        <w:tab/>
        <w:t>Nonobstant les dispositions transitoires ci-dessus, les Parties contractantes appliquant le présent Règlement peuvent accorder des homologations de type conformément à l’une quelconque des précédentes séries d’amendements au présent Règlement. Cependant, les caractéristiques de la piste d’essai pourront être conformes aux dispositions de la norme ISO 10844:2014. ».</w:t>
      </w:r>
    </w:p>
    <w:p w14:paraId="0A7B460E" w14:textId="12DEF6DD" w:rsidR="009E5C2D" w:rsidRPr="009E5C2D" w:rsidRDefault="009E5C2D" w:rsidP="005926B2">
      <w:pPr>
        <w:pStyle w:val="SingleTxtG"/>
        <w:rPr>
          <w:rFonts w:eastAsia="Calibri"/>
          <w:i/>
          <w:iCs/>
          <w:color w:val="000000"/>
          <w:lang w:val="fr-FR"/>
        </w:rPr>
      </w:pPr>
      <w:bookmarkStart w:id="0" w:name="_Hlk72160006"/>
      <w:r w:rsidRPr="009E5C2D">
        <w:rPr>
          <w:rFonts w:eastAsia="Calibri"/>
          <w:i/>
          <w:iCs/>
          <w:lang w:val="fr-FR"/>
        </w:rPr>
        <w:t>Ajouter le nouveau paragraphe 10.4</w:t>
      </w:r>
      <w:r w:rsidRPr="009E5C2D">
        <w:rPr>
          <w:rFonts w:eastAsia="Calibri"/>
          <w:lang w:val="fr-FR"/>
        </w:rPr>
        <w:t>, libellé comme suit :</w:t>
      </w:r>
    </w:p>
    <w:p w14:paraId="363B2C7A" w14:textId="77777777" w:rsidR="009E5C2D" w:rsidRPr="009E5C2D" w:rsidRDefault="009E5C2D" w:rsidP="005926B2">
      <w:pPr>
        <w:pStyle w:val="SingleTxtG"/>
        <w:ind w:left="2268" w:hanging="1134"/>
        <w:rPr>
          <w:rFonts w:eastAsia="Calibri"/>
          <w:color w:val="000000"/>
          <w:lang w:val="fr-FR"/>
        </w:rPr>
      </w:pPr>
      <w:r w:rsidRPr="009E5C2D">
        <w:rPr>
          <w:rFonts w:eastAsia="Calibri"/>
          <w:b/>
          <w:bCs/>
          <w:lang w:val="fr-FR"/>
        </w:rPr>
        <w:t>« </w:t>
      </w:r>
      <w:r w:rsidRPr="009E5C2D">
        <w:rPr>
          <w:rFonts w:eastAsia="Calibri"/>
          <w:lang w:val="fr-FR"/>
        </w:rPr>
        <w:t>10.4</w:t>
      </w:r>
      <w:r w:rsidRPr="009E5C2D">
        <w:rPr>
          <w:rFonts w:eastAsia="Calibri"/>
          <w:lang w:val="fr-FR"/>
        </w:rPr>
        <w:tab/>
        <w:t>Les Parties contractantes appliquant le présent Règlement continueront d’accorder des extensions pour les homologations délivrées en application de l’une quelconque des précédentes séries d’amendements audit Règlement. Cependant, les caractéristiques de la piste d’essai pourront être conformes aux dispositions de la norme ISO 10844:2014.</w:t>
      </w:r>
      <w:r w:rsidRPr="009E5C2D">
        <w:rPr>
          <w:rFonts w:eastAsia="Calibri"/>
          <w:b/>
          <w:bCs/>
          <w:lang w:val="fr-FR"/>
        </w:rPr>
        <w:t> </w:t>
      </w:r>
      <w:r w:rsidRPr="009E5C2D">
        <w:rPr>
          <w:rFonts w:eastAsia="Calibri"/>
          <w:lang w:val="fr-FR"/>
        </w:rPr>
        <w:t>».</w:t>
      </w:r>
    </w:p>
    <w:bookmarkEnd w:id="0"/>
    <w:p w14:paraId="1726104D" w14:textId="77777777" w:rsidR="009E5C2D" w:rsidRPr="009E5C2D" w:rsidRDefault="009E5C2D" w:rsidP="005926B2">
      <w:pPr>
        <w:pStyle w:val="SingleTxtG"/>
        <w:rPr>
          <w:rFonts w:eastAsia="Calibri"/>
          <w:i/>
          <w:color w:val="000000"/>
          <w:lang w:val="fr-FR"/>
        </w:rPr>
      </w:pPr>
      <w:r w:rsidRPr="009E5C2D">
        <w:rPr>
          <w:rFonts w:eastAsia="Calibri"/>
          <w:i/>
          <w:iCs/>
          <w:lang w:val="fr-FR"/>
        </w:rPr>
        <w:t>Les paragraphes 10.4</w:t>
      </w:r>
      <w:r w:rsidRPr="009E5C2D">
        <w:rPr>
          <w:rFonts w:eastAsia="Calibri"/>
          <w:lang w:val="fr-FR"/>
        </w:rPr>
        <w:t xml:space="preserve"> </w:t>
      </w:r>
      <w:r w:rsidRPr="009E5C2D">
        <w:rPr>
          <w:rFonts w:eastAsia="Calibri"/>
          <w:i/>
          <w:iCs/>
          <w:lang w:val="fr-FR"/>
        </w:rPr>
        <w:t>à 10.6</w:t>
      </w:r>
      <w:r w:rsidRPr="009E5C2D">
        <w:rPr>
          <w:rFonts w:eastAsia="Calibri"/>
          <w:lang w:val="fr-FR"/>
        </w:rPr>
        <w:t xml:space="preserve"> deviennent les paragraphes 10.5 à 10.7</w:t>
      </w:r>
      <w:r w:rsidRPr="009E5C2D">
        <w:rPr>
          <w:rFonts w:eastAsia="Calibri"/>
          <w:i/>
          <w:iCs/>
          <w:lang w:val="fr-FR"/>
        </w:rPr>
        <w:t>.</w:t>
      </w:r>
    </w:p>
    <w:p w14:paraId="2A4C147E" w14:textId="77777777" w:rsidR="009E5C2D" w:rsidRPr="009E5C2D" w:rsidRDefault="009E5C2D" w:rsidP="005926B2">
      <w:pPr>
        <w:pStyle w:val="SingleTxtG"/>
        <w:rPr>
          <w:rFonts w:eastAsia="Calibri"/>
          <w:i/>
          <w:color w:val="000000"/>
          <w:lang w:val="fr-FR"/>
        </w:rPr>
      </w:pPr>
      <w:r w:rsidRPr="009E5C2D">
        <w:rPr>
          <w:rFonts w:eastAsia="Calibri"/>
          <w:i/>
          <w:iCs/>
          <w:lang w:val="fr-FR"/>
        </w:rPr>
        <w:t>Paragraphes 10.7</w:t>
      </w:r>
      <w:r w:rsidRPr="009E5C2D">
        <w:rPr>
          <w:rFonts w:eastAsia="Calibri"/>
          <w:lang w:val="fr-FR"/>
        </w:rPr>
        <w:t xml:space="preserve"> </w:t>
      </w:r>
      <w:r w:rsidRPr="009E5C2D">
        <w:rPr>
          <w:rFonts w:eastAsia="Calibri"/>
          <w:i/>
          <w:iCs/>
          <w:lang w:val="fr-FR"/>
        </w:rPr>
        <w:t>et 10.8</w:t>
      </w:r>
      <w:r w:rsidRPr="009E5C2D">
        <w:rPr>
          <w:rFonts w:eastAsia="Calibri"/>
          <w:lang w:val="fr-FR"/>
        </w:rPr>
        <w:t>, supprimer.</w:t>
      </w:r>
    </w:p>
    <w:p w14:paraId="43BAFA4B" w14:textId="77777777" w:rsidR="009E5C2D" w:rsidRPr="009E5C2D" w:rsidRDefault="009E5C2D" w:rsidP="005926B2">
      <w:pPr>
        <w:pStyle w:val="SingleTxtG"/>
        <w:rPr>
          <w:rFonts w:eastAsia="Yu Mincho"/>
          <w:iCs/>
          <w:color w:val="000000"/>
          <w:lang w:val="fr-FR"/>
        </w:rPr>
      </w:pPr>
      <w:r w:rsidRPr="009E5C2D">
        <w:rPr>
          <w:rFonts w:eastAsia="Calibri"/>
          <w:i/>
          <w:iCs/>
          <w:lang w:val="fr-FR"/>
        </w:rPr>
        <w:t>Annexe 3,</w:t>
      </w:r>
      <w:r w:rsidRPr="009E5C2D">
        <w:rPr>
          <w:rFonts w:eastAsia="Calibri"/>
          <w:lang w:val="fr-FR"/>
        </w:rPr>
        <w:t xml:space="preserve"> </w:t>
      </w:r>
      <w:r w:rsidRPr="009E5C2D">
        <w:rPr>
          <w:rFonts w:eastAsia="Calibri"/>
          <w:i/>
          <w:iCs/>
          <w:lang w:val="fr-FR"/>
        </w:rPr>
        <w:t>paragraphe 2.1.1</w:t>
      </w:r>
      <w:r w:rsidRPr="009E5C2D">
        <w:rPr>
          <w:rFonts w:eastAsia="Calibri"/>
          <w:lang w:val="fr-FR"/>
        </w:rPr>
        <w:t>, lire :</w:t>
      </w:r>
    </w:p>
    <w:p w14:paraId="7720E4E3" w14:textId="77777777" w:rsidR="009E5C2D" w:rsidRPr="009E5C2D" w:rsidRDefault="009E5C2D" w:rsidP="005926B2">
      <w:pPr>
        <w:pStyle w:val="SingleTxtG"/>
        <w:ind w:left="2268" w:hanging="1134"/>
        <w:rPr>
          <w:rFonts w:eastAsia="Yu Mincho"/>
          <w:iCs/>
          <w:color w:val="000000"/>
          <w:lang w:val="fr-FR"/>
        </w:rPr>
      </w:pPr>
      <w:r w:rsidRPr="009E5C2D">
        <w:rPr>
          <w:rFonts w:eastAsia="Calibri"/>
          <w:lang w:val="fr-FR"/>
        </w:rPr>
        <w:t>« 2.1.1</w:t>
      </w:r>
      <w:r w:rsidRPr="009E5C2D">
        <w:rPr>
          <w:rFonts w:eastAsia="Calibri"/>
          <w:lang w:val="fr-FR"/>
        </w:rPr>
        <w:tab/>
        <w:t xml:space="preserve">Terrain d’essai </w:t>
      </w:r>
    </w:p>
    <w:p w14:paraId="43F9C9E8" w14:textId="0EB138AF" w:rsidR="009E5C2D" w:rsidRPr="009E5C2D" w:rsidRDefault="009E5C2D" w:rsidP="005926B2">
      <w:pPr>
        <w:pStyle w:val="SingleTxtG"/>
        <w:ind w:left="2268"/>
        <w:rPr>
          <w:color w:val="000000"/>
          <w:sz w:val="18"/>
          <w:szCs w:val="18"/>
        </w:rPr>
      </w:pPr>
      <w:r w:rsidRPr="009E5C2D">
        <w:rPr>
          <w:lang w:val="fr-FR"/>
        </w:rPr>
        <w:t>Le terrain d’essai se compose d’une piste d’accélération centrale entourée d’une zone d’essai pratiquement plane. La piste d’accélération doit être horizontale ; son revêtement doit être sec et conçu de façon que les émissions de bruit de roulement restent faibles.</w:t>
      </w:r>
    </w:p>
    <w:p w14:paraId="60C3A36B" w14:textId="77777777" w:rsidR="009E5C2D" w:rsidRPr="009E5C2D" w:rsidRDefault="009E5C2D" w:rsidP="005926B2">
      <w:pPr>
        <w:pStyle w:val="SingleTxtG"/>
        <w:ind w:left="2268"/>
        <w:rPr>
          <w:color w:val="000000"/>
          <w:sz w:val="18"/>
          <w:szCs w:val="18"/>
        </w:rPr>
      </w:pPr>
      <w:r w:rsidRPr="009E5C2D">
        <w:rPr>
          <w:lang w:val="fr-FR"/>
        </w:rPr>
        <w:t>Sur le terrain d’essai, les variations d’un champ acoustique libre entre la source sonore au centre de la piste d’accélération et le microphone sont maintenues dans un écart de moins de 1 dB. Cette condition est considérée comme remplie s’il n’y a pas d’objets volumineux réfléchissant le son, tels que clôture, rocher, pont ou bâtiment, à moins de 50 m du centre de la piste d’accélération.</w:t>
      </w:r>
    </w:p>
    <w:p w14:paraId="4C612D6A" w14:textId="77777777" w:rsidR="009E5C2D" w:rsidRPr="009E5C2D" w:rsidRDefault="009E5C2D" w:rsidP="005926B2">
      <w:pPr>
        <w:pStyle w:val="SingleTxtG"/>
        <w:ind w:left="2268"/>
        <w:rPr>
          <w:color w:val="000000"/>
          <w:sz w:val="18"/>
          <w:szCs w:val="18"/>
        </w:rPr>
      </w:pPr>
      <w:r w:rsidRPr="009E5C2D">
        <w:rPr>
          <w:lang w:val="fr-FR"/>
        </w:rPr>
        <w:t>Aucun obstacle ne doit pouvoir perturber le champ acoustique au voisinage du microphone et personne ne doit se trouver entre le microphone et la source sonore. L’observateur chargé de faire les mesures doit se placer de façon à ne pas influencer les valeurs indiquées par l’appareil de mesure.</w:t>
      </w:r>
    </w:p>
    <w:p w14:paraId="47182AC7" w14:textId="77777777" w:rsidR="009E5C2D" w:rsidRPr="009E5C2D" w:rsidRDefault="009E5C2D" w:rsidP="005926B2">
      <w:pPr>
        <w:pStyle w:val="SingleTxtG"/>
        <w:ind w:left="2268"/>
        <w:rPr>
          <w:rFonts w:eastAsia="Yu Mincho"/>
          <w:iCs/>
          <w:color w:val="000000"/>
        </w:rPr>
      </w:pPr>
      <w:r w:rsidRPr="009E5C2D">
        <w:rPr>
          <w:lang w:val="fr-FR"/>
        </w:rPr>
        <w:t>Le revêtement de la piste d’essai doit être conforme à</w:t>
      </w:r>
      <w:r w:rsidRPr="009E5C2D">
        <w:rPr>
          <w:b/>
          <w:bCs/>
          <w:lang w:val="fr-FR"/>
        </w:rPr>
        <w:t xml:space="preserve"> </w:t>
      </w:r>
      <w:r w:rsidRPr="009E5C2D">
        <w:rPr>
          <w:lang w:val="fr-FR"/>
        </w:rPr>
        <w:t>la norme ISO 10844:2014.».</w:t>
      </w:r>
    </w:p>
    <w:p w14:paraId="052DE405" w14:textId="77777777" w:rsidR="009E5C2D" w:rsidRPr="009E5C2D" w:rsidRDefault="009E5C2D" w:rsidP="005926B2">
      <w:pPr>
        <w:pStyle w:val="SingleTxtG"/>
        <w:rPr>
          <w:rFonts w:eastAsia="Calibri"/>
          <w:i/>
          <w:color w:val="000000"/>
          <w:lang w:val="fr-FR"/>
        </w:rPr>
      </w:pPr>
      <w:r w:rsidRPr="009E5C2D">
        <w:rPr>
          <w:rFonts w:eastAsia="Calibri"/>
          <w:i/>
          <w:iCs/>
          <w:lang w:val="fr-FR"/>
        </w:rPr>
        <w:t>Annexe 5, titre</w:t>
      </w:r>
      <w:r w:rsidRPr="009E5C2D">
        <w:rPr>
          <w:rFonts w:eastAsia="Calibri"/>
          <w:lang w:val="fr-FR"/>
        </w:rPr>
        <w:t>, lire :</w:t>
      </w:r>
    </w:p>
    <w:p w14:paraId="4C91517B" w14:textId="77777777" w:rsidR="009E5C2D" w:rsidRPr="009E5C2D" w:rsidRDefault="009E5C2D" w:rsidP="005926B2">
      <w:pPr>
        <w:pStyle w:val="SingleTxtG"/>
        <w:rPr>
          <w:rFonts w:eastAsia="Calibri"/>
          <w:color w:val="000000"/>
          <w:lang w:val="fr-FR"/>
        </w:rPr>
      </w:pPr>
      <w:r w:rsidRPr="009E5C2D">
        <w:rPr>
          <w:rFonts w:eastAsia="Calibri"/>
          <w:lang w:val="fr-FR"/>
        </w:rPr>
        <w:t>« Caractéristiques de la piste</w:t>
      </w:r>
      <w:r w:rsidRPr="009E5C2D">
        <w:rPr>
          <w:rFonts w:eastAsia="Calibri"/>
          <w:b/>
          <w:bCs/>
          <w:lang w:val="fr-FR"/>
        </w:rPr>
        <w:t xml:space="preserve"> </w:t>
      </w:r>
      <w:r w:rsidRPr="009E5C2D">
        <w:rPr>
          <w:rFonts w:eastAsia="Calibri"/>
          <w:lang w:val="fr-FR"/>
        </w:rPr>
        <w:t>d’essai ».</w:t>
      </w:r>
    </w:p>
    <w:p w14:paraId="7DEFC853" w14:textId="77777777" w:rsidR="009E5C2D" w:rsidRPr="009E5C2D" w:rsidRDefault="009E5C2D" w:rsidP="005926B2">
      <w:pPr>
        <w:pStyle w:val="SingleTxtG"/>
        <w:rPr>
          <w:rFonts w:eastAsia="Times New Roman"/>
          <w:color w:val="000000"/>
          <w:sz w:val="18"/>
          <w:szCs w:val="18"/>
        </w:rPr>
      </w:pPr>
      <w:r w:rsidRPr="009E5C2D">
        <w:rPr>
          <w:rFonts w:eastAsia="Calibri"/>
          <w:i/>
          <w:iCs/>
          <w:lang w:val="fr-FR"/>
        </w:rPr>
        <w:t>Note de bas de page 1 et appel de note correspondant</w:t>
      </w:r>
      <w:r w:rsidRPr="009E5C2D">
        <w:rPr>
          <w:rFonts w:eastAsia="Calibri"/>
          <w:lang w:val="fr-FR"/>
        </w:rPr>
        <w:t>, supprimer.</w:t>
      </w:r>
    </w:p>
    <w:p w14:paraId="72E526E3" w14:textId="77777777" w:rsidR="009E5C2D" w:rsidRPr="009E5C2D" w:rsidRDefault="009E5C2D" w:rsidP="005926B2">
      <w:pPr>
        <w:pStyle w:val="SingleTxtG"/>
        <w:rPr>
          <w:rFonts w:eastAsia="Calibri"/>
          <w:spacing w:val="-4"/>
          <w:lang w:eastAsia="en-GB"/>
        </w:rPr>
      </w:pPr>
      <w:r w:rsidRPr="009E5C2D">
        <w:rPr>
          <w:rFonts w:eastAsia="Calibri"/>
          <w:i/>
          <w:iCs/>
          <w:spacing w:val="-4"/>
          <w:lang w:eastAsia="en-GB"/>
        </w:rPr>
        <w:t>Note de bas de page 2 et appel de note correspondant</w:t>
      </w:r>
      <w:r w:rsidRPr="009E5C2D">
        <w:rPr>
          <w:rFonts w:eastAsia="Calibri"/>
          <w:spacing w:val="-4"/>
          <w:lang w:eastAsia="en-GB"/>
        </w:rPr>
        <w:t>, supprimer.</w:t>
      </w:r>
    </w:p>
    <w:p w14:paraId="5C11D3B7" w14:textId="77777777" w:rsidR="009E5C2D" w:rsidRPr="009E5C2D" w:rsidRDefault="009E5C2D" w:rsidP="005926B2">
      <w:pPr>
        <w:pStyle w:val="SingleTxtG"/>
        <w:rPr>
          <w:rFonts w:eastAsia="Times New Roman"/>
          <w:color w:val="000000"/>
          <w:sz w:val="18"/>
          <w:szCs w:val="18"/>
        </w:rPr>
      </w:pPr>
      <w:r w:rsidRPr="009E5C2D">
        <w:rPr>
          <w:rFonts w:eastAsia="Calibri"/>
          <w:i/>
          <w:iCs/>
          <w:lang w:val="fr-FR"/>
        </w:rPr>
        <w:t>Paragraphes 1, 2 et 2.1</w:t>
      </w:r>
      <w:r w:rsidRPr="009E5C2D">
        <w:rPr>
          <w:rFonts w:eastAsia="Calibri"/>
          <w:lang w:val="fr-FR"/>
        </w:rPr>
        <w:t xml:space="preserve"> </w:t>
      </w:r>
      <w:r w:rsidRPr="009E5C2D">
        <w:rPr>
          <w:rFonts w:eastAsia="Calibri"/>
          <w:i/>
          <w:iCs/>
          <w:lang w:val="fr-FR"/>
        </w:rPr>
        <w:t>à 2.5</w:t>
      </w:r>
      <w:r w:rsidRPr="009E5C2D">
        <w:rPr>
          <w:rFonts w:eastAsia="Calibri"/>
          <w:lang w:val="fr-FR"/>
        </w:rPr>
        <w:t xml:space="preserve">, supprimer. </w:t>
      </w:r>
    </w:p>
    <w:p w14:paraId="32F3FA0F" w14:textId="1083D5CF" w:rsidR="005926B2" w:rsidRDefault="009E5C2D" w:rsidP="005926B2">
      <w:pPr>
        <w:pStyle w:val="SingleTxtG"/>
        <w:rPr>
          <w:rFonts w:eastAsia="Calibri"/>
          <w:lang w:val="fr-FR"/>
        </w:rPr>
      </w:pPr>
      <w:r w:rsidRPr="009E5C2D">
        <w:rPr>
          <w:rFonts w:eastAsia="Calibri"/>
          <w:i/>
          <w:iCs/>
          <w:lang w:val="fr-FR"/>
        </w:rPr>
        <w:t>Paragraphes 3, 3.1, 3.2, 3.2.1, 3.2.1.1</w:t>
      </w:r>
      <w:r w:rsidRPr="009E5C2D">
        <w:rPr>
          <w:rFonts w:eastAsia="Calibri"/>
          <w:lang w:val="fr-FR"/>
        </w:rPr>
        <w:t xml:space="preserve"> </w:t>
      </w:r>
      <w:r w:rsidRPr="009E5C2D">
        <w:rPr>
          <w:rFonts w:eastAsia="Calibri"/>
          <w:i/>
          <w:iCs/>
          <w:lang w:val="fr-FR"/>
        </w:rPr>
        <w:t>à 3.2.1.4 et 3.2.2</w:t>
      </w:r>
      <w:r w:rsidRPr="009E5C2D">
        <w:rPr>
          <w:rFonts w:eastAsia="Calibri"/>
          <w:lang w:val="fr-FR"/>
        </w:rPr>
        <w:t xml:space="preserve">, supprimer. </w:t>
      </w:r>
    </w:p>
    <w:p w14:paraId="2CAE297D" w14:textId="77777777" w:rsidR="005926B2" w:rsidRDefault="005926B2">
      <w:pPr>
        <w:suppressAutoHyphens w:val="0"/>
        <w:kinsoku/>
        <w:overflowPunct/>
        <w:autoSpaceDE/>
        <w:autoSpaceDN/>
        <w:adjustRightInd/>
        <w:snapToGrid/>
        <w:spacing w:line="240" w:lineRule="auto"/>
        <w:rPr>
          <w:rFonts w:eastAsia="Calibri"/>
          <w:lang w:val="fr-FR"/>
        </w:rPr>
      </w:pPr>
      <w:r>
        <w:rPr>
          <w:rFonts w:eastAsia="Calibri"/>
          <w:lang w:val="fr-FR"/>
        </w:rPr>
        <w:br w:type="page"/>
      </w:r>
    </w:p>
    <w:p w14:paraId="54CCDE79" w14:textId="77777777" w:rsidR="009E5C2D" w:rsidRPr="009E5C2D" w:rsidRDefault="009E5C2D" w:rsidP="005926B2">
      <w:pPr>
        <w:pStyle w:val="SingleTxtG"/>
        <w:rPr>
          <w:rFonts w:eastAsia="Times New Roman"/>
          <w:color w:val="000000"/>
          <w:sz w:val="18"/>
          <w:szCs w:val="18"/>
        </w:rPr>
      </w:pPr>
      <w:r w:rsidRPr="009E5C2D">
        <w:rPr>
          <w:rFonts w:eastAsia="Calibri"/>
          <w:i/>
          <w:iCs/>
          <w:lang w:val="fr-FR"/>
        </w:rPr>
        <w:lastRenderedPageBreak/>
        <w:t>Figure 1</w:t>
      </w:r>
      <w:r w:rsidRPr="009E5C2D">
        <w:rPr>
          <w:rFonts w:eastAsia="Calibri"/>
          <w:lang w:val="fr-FR"/>
        </w:rPr>
        <w:t>, lire :</w:t>
      </w:r>
    </w:p>
    <w:p w14:paraId="099C30AD" w14:textId="371FFEC3" w:rsidR="009E5C2D" w:rsidRPr="005926B2" w:rsidRDefault="009E5C2D" w:rsidP="005926B2">
      <w:pPr>
        <w:pStyle w:val="Titre1"/>
        <w:spacing w:after="120"/>
        <w:rPr>
          <w:b/>
          <w:bCs/>
          <w:color w:val="000000"/>
          <w:lang w:val="fr-FR"/>
        </w:rPr>
      </w:pPr>
      <w:r w:rsidRPr="009E5C2D">
        <w:rPr>
          <w:lang w:val="fr-FR"/>
        </w:rPr>
        <w:tab/>
        <w:t xml:space="preserve">« Figure 1 </w:t>
      </w:r>
      <w:r w:rsidR="005926B2">
        <w:rPr>
          <w:color w:val="000000"/>
          <w:lang w:val="fr-FR"/>
        </w:rPr>
        <w:br/>
      </w:r>
      <w:r w:rsidRPr="005926B2">
        <w:rPr>
          <w:b/>
          <w:bCs/>
          <w:lang w:val="fr-FR"/>
        </w:rPr>
        <w:t>Caractéristiques de la piste d’essai (dimensions en mètres)</w:t>
      </w:r>
    </w:p>
    <w:p w14:paraId="4804115F" w14:textId="77777777" w:rsidR="009E5C2D" w:rsidRPr="009E5C2D" w:rsidRDefault="009E5C2D" w:rsidP="009E5C2D">
      <w:pPr>
        <w:rPr>
          <w:rFonts w:eastAsia="Calibri"/>
          <w:color w:val="000000"/>
          <w:lang w:val="en-GB"/>
        </w:rPr>
      </w:pPr>
      <w:r w:rsidRPr="009E5C2D">
        <w:rPr>
          <w:rFonts w:eastAsia="Calibri"/>
          <w:noProof/>
          <w:color w:val="000000"/>
          <w:lang w:val="en-GB"/>
        </w:rPr>
        <w:drawing>
          <wp:inline distT="0" distB="0" distL="0" distR="0" wp14:anchorId="4233822C" wp14:editId="4D15A754">
            <wp:extent cx="5940425" cy="3378200"/>
            <wp:effectExtent l="19050" t="19050" r="22225" b="127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4141" b="14264"/>
                    <a:stretch/>
                  </pic:blipFill>
                  <pic:spPr bwMode="auto">
                    <a:xfrm>
                      <a:off x="0" y="0"/>
                      <a:ext cx="5940425" cy="33782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F1B5003" w14:textId="77777777" w:rsidR="009E5C2D" w:rsidRPr="009E5C2D" w:rsidRDefault="009E5C2D" w:rsidP="005926B2">
      <w:pPr>
        <w:pStyle w:val="SingleTxtG"/>
        <w:spacing w:before="120" w:after="0"/>
        <w:rPr>
          <w:rFonts w:eastAsia="Times New Roman"/>
          <w:color w:val="000000"/>
          <w:sz w:val="18"/>
          <w:szCs w:val="18"/>
        </w:rPr>
      </w:pPr>
      <w:r w:rsidRPr="009E5C2D">
        <w:rPr>
          <w:lang w:val="fr-FR"/>
        </w:rPr>
        <w:t>Légende</w:t>
      </w:r>
    </w:p>
    <w:tbl>
      <w:tblPr>
        <w:tblW w:w="0" w:type="auto"/>
        <w:tblInd w:w="964" w:type="dxa"/>
        <w:tblLayout w:type="fixed"/>
        <w:tblLook w:val="04A0" w:firstRow="1" w:lastRow="0" w:firstColumn="1" w:lastColumn="0" w:noHBand="0" w:noVBand="1"/>
      </w:tblPr>
      <w:tblGrid>
        <w:gridCol w:w="1129"/>
        <w:gridCol w:w="7082"/>
      </w:tblGrid>
      <w:tr w:rsidR="009E5C2D" w:rsidRPr="009E5C2D" w14:paraId="66E2CEA0" w14:textId="77777777" w:rsidTr="00F6249E">
        <w:trPr>
          <w:trHeight w:val="567"/>
        </w:trPr>
        <w:tc>
          <w:tcPr>
            <w:tcW w:w="1129" w:type="dxa"/>
            <w:vAlign w:val="center"/>
          </w:tcPr>
          <w:p w14:paraId="35D96F83" w14:textId="77777777" w:rsidR="009E5C2D" w:rsidRPr="009E5C2D" w:rsidRDefault="009E5C2D" w:rsidP="009E5C2D">
            <w:pPr>
              <w:rPr>
                <w:rFonts w:eastAsia="Times New Roman"/>
                <w:color w:val="000000"/>
                <w:sz w:val="18"/>
                <w:szCs w:val="18"/>
                <w:lang w:val="en-GB"/>
              </w:rPr>
            </w:pPr>
            <w:r w:rsidRPr="009E5C2D">
              <w:rPr>
                <w:rFonts w:eastAsia="Calibri"/>
                <w:noProof/>
                <w:color w:val="000000"/>
              </w:rPr>
              <w:drawing>
                <wp:inline distT="0" distB="0" distL="0" distR="0" wp14:anchorId="52C11715" wp14:editId="549F6B1A">
                  <wp:extent cx="539750" cy="32854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789" cy="334045"/>
                          </a:xfrm>
                          <a:prstGeom prst="rect">
                            <a:avLst/>
                          </a:prstGeom>
                        </pic:spPr>
                      </pic:pic>
                    </a:graphicData>
                  </a:graphic>
                </wp:inline>
              </w:drawing>
            </w:r>
          </w:p>
        </w:tc>
        <w:tc>
          <w:tcPr>
            <w:tcW w:w="7082" w:type="dxa"/>
            <w:vAlign w:val="center"/>
          </w:tcPr>
          <w:p w14:paraId="7197C80F" w14:textId="77777777" w:rsidR="009E5C2D" w:rsidRPr="009E5C2D" w:rsidRDefault="009E5C2D" w:rsidP="009E5C2D">
            <w:pPr>
              <w:rPr>
                <w:rFonts w:eastAsia="Times New Roman"/>
                <w:color w:val="000000"/>
                <w:sz w:val="18"/>
                <w:szCs w:val="18"/>
              </w:rPr>
            </w:pPr>
            <w:r w:rsidRPr="009E5C2D">
              <w:rPr>
                <w:rFonts w:eastAsia="Calibri"/>
                <w:lang w:val="fr-FR"/>
              </w:rPr>
              <w:t xml:space="preserve">Surface minimale couverte par la surface de chaussée soumise à l’essai, </w:t>
            </w:r>
            <w:r w:rsidRPr="009E5C2D">
              <w:rPr>
                <w:rFonts w:eastAsia="Calibri"/>
                <w:lang w:val="fr-FR"/>
              </w:rPr>
              <w:br/>
              <w:t xml:space="preserve">soit la </w:t>
            </w:r>
            <w:r w:rsidRPr="009E5C2D">
              <w:rPr>
                <w:rFonts w:eastAsia="Calibri"/>
              </w:rPr>
              <w:t>“</w:t>
            </w:r>
            <w:r w:rsidRPr="009E5C2D">
              <w:rPr>
                <w:rFonts w:eastAsia="Calibri"/>
                <w:lang w:val="fr-FR"/>
              </w:rPr>
              <w:t>zone d’essai</w:t>
            </w:r>
            <w:r w:rsidRPr="009E5C2D">
              <w:rPr>
                <w:rFonts w:eastAsia="Calibri"/>
              </w:rPr>
              <w:t>”</w:t>
            </w:r>
          </w:p>
        </w:tc>
      </w:tr>
      <w:tr w:rsidR="009E5C2D" w:rsidRPr="009E5C2D" w14:paraId="00F10008" w14:textId="77777777" w:rsidTr="00F6249E">
        <w:trPr>
          <w:trHeight w:val="663"/>
        </w:trPr>
        <w:tc>
          <w:tcPr>
            <w:tcW w:w="1129" w:type="dxa"/>
            <w:vAlign w:val="center"/>
          </w:tcPr>
          <w:p w14:paraId="261DAE9D" w14:textId="77777777" w:rsidR="009E5C2D" w:rsidRPr="009E5C2D" w:rsidRDefault="009E5C2D" w:rsidP="009E5C2D">
            <w:pPr>
              <w:rPr>
                <w:rFonts w:eastAsia="Times New Roman"/>
                <w:color w:val="000000"/>
                <w:sz w:val="18"/>
                <w:szCs w:val="18"/>
                <w:lang w:val="fr-FR"/>
              </w:rPr>
            </w:pPr>
            <w:r w:rsidRPr="009E5C2D">
              <w:rPr>
                <w:rFonts w:eastAsia="Calibri"/>
                <w:noProof/>
                <w:color w:val="000000"/>
              </w:rPr>
              <w:drawing>
                <wp:anchor distT="0" distB="0" distL="114300" distR="114300" simplePos="0" relativeHeight="251660288" behindDoc="1" locked="0" layoutInCell="1" allowOverlap="1" wp14:anchorId="02DCA28F" wp14:editId="655500D1">
                  <wp:simplePos x="0" y="0"/>
                  <wp:positionH relativeFrom="column">
                    <wp:posOffset>176530</wp:posOffset>
                  </wp:positionH>
                  <wp:positionV relativeFrom="paragraph">
                    <wp:posOffset>-29210</wp:posOffset>
                  </wp:positionV>
                  <wp:extent cx="374650" cy="355600"/>
                  <wp:effectExtent l="0" t="0" r="635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60" t="63074" r="66006" b="5500"/>
                          <a:stretch/>
                        </pic:blipFill>
                        <pic:spPr bwMode="auto">
                          <a:xfrm>
                            <a:off x="0" y="0"/>
                            <a:ext cx="374650" cy="35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82" w:type="dxa"/>
            <w:vAlign w:val="center"/>
          </w:tcPr>
          <w:p w14:paraId="5BC07262" w14:textId="77777777" w:rsidR="009E5C2D" w:rsidRPr="009E5C2D" w:rsidRDefault="009E5C2D" w:rsidP="009E5C2D">
            <w:pPr>
              <w:rPr>
                <w:rFonts w:eastAsia="Times New Roman"/>
                <w:color w:val="000000"/>
                <w:sz w:val="18"/>
                <w:szCs w:val="18"/>
              </w:rPr>
            </w:pPr>
            <w:r w:rsidRPr="009E5C2D">
              <w:rPr>
                <w:rFonts w:eastAsia="Calibri"/>
                <w:lang w:val="fr-FR"/>
              </w:rPr>
              <w:t>Emplacements des microphones (hauteur : 1,2 m)</w:t>
            </w:r>
          </w:p>
        </w:tc>
      </w:tr>
    </w:tbl>
    <w:p w14:paraId="389AF1FF" w14:textId="77777777" w:rsidR="009E5C2D" w:rsidRPr="009E5C2D" w:rsidRDefault="009E5C2D" w:rsidP="000473E1">
      <w:pPr>
        <w:pStyle w:val="SingleTxtG"/>
        <w:spacing w:before="120"/>
        <w:rPr>
          <w:rFonts w:eastAsia="Times New Roman"/>
          <w:b/>
          <w:bCs/>
          <w:color w:val="000000"/>
          <w:sz w:val="18"/>
          <w:szCs w:val="18"/>
        </w:rPr>
      </w:pPr>
      <w:r w:rsidRPr="009E5C2D">
        <w:rPr>
          <w:rFonts w:eastAsia="Calibri"/>
          <w:lang w:val="fr-FR"/>
        </w:rPr>
        <w:t>Source</w:t>
      </w:r>
      <w:r w:rsidRPr="009E5C2D">
        <w:rPr>
          <w:rFonts w:eastAsia="Calibri"/>
          <w:i/>
          <w:iCs/>
          <w:lang w:val="fr-FR"/>
        </w:rPr>
        <w:t xml:space="preserve"> : </w:t>
      </w:r>
      <w:r w:rsidRPr="009E5C2D">
        <w:rPr>
          <w:rFonts w:eastAsia="Calibri"/>
          <w:lang w:val="fr-FR"/>
        </w:rPr>
        <w:t>norme ISO 10844:1994, avec modifications.</w:t>
      </w:r>
      <w:r w:rsidRPr="009E5C2D">
        <w:rPr>
          <w:rFonts w:eastAsia="Calibri"/>
          <w:b/>
          <w:bCs/>
          <w:lang w:val="fr-FR"/>
        </w:rPr>
        <w:t> </w:t>
      </w:r>
      <w:r w:rsidRPr="009E5C2D">
        <w:rPr>
          <w:rFonts w:eastAsia="Calibri"/>
          <w:lang w:val="fr-FR"/>
        </w:rPr>
        <w:t>».</w:t>
      </w:r>
    </w:p>
    <w:p w14:paraId="2B429B3B" w14:textId="77777777" w:rsidR="009E5C2D" w:rsidRPr="009E5C2D" w:rsidRDefault="009E5C2D" w:rsidP="005926B2">
      <w:pPr>
        <w:pStyle w:val="SingleTxtG"/>
        <w:rPr>
          <w:rFonts w:eastAsia="Times New Roman"/>
          <w:color w:val="000000"/>
          <w:sz w:val="18"/>
          <w:szCs w:val="18"/>
        </w:rPr>
      </w:pPr>
      <w:r w:rsidRPr="009E5C2D">
        <w:rPr>
          <w:rFonts w:eastAsia="Calibri"/>
          <w:i/>
          <w:iCs/>
          <w:lang w:val="fr-FR"/>
        </w:rPr>
        <w:t>Figure 2 et tableau 1</w:t>
      </w:r>
      <w:r w:rsidRPr="009E5C2D">
        <w:rPr>
          <w:rFonts w:eastAsia="Calibri"/>
          <w:lang w:val="fr-FR"/>
        </w:rPr>
        <w:t>, supprimer.</w:t>
      </w:r>
    </w:p>
    <w:p w14:paraId="1656B6FD" w14:textId="17B6D0E5" w:rsidR="009E5C2D" w:rsidRPr="009E5C2D" w:rsidRDefault="009E5C2D" w:rsidP="005926B2">
      <w:pPr>
        <w:pStyle w:val="SingleTxtG"/>
        <w:rPr>
          <w:rFonts w:eastAsia="Calibri"/>
          <w:lang w:val="fr-FR"/>
        </w:rPr>
      </w:pPr>
      <w:r w:rsidRPr="009E5C2D">
        <w:rPr>
          <w:rFonts w:eastAsia="Calibri"/>
          <w:i/>
          <w:iCs/>
          <w:lang w:val="fr-FR"/>
        </w:rPr>
        <w:t>Paragraphes 4, 4.1</w:t>
      </w:r>
      <w:r w:rsidRPr="009E5C2D">
        <w:rPr>
          <w:rFonts w:eastAsia="Calibri"/>
          <w:lang w:val="fr-FR"/>
        </w:rPr>
        <w:t xml:space="preserve"> </w:t>
      </w:r>
      <w:r w:rsidRPr="009E5C2D">
        <w:rPr>
          <w:rFonts w:eastAsia="Calibri"/>
          <w:i/>
          <w:iCs/>
          <w:lang w:val="fr-FR"/>
        </w:rPr>
        <w:t>à 4.3, 5</w:t>
      </w:r>
      <w:r w:rsidRPr="009E5C2D">
        <w:rPr>
          <w:rFonts w:eastAsia="Calibri"/>
          <w:lang w:val="fr-FR"/>
        </w:rPr>
        <w:t xml:space="preserve"> </w:t>
      </w:r>
      <w:r w:rsidRPr="009E5C2D">
        <w:rPr>
          <w:rFonts w:eastAsia="Calibri"/>
          <w:i/>
          <w:iCs/>
          <w:lang w:val="fr-FR"/>
        </w:rPr>
        <w:t>et 5.1</w:t>
      </w:r>
      <w:r w:rsidRPr="009E5C2D">
        <w:rPr>
          <w:rFonts w:eastAsia="Calibri"/>
          <w:lang w:val="fr-FR"/>
        </w:rPr>
        <w:t xml:space="preserve"> </w:t>
      </w:r>
      <w:r w:rsidRPr="009E5C2D">
        <w:rPr>
          <w:rFonts w:eastAsia="Calibri"/>
          <w:i/>
          <w:iCs/>
          <w:lang w:val="fr-FR"/>
        </w:rPr>
        <w:t>à 5.3</w:t>
      </w:r>
      <w:r w:rsidRPr="009E5C2D">
        <w:rPr>
          <w:rFonts w:eastAsia="Calibri"/>
          <w:lang w:val="fr-FR"/>
        </w:rPr>
        <w:t xml:space="preserve">, supprimer. </w:t>
      </w:r>
    </w:p>
    <w:p w14:paraId="1E940844" w14:textId="5B78A886" w:rsidR="005F0207" w:rsidRDefault="009E5C2D" w:rsidP="005926B2">
      <w:pPr>
        <w:pStyle w:val="SingleTxtG"/>
        <w:rPr>
          <w:rFonts w:eastAsia="Calibri"/>
          <w:lang w:val="fr-FR"/>
        </w:rPr>
      </w:pPr>
      <w:r w:rsidRPr="009E5C2D">
        <w:rPr>
          <w:rFonts w:eastAsia="Calibri"/>
          <w:i/>
          <w:iCs/>
          <w:lang w:val="fr-FR"/>
        </w:rPr>
        <w:t>Paragraphes 6, 6.1, 6.1.1 à 6.1.6, 6.1.6.1 à 6.1.6.7 et 6.2</w:t>
      </w:r>
      <w:r w:rsidRPr="009E5C2D">
        <w:rPr>
          <w:rFonts w:eastAsia="Calibri"/>
          <w:lang w:val="fr-FR"/>
        </w:rPr>
        <w:t>, supprimer.</w:t>
      </w:r>
    </w:p>
    <w:p w14:paraId="3EE5F386" w14:textId="4A9DC0AC" w:rsidR="009E5C2D" w:rsidRPr="009E5C2D" w:rsidRDefault="009E5C2D" w:rsidP="009E5C2D">
      <w:pPr>
        <w:pStyle w:val="SingleTxtG"/>
        <w:spacing w:before="240" w:after="0"/>
        <w:jc w:val="center"/>
        <w:rPr>
          <w:u w:val="single"/>
        </w:rPr>
      </w:pPr>
      <w:r>
        <w:rPr>
          <w:u w:val="single"/>
        </w:rPr>
        <w:tab/>
      </w:r>
      <w:r>
        <w:rPr>
          <w:u w:val="single"/>
        </w:rPr>
        <w:tab/>
      </w:r>
      <w:r>
        <w:rPr>
          <w:u w:val="single"/>
        </w:rPr>
        <w:tab/>
      </w:r>
      <w:r>
        <w:rPr>
          <w:u w:val="single"/>
        </w:rPr>
        <w:tab/>
      </w:r>
    </w:p>
    <w:sectPr w:rsidR="009E5C2D" w:rsidRPr="009E5C2D" w:rsidSect="009E5C2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1BD3" w14:textId="77777777" w:rsidR="009443ED" w:rsidRDefault="009443ED"/>
  </w:endnote>
  <w:endnote w:type="continuationSeparator" w:id="0">
    <w:p w14:paraId="4897A9F5" w14:textId="77777777" w:rsidR="009443ED" w:rsidRDefault="009443ED">
      <w:pPr>
        <w:pStyle w:val="Pieddepage"/>
      </w:pPr>
    </w:p>
  </w:endnote>
  <w:endnote w:type="continuationNotice" w:id="1">
    <w:p w14:paraId="62CF2F03" w14:textId="77777777" w:rsidR="009443ED" w:rsidRPr="00C451B9" w:rsidRDefault="009443E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39CB" w14:textId="77777777" w:rsidR="009E5C2D" w:rsidRPr="009E5C2D" w:rsidRDefault="009E5C2D" w:rsidP="009E5C2D">
    <w:pPr>
      <w:pStyle w:val="Pieddepage"/>
      <w:tabs>
        <w:tab w:val="right" w:pos="9638"/>
      </w:tabs>
    </w:pPr>
    <w:r w:rsidRPr="009E5C2D">
      <w:rPr>
        <w:b/>
        <w:sz w:val="18"/>
      </w:rPr>
      <w:fldChar w:fldCharType="begin"/>
    </w:r>
    <w:r w:rsidRPr="009E5C2D">
      <w:rPr>
        <w:b/>
        <w:sz w:val="18"/>
      </w:rPr>
      <w:instrText xml:space="preserve"> PAGE  \* MERGEFORMAT </w:instrText>
    </w:r>
    <w:r w:rsidRPr="009E5C2D">
      <w:rPr>
        <w:b/>
        <w:sz w:val="18"/>
      </w:rPr>
      <w:fldChar w:fldCharType="separate"/>
    </w:r>
    <w:r w:rsidRPr="009E5C2D">
      <w:rPr>
        <w:b/>
        <w:noProof/>
        <w:sz w:val="18"/>
      </w:rPr>
      <w:t>2</w:t>
    </w:r>
    <w:r w:rsidRPr="009E5C2D">
      <w:rPr>
        <w:b/>
        <w:sz w:val="18"/>
      </w:rPr>
      <w:fldChar w:fldCharType="end"/>
    </w:r>
    <w:r>
      <w:rPr>
        <w:b/>
        <w:sz w:val="18"/>
      </w:rPr>
      <w:tab/>
    </w:r>
    <w:r>
      <w:t>GE.22-25260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CA3F" w14:textId="77777777" w:rsidR="009E5C2D" w:rsidRPr="009E5C2D" w:rsidRDefault="009E5C2D" w:rsidP="009E5C2D">
    <w:pPr>
      <w:pStyle w:val="Pieddepage"/>
      <w:tabs>
        <w:tab w:val="right" w:pos="9638"/>
      </w:tabs>
      <w:rPr>
        <w:b/>
        <w:sz w:val="18"/>
      </w:rPr>
    </w:pPr>
    <w:r>
      <w:t>GE.22-25260</w:t>
    </w:r>
    <w:r>
      <w:tab/>
    </w:r>
    <w:r w:rsidRPr="009E5C2D">
      <w:rPr>
        <w:b/>
        <w:sz w:val="18"/>
      </w:rPr>
      <w:fldChar w:fldCharType="begin"/>
    </w:r>
    <w:r w:rsidRPr="009E5C2D">
      <w:rPr>
        <w:b/>
        <w:sz w:val="18"/>
      </w:rPr>
      <w:instrText xml:space="preserve"> PAGE  \* MERGEFORMAT </w:instrText>
    </w:r>
    <w:r w:rsidRPr="009E5C2D">
      <w:rPr>
        <w:b/>
        <w:sz w:val="18"/>
      </w:rPr>
      <w:fldChar w:fldCharType="separate"/>
    </w:r>
    <w:r w:rsidRPr="009E5C2D">
      <w:rPr>
        <w:b/>
        <w:noProof/>
        <w:sz w:val="18"/>
      </w:rPr>
      <w:t>3</w:t>
    </w:r>
    <w:r w:rsidRPr="009E5C2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8FC2" w14:textId="3EB2CC3A" w:rsidR="00467F2C" w:rsidRPr="009E5C2D" w:rsidRDefault="009E5C2D" w:rsidP="009E5C2D">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D748EFF" wp14:editId="5B9EB768">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22-25260  (F)</w:t>
    </w:r>
    <w:r>
      <w:rPr>
        <w:noProof/>
        <w:sz w:val="20"/>
      </w:rPr>
      <w:drawing>
        <wp:anchor distT="0" distB="0" distL="114300" distR="114300" simplePos="0" relativeHeight="251660288" behindDoc="0" locked="0" layoutInCell="1" allowOverlap="1" wp14:anchorId="406BD85D" wp14:editId="045846F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190123    190123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89C6" w14:textId="77777777" w:rsidR="009443ED" w:rsidRPr="00D27D5E" w:rsidRDefault="009443ED" w:rsidP="00D27D5E">
      <w:pPr>
        <w:tabs>
          <w:tab w:val="right" w:pos="2155"/>
        </w:tabs>
        <w:spacing w:after="80"/>
        <w:ind w:left="680"/>
        <w:rPr>
          <w:u w:val="single"/>
        </w:rPr>
      </w:pPr>
      <w:r>
        <w:rPr>
          <w:u w:val="single"/>
        </w:rPr>
        <w:tab/>
      </w:r>
    </w:p>
  </w:footnote>
  <w:footnote w:type="continuationSeparator" w:id="0">
    <w:p w14:paraId="2336025A" w14:textId="77777777" w:rsidR="009443ED" w:rsidRPr="00D171D4" w:rsidRDefault="009443ED" w:rsidP="00D171D4">
      <w:pPr>
        <w:tabs>
          <w:tab w:val="right" w:pos="2155"/>
        </w:tabs>
        <w:spacing w:after="80"/>
        <w:ind w:left="680"/>
        <w:rPr>
          <w:u w:val="single"/>
        </w:rPr>
      </w:pPr>
      <w:r w:rsidRPr="00D171D4">
        <w:rPr>
          <w:u w:val="single"/>
        </w:rPr>
        <w:tab/>
      </w:r>
    </w:p>
  </w:footnote>
  <w:footnote w:type="continuationNotice" w:id="1">
    <w:p w14:paraId="59730D56" w14:textId="77777777" w:rsidR="009443ED" w:rsidRPr="00C451B9" w:rsidRDefault="009443ED" w:rsidP="00C451B9">
      <w:pPr>
        <w:spacing w:line="240" w:lineRule="auto"/>
        <w:rPr>
          <w:sz w:val="2"/>
          <w:szCs w:val="2"/>
        </w:rPr>
      </w:pPr>
    </w:p>
  </w:footnote>
  <w:footnote w:id="2">
    <w:p w14:paraId="49A67F9D"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137A91BD" w14:textId="77777777" w:rsidR="00591072" w:rsidRPr="00591072" w:rsidRDefault="00591072" w:rsidP="00591072">
      <w:pPr>
        <w:pStyle w:val="Notedebasdepage"/>
      </w:pPr>
      <w:r w:rsidRPr="009E5C2D">
        <w:tab/>
      </w:r>
      <w:r w:rsidRPr="009E5C2D">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6035C21F"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0964FD86"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49DB" w14:textId="70A9049E" w:rsidR="009E5C2D" w:rsidRPr="009E5C2D" w:rsidRDefault="009E5C2D">
    <w:pPr>
      <w:pStyle w:val="En-tte"/>
      <w:rPr>
        <w:lang w:val="en-US"/>
      </w:rPr>
    </w:pPr>
    <w:r>
      <w:fldChar w:fldCharType="begin"/>
    </w:r>
    <w:r w:rsidRPr="009E5C2D">
      <w:rPr>
        <w:lang w:val="en-US"/>
      </w:rPr>
      <w:instrText xml:space="preserve"> TITLE  \* MERGEFORMAT </w:instrText>
    </w:r>
    <w:r>
      <w:fldChar w:fldCharType="separate"/>
    </w:r>
    <w:r w:rsidR="00C7035F">
      <w:rPr>
        <w:lang w:val="en-US"/>
      </w:rPr>
      <w:t>E/ECE/324/Rev.1/Add.62/Rev.1/Amend.5</w:t>
    </w:r>
    <w:r>
      <w:fldChar w:fldCharType="end"/>
    </w:r>
    <w:r w:rsidRPr="009E5C2D">
      <w:rPr>
        <w:lang w:val="en-US"/>
      </w:rPr>
      <w:br/>
    </w:r>
    <w:r>
      <w:fldChar w:fldCharType="begin"/>
    </w:r>
    <w:r w:rsidRPr="009E5C2D">
      <w:rPr>
        <w:lang w:val="en-US"/>
      </w:rPr>
      <w:instrText xml:space="preserve"> KEYWORDS  \* MERGEFORMAT </w:instrText>
    </w:r>
    <w:r>
      <w:fldChar w:fldCharType="separate"/>
    </w:r>
    <w:r w:rsidR="00C7035F">
      <w:rPr>
        <w:lang w:val="en-US"/>
      </w:rPr>
      <w:t>E/ECE/TRANS/505/Rev.1/Add.62/Rev.1/Amend.5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ECB" w14:textId="00F3F9DA" w:rsidR="009E5C2D" w:rsidRPr="009E5C2D" w:rsidRDefault="009E5C2D" w:rsidP="009E5C2D">
    <w:pPr>
      <w:pStyle w:val="En-tte"/>
      <w:jc w:val="right"/>
      <w:rPr>
        <w:lang w:val="en-US"/>
      </w:rPr>
    </w:pPr>
    <w:r>
      <w:fldChar w:fldCharType="begin"/>
    </w:r>
    <w:r w:rsidRPr="009E5C2D">
      <w:rPr>
        <w:lang w:val="en-US"/>
      </w:rPr>
      <w:instrText xml:space="preserve"> TITLE  \* MERGEFORMAT </w:instrText>
    </w:r>
    <w:r>
      <w:fldChar w:fldCharType="separate"/>
    </w:r>
    <w:r w:rsidR="00C7035F">
      <w:rPr>
        <w:lang w:val="en-US"/>
      </w:rPr>
      <w:t>E/ECE/324/Rev.1/Add.62/Rev.1/Amend.5</w:t>
    </w:r>
    <w:r>
      <w:fldChar w:fldCharType="end"/>
    </w:r>
    <w:r w:rsidRPr="009E5C2D">
      <w:rPr>
        <w:lang w:val="en-US"/>
      </w:rPr>
      <w:br/>
    </w:r>
    <w:r>
      <w:fldChar w:fldCharType="begin"/>
    </w:r>
    <w:r w:rsidRPr="009E5C2D">
      <w:rPr>
        <w:lang w:val="en-US"/>
      </w:rPr>
      <w:instrText xml:space="preserve"> KEYWORDS  \* MERGEFORMAT </w:instrText>
    </w:r>
    <w:r>
      <w:fldChar w:fldCharType="separate"/>
    </w:r>
    <w:r w:rsidR="00C7035F">
      <w:rPr>
        <w:lang w:val="en-US"/>
      </w:rPr>
      <w:t>E/ECE/TRANS/505/Rev.1/Add.62/Rev.1/Amend.5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E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3E1"/>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E6005"/>
    <w:rsid w:val="000F41F2"/>
    <w:rsid w:val="0010373B"/>
    <w:rsid w:val="0011415F"/>
    <w:rsid w:val="00125446"/>
    <w:rsid w:val="0013000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87050"/>
    <w:rsid w:val="0059061F"/>
    <w:rsid w:val="00591072"/>
    <w:rsid w:val="00591DB3"/>
    <w:rsid w:val="005926B2"/>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120F"/>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2B93"/>
    <w:rsid w:val="00796316"/>
    <w:rsid w:val="007A1C58"/>
    <w:rsid w:val="007A20D2"/>
    <w:rsid w:val="007A79CD"/>
    <w:rsid w:val="007C16EA"/>
    <w:rsid w:val="007D2668"/>
    <w:rsid w:val="007D3119"/>
    <w:rsid w:val="007E05F6"/>
    <w:rsid w:val="007F1867"/>
    <w:rsid w:val="007F1EC4"/>
    <w:rsid w:val="007F55CB"/>
    <w:rsid w:val="007F768E"/>
    <w:rsid w:val="008021D4"/>
    <w:rsid w:val="008149F9"/>
    <w:rsid w:val="008245B7"/>
    <w:rsid w:val="0082755E"/>
    <w:rsid w:val="00831A18"/>
    <w:rsid w:val="00837345"/>
    <w:rsid w:val="00844750"/>
    <w:rsid w:val="00845AA7"/>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443ED"/>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5C2D"/>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AF30F7"/>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035F"/>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249E"/>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2EF0AC3"/>
  <w15:docId w15:val="{32FFB444-B3F3-43EE-932C-07649576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3</Pages>
  <Words>509</Words>
  <Characters>3310</Characters>
  <Application>Microsoft Office Word</Application>
  <DocSecurity>0</DocSecurity>
  <Lines>331</Lines>
  <Paragraphs>224</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E/ECE/324/Rev.1/Add.62/Rev.1/Amend.5</dc:title>
  <dc:creator>Valerie BERTIN</dc:creator>
  <cp:keywords>E/ECE/TRANS/505/Rev.1/Add.62/Rev.1/Amend.5</cp:keywords>
  <cp:lastModifiedBy>Valerie Bertin</cp:lastModifiedBy>
  <cp:revision>3</cp:revision>
  <cp:lastPrinted>2023-01-19T13:38:00Z</cp:lastPrinted>
  <dcterms:created xsi:type="dcterms:W3CDTF">2023-01-19T13:38:00Z</dcterms:created>
  <dcterms:modified xsi:type="dcterms:W3CDTF">2023-01-19T13:38:00Z</dcterms:modified>
</cp:coreProperties>
</file>