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35108B4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6EA1F" w14:textId="77777777" w:rsidR="007E2996" w:rsidRPr="00DB58B5" w:rsidRDefault="007E2996" w:rsidP="007E2996">
            <w:pPr>
              <w:jc w:val="right"/>
            </w:pPr>
            <w:r w:rsidRPr="007E2996">
              <w:rPr>
                <w:sz w:val="40"/>
              </w:rPr>
              <w:t>E</w:t>
            </w:r>
            <w:r>
              <w:t>/ECE/324/Rev.1/Add.47/Rev.6/Amend.14−</w:t>
            </w:r>
            <w:r w:rsidRPr="007E2996">
              <w:rPr>
                <w:sz w:val="40"/>
              </w:rPr>
              <w:t>E</w:t>
            </w:r>
            <w:r>
              <w:t>/ECE/TRANS/505/Rev.1/Add.47/Rev.6/Amend.14</w:t>
            </w:r>
          </w:p>
        </w:tc>
      </w:tr>
      <w:tr w:rsidR="00421A10" w:rsidRPr="00DB58B5" w14:paraId="2554ACB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BC8287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E85D6C" w14:textId="77777777" w:rsidR="00421A10" w:rsidRPr="00DB58B5" w:rsidRDefault="007E2996" w:rsidP="00A27C92">
            <w:pPr>
              <w:spacing w:before="480" w:line="240" w:lineRule="exact"/>
            </w:pPr>
            <w:r>
              <w:t>15 février 2023</w:t>
            </w:r>
          </w:p>
        </w:tc>
      </w:tr>
    </w:tbl>
    <w:p w14:paraId="3C71951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C721D59" w14:textId="4F770B91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E6E99" w:rsidRPr="002669F1">
        <w:rPr>
          <w:lang w:val="fr-FR"/>
        </w:rPr>
        <w:t>de Règlements techniques harmonisés de l</w:t>
      </w:r>
      <w:r w:rsidR="008E6E99">
        <w:rPr>
          <w:lang w:val="fr-FR"/>
        </w:rPr>
        <w:t>’</w:t>
      </w:r>
      <w:r w:rsidR="008E6E99" w:rsidRPr="002669F1">
        <w:rPr>
          <w:lang w:val="fr-FR"/>
        </w:rPr>
        <w:t>ONU applicables aux véhicules à roues et aux équipements et pièces susceptibles d</w:t>
      </w:r>
      <w:r w:rsidR="008E6E99">
        <w:rPr>
          <w:lang w:val="fr-FR"/>
        </w:rPr>
        <w:t>’</w:t>
      </w:r>
      <w:r w:rsidR="008E6E99" w:rsidRPr="002669F1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BF1E6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0DCD8CA" w14:textId="07CC90C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E6E99" w:rsidRPr="00760BAA">
        <w:rPr>
          <w:lang w:val="fr-FR"/>
        </w:rPr>
        <w:t>3, comprenant les amendements entrés en vigueur le 14 septembre 2017</w:t>
      </w:r>
      <w:r w:rsidRPr="006549FF">
        <w:t>)</w:t>
      </w:r>
    </w:p>
    <w:p w14:paraId="6375A827" w14:textId="77777777" w:rsidR="00421A10" w:rsidRPr="006549FF" w:rsidRDefault="0029791D" w:rsidP="0029791D">
      <w:pPr>
        <w:jc w:val="center"/>
      </w:pPr>
      <w:r>
        <w:t>_______________</w:t>
      </w:r>
    </w:p>
    <w:p w14:paraId="33C0DA3A" w14:textId="1CEE05C8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E6E99" w:rsidRPr="005C6014">
        <w:rPr>
          <w:lang w:val="fr-FR"/>
        </w:rPr>
        <w:t>47</w:t>
      </w:r>
      <w:r w:rsidR="008E6E99">
        <w:rPr>
          <w:lang w:val="fr-FR"/>
        </w:rPr>
        <w:t xml:space="preserve"> −</w:t>
      </w:r>
      <w:r w:rsidR="008E6E99" w:rsidRPr="005C6014">
        <w:rPr>
          <w:lang w:val="fr-FR"/>
        </w:rPr>
        <w:t xml:space="preserve"> Règlement 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E6E99">
        <w:t>48</w:t>
      </w:r>
    </w:p>
    <w:p w14:paraId="0880B8CB" w14:textId="21A95A71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E6E99" w:rsidRPr="00C614AE">
        <w:rPr>
          <w:lang w:val="fr-FR"/>
        </w:rPr>
        <w:t xml:space="preserve">6 </w:t>
      </w:r>
      <w:r w:rsidR="008E6E99">
        <w:rPr>
          <w:lang w:val="fr-FR"/>
        </w:rPr>
        <w:t xml:space="preserve">− </w:t>
      </w:r>
      <w:r w:rsidR="008E6E99" w:rsidRPr="00C614AE">
        <w:rPr>
          <w:lang w:val="fr-FR"/>
        </w:rPr>
        <w:t>Amendement 14</w:t>
      </w:r>
    </w:p>
    <w:p w14:paraId="5C1724D4" w14:textId="3E7B25BA" w:rsidR="00421A10" w:rsidRPr="0029791D" w:rsidRDefault="008E6E99" w:rsidP="0029791D">
      <w:pPr>
        <w:pStyle w:val="SingleTxtG"/>
      </w:pPr>
      <w:r w:rsidRPr="002D4173">
        <w:rPr>
          <w:spacing w:val="-2"/>
          <w:lang w:val="fr-FR"/>
        </w:rPr>
        <w:t>Complément 8 à la série 03 d</w:t>
      </w:r>
      <w:r>
        <w:rPr>
          <w:spacing w:val="-2"/>
          <w:lang w:val="fr-FR"/>
        </w:rPr>
        <w:t>’</w:t>
      </w:r>
      <w:r w:rsidRPr="002D4173">
        <w:rPr>
          <w:spacing w:val="-2"/>
          <w:lang w:val="fr-FR"/>
        </w:rPr>
        <w:t>amendements</w:t>
      </w:r>
      <w:r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−</w:t>
      </w:r>
      <w:r w:rsidRPr="002D4173">
        <w:rPr>
          <w:spacing w:val="-2"/>
          <w:lang w:val="fr-FR"/>
        </w:rPr>
        <w:t xml:space="preserve"> </w:t>
      </w:r>
      <w:r w:rsidRPr="001870B4">
        <w:rPr>
          <w:spacing w:val="-2"/>
          <w:lang w:val="fr-FR"/>
        </w:rPr>
        <w:t>Date d</w:t>
      </w:r>
      <w:r>
        <w:rPr>
          <w:spacing w:val="-2"/>
          <w:lang w:val="fr-FR"/>
        </w:rPr>
        <w:t>’</w:t>
      </w:r>
      <w:r w:rsidRPr="001870B4">
        <w:rPr>
          <w:spacing w:val="-2"/>
          <w:lang w:val="fr-FR"/>
        </w:rPr>
        <w:t>entrée en vigueur</w:t>
      </w:r>
      <w:r w:rsidR="00657E76">
        <w:rPr>
          <w:spacing w:val="-2"/>
          <w:lang w:val="fr-FR"/>
        </w:rPr>
        <w:t> :</w:t>
      </w:r>
      <w:r w:rsidRPr="002D4173">
        <w:rPr>
          <w:spacing w:val="-2"/>
          <w:lang w:val="fr-FR"/>
        </w:rPr>
        <w:t xml:space="preserve"> </w:t>
      </w:r>
      <w:r w:rsidRPr="002D4173">
        <w:rPr>
          <w:lang w:val="fr-FR"/>
        </w:rPr>
        <w:t xml:space="preserve">4 </w:t>
      </w:r>
      <w:r>
        <w:rPr>
          <w:lang w:val="fr-FR"/>
        </w:rPr>
        <w:t>janvier</w:t>
      </w:r>
      <w:r w:rsidRPr="002D4173">
        <w:rPr>
          <w:lang w:val="fr-FR"/>
        </w:rPr>
        <w:t xml:space="preserve"> 2023</w:t>
      </w:r>
    </w:p>
    <w:p w14:paraId="7EECB8FF" w14:textId="508A01D0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E6E99" w:rsidRPr="00FC2608">
        <w:rPr>
          <w:lang w:val="fr-FR"/>
        </w:rPr>
        <w:t>à l</w:t>
      </w:r>
      <w:r w:rsidR="008E6E99">
        <w:rPr>
          <w:lang w:val="fr-FR"/>
        </w:rPr>
        <w:t>’</w:t>
      </w:r>
      <w:r w:rsidR="008E6E99" w:rsidRPr="00FC2608">
        <w:rPr>
          <w:lang w:val="fr-FR"/>
        </w:rPr>
        <w:t>homologation des véhicules en ce qui concerne l</w:t>
      </w:r>
      <w:r w:rsidR="008E6E99">
        <w:rPr>
          <w:lang w:val="fr-FR"/>
        </w:rPr>
        <w:t>’</w:t>
      </w:r>
      <w:r w:rsidR="008E6E99" w:rsidRPr="00FC2608">
        <w:rPr>
          <w:lang w:val="fr-FR"/>
        </w:rPr>
        <w:t>installation des dispositifs d</w:t>
      </w:r>
      <w:r w:rsidR="008E6E99">
        <w:rPr>
          <w:lang w:val="fr-FR"/>
        </w:rPr>
        <w:t>’</w:t>
      </w:r>
      <w:r w:rsidR="008E6E99" w:rsidRPr="00FC2608">
        <w:rPr>
          <w:lang w:val="fr-FR"/>
        </w:rPr>
        <w:t>éclairage et de signalisation lumineuse</w:t>
      </w:r>
    </w:p>
    <w:p w14:paraId="5A8202A0" w14:textId="5C88802A" w:rsidR="007E2996" w:rsidRDefault="008E6E99" w:rsidP="008E6E99">
      <w:pPr>
        <w:pStyle w:val="SingleTxtG"/>
        <w:ind w:firstLine="567"/>
      </w:pPr>
      <w:r w:rsidRPr="008E5B93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8E5B93">
        <w:rPr>
          <w:spacing w:val="-4"/>
          <w:lang w:val="fr-FR" w:eastAsia="en-GB"/>
        </w:rPr>
        <w:t>information.</w:t>
      </w:r>
      <w:r w:rsidRPr="0043279B">
        <w:rPr>
          <w:spacing w:val="-4"/>
          <w:lang w:val="fr-FR" w:eastAsia="en-GB"/>
        </w:rPr>
        <w:t xml:space="preserve"> </w:t>
      </w:r>
      <w:r w:rsidRPr="008E5B93">
        <w:rPr>
          <w:spacing w:val="-4"/>
          <w:lang w:val="fr-FR" w:eastAsia="en-GB"/>
        </w:rPr>
        <w:t>Le texte authentique, juridiquement contraignant, est celui du document</w:t>
      </w:r>
      <w:r w:rsidRPr="008E5B93">
        <w:rPr>
          <w:lang w:val="fr-FR" w:eastAsia="en-GB"/>
        </w:rPr>
        <w:t xml:space="preserve"> </w:t>
      </w:r>
      <w:r w:rsidRPr="008E5B93">
        <w:rPr>
          <w:spacing w:val="-6"/>
          <w:lang w:val="fr-FR" w:eastAsia="en-GB"/>
        </w:rPr>
        <w:t>ECE/TRANS/WP.29/2022/95.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A8280" wp14:editId="6BED6CBF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D71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500C29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83C5AE4" wp14:editId="3E77E78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69D2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82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518D71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500C29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83C5AE4" wp14:editId="3E77E78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69D2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AB94DB" w14:textId="055B06A9" w:rsidR="008E6E99" w:rsidRDefault="008E6E99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5E28AB19" w14:textId="2EE517C5" w:rsidR="008E6E99" w:rsidRPr="00614A75" w:rsidRDefault="008E6E99" w:rsidP="00657E76">
      <w:pPr>
        <w:pStyle w:val="SingleTxtG"/>
        <w:keepNext/>
        <w:rPr>
          <w:lang w:val="fr-FR"/>
        </w:rPr>
      </w:pPr>
      <w:bookmarkStart w:id="0" w:name="_Hlk85793171"/>
      <w:r w:rsidRPr="00614A75">
        <w:rPr>
          <w:i/>
          <w:lang w:val="fr-FR"/>
        </w:rPr>
        <w:lastRenderedPageBreak/>
        <w:t>Ajouter le nouveau paragraphe</w:t>
      </w:r>
      <w:r w:rsidR="00657E76">
        <w:rPr>
          <w:i/>
          <w:lang w:val="fr-FR"/>
        </w:rPr>
        <w:t xml:space="preserve"> </w:t>
      </w:r>
      <w:r w:rsidRPr="00614A75">
        <w:rPr>
          <w:i/>
          <w:lang w:val="fr-FR"/>
        </w:rPr>
        <w:t>2.7.9.1</w:t>
      </w:r>
      <w:r w:rsidRPr="00657E76">
        <w:rPr>
          <w:iCs/>
          <w:lang w:val="fr-FR"/>
        </w:rPr>
        <w:t>,</w:t>
      </w:r>
      <w:r w:rsidRPr="00614A75">
        <w:rPr>
          <w:i/>
          <w:lang w:val="fr-FR"/>
        </w:rPr>
        <w:t xml:space="preserve"> </w:t>
      </w:r>
      <w:r w:rsidRPr="00614A75">
        <w:rPr>
          <w:lang w:val="fr-FR"/>
        </w:rPr>
        <w:t>libellé comme suit</w:t>
      </w:r>
      <w:r w:rsidR="00657E76">
        <w:rPr>
          <w:lang w:val="fr-FR"/>
        </w:rPr>
        <w:t> :</w:t>
      </w:r>
    </w:p>
    <w:p w14:paraId="5938CBED" w14:textId="77777777" w:rsidR="008E6E99" w:rsidRPr="00614A75" w:rsidRDefault="008E6E99" w:rsidP="008E6E99">
      <w:pPr>
        <w:pStyle w:val="SingleTxtG"/>
        <w:ind w:left="2268" w:hanging="1134"/>
        <w:rPr>
          <w:strike/>
          <w:color w:val="000000" w:themeColor="text1"/>
          <w:lang w:val="fr-FR"/>
        </w:rPr>
      </w:pPr>
      <w:r w:rsidRPr="00614A75">
        <w:rPr>
          <w:lang w:val="fr-FR"/>
        </w:rPr>
        <w:t>« 2.7.9.1</w:t>
      </w:r>
      <w:r w:rsidRPr="00614A75">
        <w:rPr>
          <w:lang w:val="fr-FR"/>
        </w:rPr>
        <w:tab/>
        <w:t>“Feu de route auxiliaire”, un feu de route homologué en tant que feu distinct venant s</w:t>
      </w:r>
      <w:r>
        <w:rPr>
          <w:lang w:val="fr-FR"/>
        </w:rPr>
        <w:t>’</w:t>
      </w:r>
      <w:r w:rsidRPr="00614A75">
        <w:rPr>
          <w:lang w:val="fr-FR"/>
        </w:rPr>
        <w:t>ajouter à un feu de route d</w:t>
      </w:r>
      <w:r>
        <w:rPr>
          <w:lang w:val="fr-FR"/>
        </w:rPr>
        <w:t>’</w:t>
      </w:r>
      <w:r w:rsidRPr="00614A75">
        <w:rPr>
          <w:lang w:val="fr-FR"/>
        </w:rPr>
        <w:t>une autre classe. ».</w:t>
      </w:r>
    </w:p>
    <w:p w14:paraId="72F427E0" w14:textId="639F3692" w:rsidR="008E6E99" w:rsidRPr="00614A75" w:rsidRDefault="008E6E99" w:rsidP="00657E76">
      <w:pPr>
        <w:pStyle w:val="SingleTxtG"/>
        <w:keepNext/>
        <w:rPr>
          <w:lang w:val="fr-FR"/>
        </w:rPr>
      </w:pPr>
      <w:r w:rsidRPr="00614A75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614A75">
        <w:rPr>
          <w:i/>
          <w:lang w:val="fr-FR"/>
        </w:rPr>
        <w:t>5.10</w:t>
      </w:r>
      <w:r w:rsidRPr="00657E76">
        <w:rPr>
          <w:iCs/>
          <w:lang w:val="fr-FR"/>
        </w:rPr>
        <w:t>,</w:t>
      </w:r>
      <w:r w:rsidRPr="00614A75">
        <w:rPr>
          <w:i/>
          <w:lang w:val="fr-FR"/>
        </w:rPr>
        <w:t xml:space="preserve"> </w:t>
      </w:r>
      <w:r w:rsidRPr="00614A75">
        <w:rPr>
          <w:lang w:val="fr-FR"/>
        </w:rPr>
        <w:t>lire</w:t>
      </w:r>
      <w:r w:rsidR="00657E76">
        <w:rPr>
          <w:lang w:val="fr-FR"/>
        </w:rPr>
        <w:t> :</w:t>
      </w:r>
    </w:p>
    <w:p w14:paraId="1BAAA1FB" w14:textId="7D3D5CC1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« 5.10</w:t>
      </w:r>
      <w:r w:rsidRPr="00614A75">
        <w:rPr>
          <w:lang w:val="fr-FR"/>
        </w:rPr>
        <w:tab/>
        <w:t xml:space="preserve">Dispositions relatives à la lumière </w:t>
      </w:r>
      <w:r w:rsidRPr="00614A75">
        <w:rPr>
          <w:color w:val="000000" w:themeColor="text1"/>
          <w:lang w:val="fr-FR"/>
        </w:rPr>
        <w:t>qui pourrait être source de confusion</w:t>
      </w:r>
      <w:r w:rsidR="00657E76">
        <w:rPr>
          <w:lang w:val="fr-FR"/>
        </w:rPr>
        <w:t> :</w:t>
      </w:r>
    </w:p>
    <w:p w14:paraId="7C14D958" w14:textId="25B29C2C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5.10.1</w:t>
      </w:r>
      <w:r w:rsidRPr="00614A75">
        <w:rPr>
          <w:lang w:val="fr-FR"/>
        </w:rPr>
        <w:tab/>
        <w:t>La lumière rouge émise par un feu installé à l</w:t>
      </w:r>
      <w:r>
        <w:rPr>
          <w:lang w:val="fr-FR"/>
        </w:rPr>
        <w:t>’</w:t>
      </w:r>
      <w:r w:rsidRPr="00614A75">
        <w:rPr>
          <w:lang w:val="fr-FR"/>
        </w:rPr>
        <w:t>arrière du véhicule (tel que défini au paragraphe</w:t>
      </w:r>
      <w:r w:rsidR="00F403F2">
        <w:rPr>
          <w:lang w:val="fr-FR"/>
        </w:rPr>
        <w:t xml:space="preserve"> </w:t>
      </w:r>
      <w:r w:rsidRPr="00614A75">
        <w:rPr>
          <w:lang w:val="fr-FR"/>
        </w:rPr>
        <w:t>2.7) ne doit pas être visible de l</w:t>
      </w:r>
      <w:r>
        <w:rPr>
          <w:lang w:val="fr-FR"/>
        </w:rPr>
        <w:t>’</w:t>
      </w:r>
      <w:r w:rsidRPr="00614A75">
        <w:rPr>
          <w:lang w:val="fr-FR"/>
        </w:rPr>
        <w:t>avant du véhicule.</w:t>
      </w:r>
    </w:p>
    <w:p w14:paraId="46E309E4" w14:textId="64CCE270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5.10.2</w:t>
      </w:r>
      <w:r w:rsidRPr="00614A75">
        <w:rPr>
          <w:lang w:val="fr-FR"/>
        </w:rPr>
        <w:tab/>
        <w:t>La lumière blanche émise par un feu installé à l</w:t>
      </w:r>
      <w:r>
        <w:rPr>
          <w:lang w:val="fr-FR"/>
        </w:rPr>
        <w:t>’</w:t>
      </w:r>
      <w:r w:rsidRPr="00614A75">
        <w:rPr>
          <w:lang w:val="fr-FR"/>
        </w:rPr>
        <w:t>avant du véhicule (tel que défini au paragraphe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2.7) ne doit pas être visible de l</w:t>
      </w:r>
      <w:r>
        <w:rPr>
          <w:lang w:val="fr-FR"/>
        </w:rPr>
        <w:t>’</w:t>
      </w:r>
      <w:r w:rsidRPr="00614A75">
        <w:rPr>
          <w:lang w:val="fr-FR"/>
        </w:rPr>
        <w:t>arrière du véhicule.</w:t>
      </w:r>
    </w:p>
    <w:p w14:paraId="0EFF52A9" w14:textId="77777777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5.10.3</w:t>
      </w:r>
      <w:r w:rsidRPr="00614A75">
        <w:rPr>
          <w:lang w:val="fr-FR"/>
        </w:rPr>
        <w:tab/>
        <w:t>Il n</w:t>
      </w:r>
      <w:r>
        <w:rPr>
          <w:lang w:val="fr-FR"/>
        </w:rPr>
        <w:t>’</w:t>
      </w:r>
      <w:r w:rsidRPr="00614A75">
        <w:rPr>
          <w:lang w:val="fr-FR"/>
        </w:rPr>
        <w:t>est pas tenu compte de la lumière émise par les dispositifs d</w:t>
      </w:r>
      <w:r>
        <w:rPr>
          <w:lang w:val="fr-FR"/>
        </w:rPr>
        <w:t>’</w:t>
      </w:r>
      <w:r w:rsidRPr="00614A75">
        <w:rPr>
          <w:lang w:val="fr-FR"/>
        </w:rPr>
        <w:t>éclairage intérieur du véhicule.</w:t>
      </w:r>
    </w:p>
    <w:p w14:paraId="7412E745" w14:textId="076D7CE1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5.10.4</w:t>
      </w:r>
      <w:r w:rsidRPr="00614A75">
        <w:rPr>
          <w:lang w:val="fr-FR"/>
        </w:rPr>
        <w:tab/>
        <w:t>Vérification du respect des dispositions des paragraphes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5.10.1 et 5.10.2</w:t>
      </w:r>
      <w:r w:rsidR="00657E76">
        <w:rPr>
          <w:lang w:val="fr-FR"/>
        </w:rPr>
        <w:t> :</w:t>
      </w:r>
    </w:p>
    <w:p w14:paraId="143F4605" w14:textId="0DD1B996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5.10.4.1</w:t>
      </w:r>
      <w:r w:rsidRPr="00614A75">
        <w:rPr>
          <w:lang w:val="fr-FR"/>
        </w:rPr>
        <w:tab/>
        <w:t>En ce qui concerne la visibilité de la lumière rouge vers l</w:t>
      </w:r>
      <w:r>
        <w:rPr>
          <w:lang w:val="fr-FR"/>
        </w:rPr>
        <w:t>’</w:t>
      </w:r>
      <w:r w:rsidRPr="00614A75">
        <w:rPr>
          <w:lang w:val="fr-FR"/>
        </w:rPr>
        <w:t>avant du véhicule, à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l</w:t>
      </w:r>
      <w:r>
        <w:rPr>
          <w:lang w:val="fr-FR"/>
        </w:rPr>
        <w:t>’</w:t>
      </w:r>
      <w:r w:rsidRPr="00614A75">
        <w:rPr>
          <w:lang w:val="fr-FR"/>
        </w:rPr>
        <w:t>exception du feu de position latéral de couleur rouge le plus en arrière, la surface apparente d</w:t>
      </w:r>
      <w:r>
        <w:rPr>
          <w:lang w:val="fr-FR"/>
        </w:rPr>
        <w:t>’</w:t>
      </w:r>
      <w:r w:rsidRPr="00614A75">
        <w:rPr>
          <w:lang w:val="fr-FR"/>
        </w:rPr>
        <w:t>un feu de couleur rouge ne doit pas être directement visible pour l</w:t>
      </w:r>
      <w:r>
        <w:rPr>
          <w:lang w:val="fr-FR"/>
        </w:rPr>
        <w:t>’</w:t>
      </w:r>
      <w:r w:rsidRPr="00614A75">
        <w:rPr>
          <w:lang w:val="fr-FR"/>
        </w:rPr>
        <w:t>œil d</w:t>
      </w:r>
      <w:r>
        <w:rPr>
          <w:lang w:val="fr-FR"/>
        </w:rPr>
        <w:t>’</w:t>
      </w:r>
      <w:r w:rsidRPr="00614A75">
        <w:rPr>
          <w:lang w:val="fr-FR"/>
        </w:rPr>
        <w:t>un observateur se déplaçant dans la zone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1 sur un plan transversal situé à 25 m en avant du véhicule (voir annexe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4)</w:t>
      </w:r>
      <w:r w:rsidR="00657E76">
        <w:rPr>
          <w:lang w:val="fr-FR"/>
        </w:rPr>
        <w:t> ;</w:t>
      </w:r>
    </w:p>
    <w:p w14:paraId="5A6DDC58" w14:textId="2859D485" w:rsidR="008E6E99" w:rsidRPr="00614A75" w:rsidRDefault="008E6E99" w:rsidP="008E6E99">
      <w:pPr>
        <w:pStyle w:val="SingleTxtG"/>
        <w:ind w:left="2268" w:hanging="1134"/>
        <w:rPr>
          <w:lang w:val="fr-FR"/>
        </w:rPr>
      </w:pPr>
      <w:r w:rsidRPr="00614A75">
        <w:rPr>
          <w:lang w:val="fr-FR"/>
        </w:rPr>
        <w:t>5.10.4.2</w:t>
      </w:r>
      <w:r w:rsidRPr="00614A75">
        <w:rPr>
          <w:lang w:val="fr-FR"/>
        </w:rPr>
        <w:tab/>
        <w:t>En ce qui concerne la visibilité de la lumière blanche vers l</w:t>
      </w:r>
      <w:r>
        <w:rPr>
          <w:lang w:val="fr-FR"/>
        </w:rPr>
        <w:t>’</w:t>
      </w:r>
      <w:r w:rsidRPr="00614A75">
        <w:rPr>
          <w:lang w:val="fr-FR"/>
        </w:rPr>
        <w:t>arrière du véhicule, à l</w:t>
      </w:r>
      <w:r>
        <w:rPr>
          <w:lang w:val="fr-FR"/>
        </w:rPr>
        <w:t>’</w:t>
      </w:r>
      <w:r w:rsidRPr="00614A75">
        <w:rPr>
          <w:lang w:val="fr-FR"/>
        </w:rPr>
        <w:t>exception des feux de recul et des marquages latéraux à grande visibilité de couleur blanche, la surface apparente d</w:t>
      </w:r>
      <w:r>
        <w:rPr>
          <w:lang w:val="fr-FR"/>
        </w:rPr>
        <w:t>’</w:t>
      </w:r>
      <w:r w:rsidRPr="00614A75">
        <w:rPr>
          <w:lang w:val="fr-FR"/>
        </w:rPr>
        <w:t>un feu de couleur blanche ne doit pas être directement visible pour l</w:t>
      </w:r>
      <w:r>
        <w:rPr>
          <w:lang w:val="fr-FR"/>
        </w:rPr>
        <w:t>’</w:t>
      </w:r>
      <w:r w:rsidRPr="00614A75">
        <w:rPr>
          <w:lang w:val="fr-FR"/>
        </w:rPr>
        <w:t>œil d</w:t>
      </w:r>
      <w:r>
        <w:rPr>
          <w:lang w:val="fr-FR"/>
        </w:rPr>
        <w:t>’</w:t>
      </w:r>
      <w:r w:rsidRPr="00614A75">
        <w:rPr>
          <w:lang w:val="fr-FR"/>
        </w:rPr>
        <w:t>un observateur se déplaçant dans la zone 2 sur un plan transversal situé à 25 m en arrière du véhicule (voir annexe</w:t>
      </w:r>
      <w:r w:rsidR="00657E76">
        <w:rPr>
          <w:lang w:val="fr-FR"/>
        </w:rPr>
        <w:t xml:space="preserve"> </w:t>
      </w:r>
      <w:r w:rsidRPr="00614A75">
        <w:rPr>
          <w:lang w:val="fr-FR"/>
        </w:rPr>
        <w:t>4)</w:t>
      </w:r>
      <w:r w:rsidR="00657E76">
        <w:rPr>
          <w:lang w:val="fr-FR"/>
        </w:rPr>
        <w:t> ;</w:t>
      </w:r>
    </w:p>
    <w:p w14:paraId="43AB1474" w14:textId="77777777" w:rsidR="008E6E99" w:rsidRPr="00614A75" w:rsidRDefault="008E6E99" w:rsidP="008E6E99">
      <w:pPr>
        <w:pStyle w:val="SingleTxtG"/>
        <w:ind w:left="2268" w:hanging="1134"/>
        <w:rPr>
          <w:i/>
          <w:lang w:val="fr-FR"/>
        </w:rPr>
      </w:pPr>
      <w:r w:rsidRPr="00614A75">
        <w:rPr>
          <w:lang w:val="fr-FR"/>
        </w:rPr>
        <w:t>5.10.4.3</w:t>
      </w:r>
      <w:r w:rsidRPr="00614A75">
        <w:rPr>
          <w:lang w:val="fr-FR"/>
        </w:rPr>
        <w:tab/>
        <w:t>En cas de doute, la prescription ci-dessus est réputée satisfaite si l</w:t>
      </w:r>
      <w:r>
        <w:rPr>
          <w:lang w:val="fr-FR"/>
        </w:rPr>
        <w:t>’</w:t>
      </w:r>
      <w:r w:rsidRPr="00614A75">
        <w:rPr>
          <w:lang w:val="fr-FR"/>
        </w:rPr>
        <w:t>intensité lumineuse de la lumière rouge émise à l</w:t>
      </w:r>
      <w:r>
        <w:rPr>
          <w:lang w:val="fr-FR"/>
        </w:rPr>
        <w:t>’</w:t>
      </w:r>
      <w:r w:rsidRPr="00614A75">
        <w:rPr>
          <w:lang w:val="fr-FR"/>
        </w:rPr>
        <w:t>avant ou de la lumière blanche émise à l</w:t>
      </w:r>
      <w:r>
        <w:rPr>
          <w:lang w:val="fr-FR"/>
        </w:rPr>
        <w:t>’</w:t>
      </w:r>
      <w:r w:rsidRPr="00614A75">
        <w:rPr>
          <w:lang w:val="fr-FR"/>
        </w:rPr>
        <w:t>arrière, telle que vérifiée lors de l</w:t>
      </w:r>
      <w:r>
        <w:rPr>
          <w:lang w:val="fr-FR"/>
        </w:rPr>
        <w:t>’</w:t>
      </w:r>
      <w:r w:rsidRPr="00614A75">
        <w:rPr>
          <w:lang w:val="fr-FR"/>
        </w:rPr>
        <w:t>homologation de type des feux, est inférieure à 0,25 cd par feu, compte tenu de l</w:t>
      </w:r>
      <w:r>
        <w:rPr>
          <w:lang w:val="fr-FR"/>
        </w:rPr>
        <w:t>’</w:t>
      </w:r>
      <w:r w:rsidRPr="00614A75">
        <w:rPr>
          <w:lang w:val="fr-FR"/>
        </w:rPr>
        <w:t>influence de la carrosserie du véhicule, le cas échéant. ».</w:t>
      </w:r>
    </w:p>
    <w:p w14:paraId="153C82FB" w14:textId="756A82C8" w:rsidR="008E6E99" w:rsidRPr="00554D04" w:rsidRDefault="008E6E99" w:rsidP="00657E76">
      <w:pPr>
        <w:pStyle w:val="SingleTxtG"/>
        <w:keepNext/>
        <w:rPr>
          <w:snapToGrid w:val="0"/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snapToGrid w:val="0"/>
          <w:lang w:val="fr-FR"/>
        </w:rPr>
        <w:t xml:space="preserve"> </w:t>
      </w:r>
      <w:r w:rsidRPr="00554D04">
        <w:rPr>
          <w:i/>
          <w:snapToGrid w:val="0"/>
          <w:lang w:val="fr-FR"/>
        </w:rPr>
        <w:t>6.1.2</w:t>
      </w:r>
      <w:r w:rsidRPr="00554D04">
        <w:rPr>
          <w:snapToGrid w:val="0"/>
          <w:lang w:val="fr-FR"/>
        </w:rPr>
        <w:t>, lire</w:t>
      </w:r>
      <w:r w:rsidR="00657E76">
        <w:rPr>
          <w:snapToGrid w:val="0"/>
          <w:lang w:val="fr-FR"/>
        </w:rPr>
        <w:t> :</w:t>
      </w:r>
    </w:p>
    <w:p w14:paraId="4D798CAF" w14:textId="77777777" w:rsidR="008E6E99" w:rsidRPr="00554D04" w:rsidRDefault="008E6E99" w:rsidP="008E6E99">
      <w:pPr>
        <w:pStyle w:val="SingleTxtG"/>
        <w:ind w:left="2268" w:hanging="1134"/>
        <w:rPr>
          <w:color w:val="000000" w:themeColor="text1"/>
          <w:lang w:val="fr-FR"/>
        </w:rPr>
      </w:pPr>
      <w:r w:rsidRPr="00554D04">
        <w:rPr>
          <w:lang w:val="fr-FR"/>
        </w:rPr>
        <w:t>« 6.1.2</w:t>
      </w:r>
      <w:r w:rsidRPr="00554D04">
        <w:rPr>
          <w:color w:val="000000" w:themeColor="text1"/>
          <w:lang w:val="fr-FR"/>
        </w:rPr>
        <w:tab/>
        <w:t>Nombre</w:t>
      </w:r>
    </w:p>
    <w:p w14:paraId="4B16E393" w14:textId="04D7DCF1" w:rsidR="008E6E99" w:rsidRPr="00554D04" w:rsidRDefault="008E6E99" w:rsidP="008E6E99">
      <w:pPr>
        <w:pStyle w:val="SingleTxtG"/>
        <w:ind w:left="2268"/>
        <w:rPr>
          <w:color w:val="000000" w:themeColor="text1"/>
          <w:lang w:val="fr-FR"/>
        </w:rPr>
      </w:pPr>
      <w:r w:rsidRPr="00554D04">
        <w:rPr>
          <w:color w:val="000000" w:themeColor="text1"/>
          <w:lang w:val="fr-FR"/>
        </w:rPr>
        <w:tab/>
        <w:t>Deux, homologués conformément</w:t>
      </w:r>
      <w:r w:rsidR="00657E76">
        <w:rPr>
          <w:color w:val="000000" w:themeColor="text1"/>
          <w:lang w:val="fr-FR"/>
        </w:rPr>
        <w:t> :</w:t>
      </w:r>
    </w:p>
    <w:p w14:paraId="48255B9D" w14:textId="22C96FE6" w:rsidR="008E6E99" w:rsidRPr="00554D04" w:rsidRDefault="008E6E99" w:rsidP="008E6E99">
      <w:pPr>
        <w:pStyle w:val="SingleTxtG"/>
        <w:ind w:left="2268"/>
        <w:rPr>
          <w:color w:val="000000" w:themeColor="text1"/>
          <w:lang w:val="fr-FR"/>
        </w:rPr>
      </w:pPr>
      <w:r w:rsidRPr="00554D04">
        <w:rPr>
          <w:color w:val="000000" w:themeColor="text1"/>
          <w:lang w:val="fr-FR"/>
        </w:rPr>
        <w:t>-</w:t>
      </w:r>
      <w:r w:rsidRPr="00554D04">
        <w:rPr>
          <w:color w:val="000000" w:themeColor="text1"/>
          <w:lang w:val="fr-FR"/>
        </w:rPr>
        <w:tab/>
      </w:r>
      <w:r w:rsidRPr="00554D04">
        <w:rPr>
          <w:lang w:val="fr-FR"/>
        </w:rPr>
        <w:t>Au Règlement ONU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98</w:t>
      </w:r>
      <w:r w:rsidR="00657E76">
        <w:rPr>
          <w:lang w:val="fr-FR"/>
        </w:rPr>
        <w:t> ;</w:t>
      </w:r>
    </w:p>
    <w:p w14:paraId="5C386E60" w14:textId="77777777" w:rsidR="008E6E99" w:rsidRPr="00554D04" w:rsidRDefault="008E6E99" w:rsidP="008E6E99">
      <w:pPr>
        <w:pStyle w:val="SingleTxtG"/>
        <w:ind w:left="2835"/>
        <w:rPr>
          <w:color w:val="000000" w:themeColor="text1"/>
          <w:lang w:val="fr-FR"/>
        </w:rPr>
      </w:pPr>
      <w:r w:rsidRPr="00554D04">
        <w:rPr>
          <w:color w:val="000000" w:themeColor="text1"/>
          <w:lang w:val="fr-FR"/>
        </w:rPr>
        <w:t>ou</w:t>
      </w:r>
    </w:p>
    <w:p w14:paraId="7BEF38A1" w14:textId="6E1C8244" w:rsidR="008E6E99" w:rsidRPr="00554D04" w:rsidRDefault="008E6E99" w:rsidP="008E6E99">
      <w:pPr>
        <w:pStyle w:val="SingleTxtG"/>
        <w:ind w:left="2268"/>
        <w:rPr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B du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112</w:t>
      </w:r>
      <w:r w:rsidR="00657E76">
        <w:rPr>
          <w:color w:val="000000"/>
          <w:lang w:val="fr-FR"/>
        </w:rPr>
        <w:t> ;</w:t>
      </w:r>
    </w:p>
    <w:p w14:paraId="235C7DF0" w14:textId="77777777" w:rsidR="008E6E99" w:rsidRPr="00554D04" w:rsidRDefault="008E6E99" w:rsidP="008E6E99">
      <w:pPr>
        <w:pStyle w:val="SingleTxtG"/>
        <w:ind w:left="2835"/>
        <w:rPr>
          <w:color w:val="000000"/>
          <w:szCs w:val="22"/>
          <w:lang w:val="fr-FR"/>
        </w:rPr>
      </w:pPr>
      <w:r w:rsidRPr="00554D04">
        <w:rPr>
          <w:color w:val="000000" w:themeColor="text1"/>
          <w:lang w:val="fr-FR"/>
        </w:rPr>
        <w:t>ou</w:t>
      </w:r>
    </w:p>
    <w:p w14:paraId="2E5826FF" w14:textId="5C9B0D4C" w:rsidR="008E6E99" w:rsidRPr="00554D04" w:rsidRDefault="008E6E99" w:rsidP="008E6E99">
      <w:pPr>
        <w:pStyle w:val="SingleTxtG"/>
        <w:ind w:left="2835" w:hanging="567"/>
        <w:rPr>
          <w:bCs/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B ou D de la série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00 d</w:t>
      </w:r>
      <w:r>
        <w:rPr>
          <w:color w:val="000000"/>
          <w:lang w:val="fr-FR"/>
        </w:rPr>
        <w:t>’</w:t>
      </w:r>
      <w:r w:rsidRPr="00554D04">
        <w:rPr>
          <w:color w:val="000000"/>
          <w:lang w:val="fr-FR"/>
        </w:rPr>
        <w:t>amendements au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149</w:t>
      </w:r>
      <w:r w:rsidR="00657E76">
        <w:rPr>
          <w:color w:val="000000"/>
          <w:lang w:val="fr-FR"/>
        </w:rPr>
        <w:t> ;</w:t>
      </w:r>
    </w:p>
    <w:p w14:paraId="06DCD111" w14:textId="77777777" w:rsidR="008E6E99" w:rsidRPr="00554D04" w:rsidRDefault="008E6E99" w:rsidP="008E6E99">
      <w:pPr>
        <w:pStyle w:val="SingleTxtG"/>
        <w:ind w:left="2835"/>
        <w:rPr>
          <w:bCs/>
          <w:color w:val="000000"/>
          <w:szCs w:val="22"/>
          <w:lang w:val="fr-FR"/>
        </w:rPr>
      </w:pPr>
      <w:r w:rsidRPr="00554D04">
        <w:rPr>
          <w:color w:val="000000" w:themeColor="text1"/>
          <w:lang w:val="fr-FR"/>
        </w:rPr>
        <w:t>ou</w:t>
      </w:r>
    </w:p>
    <w:p w14:paraId="604D3724" w14:textId="45494B1C" w:rsidR="008E6E99" w:rsidRPr="00554D04" w:rsidRDefault="008E6E99" w:rsidP="008E6E99">
      <w:pPr>
        <w:pStyle w:val="SingleTxtG"/>
        <w:ind w:left="2835" w:hanging="567"/>
        <w:rPr>
          <w:bCs/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B de la série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01 et des séries ultérieures d</w:t>
      </w:r>
      <w:r>
        <w:rPr>
          <w:color w:val="000000"/>
          <w:lang w:val="fr-FR"/>
        </w:rPr>
        <w:t>’</w:t>
      </w:r>
      <w:r w:rsidRPr="00554D04">
        <w:rPr>
          <w:color w:val="000000"/>
          <w:lang w:val="fr-FR"/>
        </w:rPr>
        <w:t xml:space="preserve">amendements au Règlement </w:t>
      </w:r>
      <w:r w:rsidRPr="00554D04">
        <w:rPr>
          <w:color w:val="000000" w:themeColor="text1"/>
          <w:lang w:val="fr-FR"/>
        </w:rPr>
        <w:t>ONU</w:t>
      </w:r>
      <w:r w:rsidRPr="00554D04">
        <w:rPr>
          <w:color w:val="000000"/>
          <w:lang w:val="fr-FR"/>
        </w:rPr>
        <w:t xml:space="preserve">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149.</w:t>
      </w:r>
    </w:p>
    <w:p w14:paraId="0D49423D" w14:textId="0969EAB6" w:rsidR="008E6E99" w:rsidRPr="00554D04" w:rsidRDefault="008E6E99" w:rsidP="008E6E99">
      <w:pPr>
        <w:pStyle w:val="SingleTxtG"/>
        <w:ind w:left="2268"/>
        <w:rPr>
          <w:bCs/>
          <w:color w:val="000000" w:themeColor="text1"/>
          <w:lang w:val="fr-FR"/>
        </w:rPr>
      </w:pPr>
      <w:bookmarkStart w:id="1" w:name="_Hlk62638894"/>
      <w:r w:rsidRPr="00554D04">
        <w:rPr>
          <w:color w:val="000000" w:themeColor="text1"/>
          <w:lang w:val="fr-FR"/>
        </w:rPr>
        <w:t>Facultativement</w:t>
      </w:r>
      <w:r w:rsidRPr="00554D04">
        <w:rPr>
          <w:lang w:val="fr-FR"/>
        </w:rPr>
        <w:t>, une paire supplémentaire ou plus de feux homologués conformément</w:t>
      </w:r>
      <w:r w:rsidR="00657E76">
        <w:rPr>
          <w:lang w:val="fr-FR"/>
        </w:rPr>
        <w:t> :</w:t>
      </w:r>
    </w:p>
    <w:p w14:paraId="4E7ECFB0" w14:textId="424910C5" w:rsidR="008E6E99" w:rsidRPr="00554D04" w:rsidRDefault="008E6E99" w:rsidP="008E6E99">
      <w:pPr>
        <w:pStyle w:val="SingleTxtG"/>
        <w:ind w:left="2268"/>
        <w:rPr>
          <w:bCs/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Au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98</w:t>
      </w:r>
      <w:r w:rsidR="00657E76">
        <w:rPr>
          <w:color w:val="000000"/>
          <w:lang w:val="fr-FR"/>
        </w:rPr>
        <w:t> ;</w:t>
      </w:r>
    </w:p>
    <w:p w14:paraId="71F26F3F" w14:textId="77777777" w:rsidR="008E6E99" w:rsidRPr="00554D04" w:rsidRDefault="008E6E99" w:rsidP="008E6E99">
      <w:pPr>
        <w:pStyle w:val="SingleTxtG"/>
        <w:ind w:left="2835"/>
        <w:rPr>
          <w:bCs/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ou</w:t>
      </w:r>
    </w:p>
    <w:p w14:paraId="7CA2BBB2" w14:textId="2386B19D" w:rsidR="008E6E99" w:rsidRPr="00554D04" w:rsidRDefault="008E6E99" w:rsidP="008E6E99">
      <w:pPr>
        <w:pStyle w:val="SingleTxtG"/>
        <w:ind w:left="2268"/>
        <w:rPr>
          <w:bCs/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 xml:space="preserve">A </w:t>
      </w:r>
      <w:r>
        <w:rPr>
          <w:color w:val="000000"/>
          <w:lang w:val="fr-FR"/>
        </w:rPr>
        <w:t>et/</w:t>
      </w:r>
      <w:r w:rsidRPr="00554D04">
        <w:rPr>
          <w:color w:val="000000"/>
          <w:lang w:val="fr-FR"/>
        </w:rPr>
        <w:t>ou B du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112</w:t>
      </w:r>
      <w:r w:rsidR="00657E76">
        <w:rPr>
          <w:color w:val="000000"/>
          <w:lang w:val="fr-FR"/>
        </w:rPr>
        <w:t> ;</w:t>
      </w:r>
    </w:p>
    <w:p w14:paraId="0A078697" w14:textId="77777777" w:rsidR="008E6E99" w:rsidRPr="00554D04" w:rsidRDefault="008E6E99" w:rsidP="008E6E99">
      <w:pPr>
        <w:pStyle w:val="SingleTxtG"/>
        <w:ind w:left="2835"/>
        <w:rPr>
          <w:bCs/>
          <w:color w:val="000000"/>
          <w:szCs w:val="22"/>
          <w:lang w:val="fr-FR"/>
        </w:rPr>
      </w:pPr>
      <w:r w:rsidRPr="00554D04">
        <w:rPr>
          <w:color w:val="000000" w:themeColor="text1"/>
          <w:lang w:val="fr-FR"/>
        </w:rPr>
        <w:t>ou</w:t>
      </w:r>
    </w:p>
    <w:p w14:paraId="5DC30A1F" w14:textId="22E1023B" w:rsidR="008E6E99" w:rsidRPr="00554D04" w:rsidRDefault="008E6E99" w:rsidP="008E6E99">
      <w:pPr>
        <w:pStyle w:val="SingleTxtG"/>
        <w:ind w:left="2268"/>
        <w:rPr>
          <w:bCs/>
          <w:lang w:val="fr-FR"/>
        </w:rPr>
      </w:pPr>
      <w:r w:rsidRPr="00554D04">
        <w:rPr>
          <w:lang w:val="fr-FR"/>
        </w:rPr>
        <w:t>-</w:t>
      </w:r>
      <w:r w:rsidRPr="00554D04">
        <w:rPr>
          <w:lang w:val="fr-FR"/>
        </w:rPr>
        <w:tab/>
        <w:t xml:space="preserve">Aux </w:t>
      </w:r>
      <w:r w:rsidRPr="00554D04">
        <w:rPr>
          <w:color w:val="000000"/>
          <w:lang w:val="fr-FR"/>
        </w:rPr>
        <w:t>classes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 xml:space="preserve">A </w:t>
      </w:r>
      <w:r>
        <w:rPr>
          <w:lang w:val="fr-FR"/>
        </w:rPr>
        <w:t>et/</w:t>
      </w:r>
      <w:r w:rsidRPr="00554D04">
        <w:rPr>
          <w:lang w:val="fr-FR"/>
        </w:rPr>
        <w:t xml:space="preserve">ou B </w:t>
      </w:r>
      <w:r>
        <w:rPr>
          <w:lang w:val="fr-FR"/>
        </w:rPr>
        <w:t>et/</w:t>
      </w:r>
      <w:r w:rsidRPr="00554D04">
        <w:rPr>
          <w:lang w:val="fr-FR"/>
        </w:rPr>
        <w:t>ou RA du Règlement ONU</w:t>
      </w:r>
      <w:r w:rsidRPr="00554D04">
        <w:rPr>
          <w:color w:val="000000" w:themeColor="text1"/>
          <w:lang w:val="fr-FR"/>
        </w:rPr>
        <w:t xml:space="preserve"> </w:t>
      </w:r>
      <w:r w:rsidRPr="00554D04">
        <w:rPr>
          <w:lang w:val="fr-FR"/>
        </w:rPr>
        <w:t>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149. ».</w:t>
      </w:r>
    </w:p>
    <w:p w14:paraId="1E683B1A" w14:textId="18998F83" w:rsidR="008E6E99" w:rsidRPr="00554D04" w:rsidRDefault="008E6E99" w:rsidP="00657E76">
      <w:pPr>
        <w:pStyle w:val="SingleTxtG"/>
        <w:keepNext/>
        <w:rPr>
          <w:i/>
          <w:lang w:val="fr-FR"/>
        </w:rPr>
      </w:pPr>
      <w:bookmarkStart w:id="2" w:name="_Hlk78536974"/>
      <w:bookmarkEnd w:id="1"/>
      <w:r w:rsidRPr="00554D04">
        <w:rPr>
          <w:i/>
          <w:lang w:val="fr-FR"/>
        </w:rPr>
        <w:lastRenderedPageBreak/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6.1.7.1</w:t>
      </w:r>
      <w:r w:rsidRPr="00657E76">
        <w:rPr>
          <w:iCs/>
          <w:lang w:val="fr-FR"/>
        </w:rPr>
        <w:t xml:space="preserve">, </w:t>
      </w:r>
      <w:r w:rsidRPr="00554D04">
        <w:rPr>
          <w:lang w:val="fr-FR"/>
        </w:rPr>
        <w:t>lire</w:t>
      </w:r>
      <w:r w:rsidR="00657E76">
        <w:rPr>
          <w:lang w:val="fr-FR"/>
        </w:rPr>
        <w:t> :</w:t>
      </w:r>
    </w:p>
    <w:p w14:paraId="1FB0273E" w14:textId="77777777" w:rsidR="008E6E99" w:rsidRPr="00554D04" w:rsidRDefault="008E6E99" w:rsidP="008E6E99">
      <w:pPr>
        <w:pStyle w:val="SingleTxtG"/>
        <w:ind w:left="2268" w:hanging="1134"/>
        <w:rPr>
          <w:bCs/>
          <w:strike/>
          <w:lang w:val="fr-FR"/>
        </w:rPr>
      </w:pPr>
      <w:r w:rsidRPr="00554D04">
        <w:rPr>
          <w:lang w:val="fr-FR"/>
        </w:rPr>
        <w:t>« 6.1.7.1</w:t>
      </w:r>
      <w:r w:rsidRPr="00554D04">
        <w:rPr>
          <w:lang w:val="fr-FR"/>
        </w:rPr>
        <w:tab/>
        <w:t>L</w:t>
      </w:r>
      <w:r>
        <w:rPr>
          <w:lang w:val="fr-FR"/>
        </w:rPr>
        <w:t>’</w:t>
      </w:r>
      <w:r w:rsidRPr="00554D04">
        <w:rPr>
          <w:lang w:val="fr-FR"/>
        </w:rPr>
        <w:t>allumage des feux de route peut s</w:t>
      </w:r>
      <w:r>
        <w:rPr>
          <w:lang w:val="fr-FR"/>
        </w:rPr>
        <w:t>’</w:t>
      </w:r>
      <w:r w:rsidRPr="00554D04">
        <w:rPr>
          <w:lang w:val="fr-FR"/>
        </w:rPr>
        <w:t>effectuer simultanément ou par paire.</w:t>
      </w:r>
    </w:p>
    <w:p w14:paraId="43DE4459" w14:textId="6F53C8DC" w:rsidR="008E6E99" w:rsidRPr="00554D04" w:rsidRDefault="008E6E99" w:rsidP="008E6E99">
      <w:pPr>
        <w:pStyle w:val="SingleTxtG"/>
        <w:ind w:left="2268"/>
        <w:rPr>
          <w:strike/>
          <w:lang w:val="fr-FR"/>
        </w:rPr>
      </w:pPr>
      <w:r w:rsidRPr="00554D04">
        <w:rPr>
          <w:lang w:val="fr-FR"/>
        </w:rPr>
        <w:t>Lors du passage des faisceaux-croisement en faisceaux-route, l</w:t>
      </w:r>
      <w:r>
        <w:rPr>
          <w:lang w:val="fr-FR"/>
        </w:rPr>
        <w:t>’</w:t>
      </w:r>
      <w:r w:rsidRPr="00554D04">
        <w:rPr>
          <w:lang w:val="fr-FR"/>
        </w:rPr>
        <w:t>allumage d</w:t>
      </w:r>
      <w:r>
        <w:rPr>
          <w:lang w:val="fr-FR"/>
        </w:rPr>
        <w:t>’</w:t>
      </w:r>
      <w:r w:rsidRPr="00554D04">
        <w:rPr>
          <w:lang w:val="fr-FR"/>
        </w:rPr>
        <w:t xml:space="preserve">au moins une </w:t>
      </w:r>
      <w:r w:rsidRPr="00554D04">
        <w:rPr>
          <w:color w:val="000000" w:themeColor="text1"/>
          <w:lang w:val="fr-FR"/>
        </w:rPr>
        <w:t>paire</w:t>
      </w:r>
      <w:r w:rsidRPr="00554D04">
        <w:rPr>
          <w:lang w:val="fr-FR"/>
        </w:rPr>
        <w:t xml:space="preserve"> de feux de route est requis. Lors du passage des faisceaux</w:t>
      </w:r>
      <w:r w:rsidR="00D40E06">
        <w:rPr>
          <w:lang w:val="fr-FR"/>
        </w:rPr>
        <w:noBreakHyphen/>
      </w:r>
      <w:r w:rsidRPr="00554D04">
        <w:rPr>
          <w:lang w:val="fr-FR"/>
        </w:rPr>
        <w:t>route en faisceaux-croisement, l</w:t>
      </w:r>
      <w:r>
        <w:rPr>
          <w:lang w:val="fr-FR"/>
        </w:rPr>
        <w:t>’</w:t>
      </w:r>
      <w:r w:rsidRPr="00554D04">
        <w:rPr>
          <w:lang w:val="fr-FR"/>
        </w:rPr>
        <w:t>extinction de tous les feux de route doit être réalisée simultanément.</w:t>
      </w:r>
    </w:p>
    <w:bookmarkEnd w:id="2"/>
    <w:p w14:paraId="40F0E778" w14:textId="77777777" w:rsidR="008E6E99" w:rsidRPr="00554D04" w:rsidRDefault="008E6E99" w:rsidP="008E6E99">
      <w:pPr>
        <w:pStyle w:val="SingleTxtG"/>
        <w:ind w:left="2268"/>
        <w:rPr>
          <w:bCs/>
          <w:lang w:val="fr-FR"/>
        </w:rPr>
      </w:pPr>
      <w:r w:rsidRPr="00554D04">
        <w:rPr>
          <w:lang w:val="fr-FR"/>
        </w:rPr>
        <w:t>Le ou les faisceaux-route auxiliaires de la classe RA ne doivent être allumés qu</w:t>
      </w:r>
      <w:r>
        <w:rPr>
          <w:lang w:val="fr-FR"/>
        </w:rPr>
        <w:t>’</w:t>
      </w:r>
      <w:r w:rsidRPr="00554D04">
        <w:rPr>
          <w:lang w:val="fr-FR"/>
        </w:rPr>
        <w:t xml:space="preserve">en même </w:t>
      </w:r>
      <w:r w:rsidRPr="00554D04">
        <w:rPr>
          <w:color w:val="000000" w:themeColor="text1"/>
          <w:lang w:val="fr-FR"/>
        </w:rPr>
        <w:t>temps</w:t>
      </w:r>
      <w:r w:rsidRPr="00554D04">
        <w:rPr>
          <w:lang w:val="fr-FR"/>
        </w:rPr>
        <w:t xml:space="preserve"> que les faisceaux-route d</w:t>
      </w:r>
      <w:r>
        <w:rPr>
          <w:lang w:val="fr-FR"/>
        </w:rPr>
        <w:t>’</w:t>
      </w:r>
      <w:r w:rsidRPr="00554D04">
        <w:rPr>
          <w:lang w:val="fr-FR"/>
        </w:rPr>
        <w:t>une autre classe, sauf lorsqu</w:t>
      </w:r>
      <w:r>
        <w:rPr>
          <w:lang w:val="fr-FR"/>
        </w:rPr>
        <w:t>’</w:t>
      </w:r>
      <w:r w:rsidRPr="00554D04">
        <w:rPr>
          <w:lang w:val="fr-FR"/>
        </w:rPr>
        <w:t>une ou plusieurs paires de faisceaux-route auxiliaires de la classe RA sont utilisées pour produire des signaux lumineux consistant en un allumage intermittent à de courts intervalles (par. 5.12). ».</w:t>
      </w:r>
    </w:p>
    <w:p w14:paraId="74ECB7F7" w14:textId="4F29B617" w:rsidR="008E6E99" w:rsidRPr="00554D04" w:rsidRDefault="008E6E99" w:rsidP="008E6E99">
      <w:pPr>
        <w:pStyle w:val="SingleTxtG"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6.1.7.3</w:t>
      </w:r>
      <w:r w:rsidRPr="00657E76">
        <w:rPr>
          <w:iCs/>
          <w:lang w:val="fr-FR"/>
        </w:rPr>
        <w:t xml:space="preserve">, </w:t>
      </w:r>
      <w:r w:rsidRPr="00554D04">
        <w:rPr>
          <w:lang w:val="fr-FR"/>
        </w:rPr>
        <w:t>supprimer.</w:t>
      </w:r>
    </w:p>
    <w:p w14:paraId="385A629C" w14:textId="5CFFA149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6.1.9.2,</w:t>
      </w:r>
      <w:r w:rsidRPr="00554D04">
        <w:rPr>
          <w:lang w:val="fr-FR"/>
        </w:rPr>
        <w:t xml:space="preserve"> lire</w:t>
      </w:r>
      <w:r w:rsidR="00657E76">
        <w:rPr>
          <w:lang w:val="fr-FR"/>
        </w:rPr>
        <w:t> :</w:t>
      </w:r>
    </w:p>
    <w:p w14:paraId="7E85D974" w14:textId="77777777" w:rsidR="008E6E99" w:rsidRPr="00554D04" w:rsidRDefault="008E6E99" w:rsidP="008E6E99">
      <w:pPr>
        <w:pStyle w:val="SingleTxtG"/>
        <w:ind w:left="2268" w:hanging="1134"/>
        <w:rPr>
          <w:lang w:val="fr-FR"/>
        </w:rPr>
      </w:pPr>
      <w:r w:rsidRPr="00554D04">
        <w:rPr>
          <w:lang w:val="fr-FR"/>
        </w:rPr>
        <w:t>« 6.1.9.2</w:t>
      </w:r>
      <w:r w:rsidRPr="00554D04">
        <w:rPr>
          <w:lang w:val="fr-FR"/>
        </w:rPr>
        <w:tab/>
        <w:t>Cette intensité maximale est égale à la somme des valeurs de référence indiquées sur chacun des projecteurs. ».</w:t>
      </w:r>
    </w:p>
    <w:p w14:paraId="6FF42EB9" w14:textId="471BC7E6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6.2.2</w:t>
      </w:r>
      <w:r w:rsidRPr="00554D04">
        <w:rPr>
          <w:lang w:val="fr-FR"/>
        </w:rPr>
        <w:t>, lire</w:t>
      </w:r>
      <w:r w:rsidR="00657E76">
        <w:rPr>
          <w:lang w:val="fr-FR"/>
        </w:rPr>
        <w:t> :</w:t>
      </w:r>
    </w:p>
    <w:p w14:paraId="05B16B84" w14:textId="77777777" w:rsidR="008E6E99" w:rsidRPr="00554D04" w:rsidRDefault="008E6E99" w:rsidP="008E6E99">
      <w:pPr>
        <w:pStyle w:val="SingleTxtG"/>
        <w:ind w:left="2268" w:hanging="1134"/>
        <w:rPr>
          <w:lang w:val="fr-FR"/>
        </w:rPr>
      </w:pPr>
      <w:r w:rsidRPr="00554D04">
        <w:rPr>
          <w:lang w:val="fr-FR"/>
        </w:rPr>
        <w:t>« 6.2.2</w:t>
      </w:r>
      <w:r w:rsidRPr="00554D04">
        <w:rPr>
          <w:lang w:val="fr-FR"/>
        </w:rPr>
        <w:tab/>
        <w:t>Nombre</w:t>
      </w:r>
    </w:p>
    <w:p w14:paraId="0276679F" w14:textId="7ACC3841" w:rsidR="008E6E99" w:rsidRPr="00554D04" w:rsidRDefault="008E6E99" w:rsidP="008E6E99">
      <w:pPr>
        <w:pStyle w:val="SingleTxtG"/>
        <w:ind w:left="2268"/>
        <w:rPr>
          <w:lang w:val="fr-FR"/>
        </w:rPr>
      </w:pPr>
      <w:r w:rsidRPr="00554D04">
        <w:rPr>
          <w:lang w:val="fr-FR"/>
        </w:rPr>
        <w:t>Deux, homologués conformément</w:t>
      </w:r>
      <w:r w:rsidR="00657E76">
        <w:rPr>
          <w:lang w:val="fr-FR"/>
        </w:rPr>
        <w:t> :</w:t>
      </w:r>
    </w:p>
    <w:p w14:paraId="1371E8E0" w14:textId="65392763" w:rsidR="008E6E99" w:rsidRPr="00554D04" w:rsidRDefault="008E6E99" w:rsidP="008E6E99">
      <w:pPr>
        <w:pStyle w:val="SingleTxtG"/>
        <w:ind w:left="2835" w:hanging="567"/>
        <w:rPr>
          <w:color w:val="000000"/>
          <w:szCs w:val="22"/>
          <w:lang w:val="fr-FR"/>
        </w:rPr>
      </w:pPr>
      <w:r w:rsidRPr="00554D04">
        <w:rPr>
          <w:lang w:val="fr-FR"/>
        </w:rPr>
        <w:t>-</w:t>
      </w:r>
      <w:r w:rsidRPr="00554D04">
        <w:rPr>
          <w:lang w:val="fr-FR"/>
        </w:rPr>
        <w:tab/>
        <w:t xml:space="preserve">Au </w:t>
      </w:r>
      <w:r w:rsidRPr="00554D04">
        <w:rPr>
          <w:color w:val="000000"/>
          <w:lang w:val="fr-FR"/>
        </w:rPr>
        <w:t>Règlement</w:t>
      </w:r>
      <w:r w:rsidRPr="00554D04">
        <w:rPr>
          <w:lang w:val="fr-FR"/>
        </w:rPr>
        <w:t xml:space="preserve"> ONU </w:t>
      </w:r>
      <w:r w:rsidRPr="00554D04">
        <w:rPr>
          <w:color w:val="000000"/>
          <w:lang w:val="fr-FR"/>
        </w:rPr>
        <w:t>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98 ou 112, à l</w:t>
      </w:r>
      <w:r>
        <w:rPr>
          <w:color w:val="000000"/>
          <w:lang w:val="fr-FR"/>
        </w:rPr>
        <w:t>’</w:t>
      </w:r>
      <w:r w:rsidRPr="00554D04">
        <w:rPr>
          <w:color w:val="000000"/>
          <w:lang w:val="fr-FR"/>
        </w:rPr>
        <w:t>exclusion de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A</w:t>
      </w:r>
      <w:r w:rsidR="00657E76">
        <w:rPr>
          <w:color w:val="000000"/>
          <w:lang w:val="fr-FR"/>
        </w:rPr>
        <w:t> ;</w:t>
      </w:r>
    </w:p>
    <w:p w14:paraId="13FF9001" w14:textId="77777777" w:rsidR="008E6E99" w:rsidRPr="00554D04" w:rsidRDefault="008E6E99" w:rsidP="008E6E99">
      <w:pPr>
        <w:pStyle w:val="SingleTxtG"/>
        <w:ind w:left="2835"/>
        <w:rPr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ou</w:t>
      </w:r>
    </w:p>
    <w:p w14:paraId="4E442A70" w14:textId="147043A3" w:rsidR="008E6E99" w:rsidRPr="00554D04" w:rsidRDefault="008E6E99" w:rsidP="008E6E99">
      <w:pPr>
        <w:pStyle w:val="SingleTxtG"/>
        <w:ind w:left="2835" w:hanging="567"/>
        <w:rPr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B ou D de la série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00 d</w:t>
      </w:r>
      <w:r>
        <w:rPr>
          <w:color w:val="000000"/>
          <w:lang w:val="fr-FR"/>
        </w:rPr>
        <w:t>’</w:t>
      </w:r>
      <w:r w:rsidRPr="00554D04">
        <w:rPr>
          <w:color w:val="000000"/>
          <w:lang w:val="fr-FR"/>
        </w:rPr>
        <w:t>amendements au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149</w:t>
      </w:r>
      <w:r w:rsidR="00657E76">
        <w:rPr>
          <w:color w:val="000000"/>
          <w:lang w:val="fr-FR"/>
        </w:rPr>
        <w:t> ;</w:t>
      </w:r>
    </w:p>
    <w:p w14:paraId="281CEDBF" w14:textId="77777777" w:rsidR="008E6E99" w:rsidRPr="00554D04" w:rsidRDefault="008E6E99" w:rsidP="008E6E99">
      <w:pPr>
        <w:pStyle w:val="SingleTxtG"/>
        <w:ind w:left="2835"/>
        <w:rPr>
          <w:color w:val="000000"/>
          <w:szCs w:val="22"/>
          <w:lang w:val="fr-FR"/>
        </w:rPr>
      </w:pPr>
      <w:r w:rsidRPr="00554D04">
        <w:rPr>
          <w:color w:val="000000"/>
          <w:lang w:val="fr-FR"/>
        </w:rPr>
        <w:t>ou</w:t>
      </w:r>
    </w:p>
    <w:p w14:paraId="78D970CE" w14:textId="2DD5ED86" w:rsidR="008E6E99" w:rsidRPr="00554D04" w:rsidRDefault="008E6E99" w:rsidP="008E6E99">
      <w:pPr>
        <w:pStyle w:val="SingleTxtG"/>
        <w:ind w:left="2835" w:hanging="567"/>
        <w:rPr>
          <w:i/>
          <w:lang w:val="fr-FR"/>
        </w:rPr>
      </w:pPr>
      <w:r w:rsidRPr="00554D04">
        <w:rPr>
          <w:color w:val="000000"/>
          <w:lang w:val="fr-FR"/>
        </w:rPr>
        <w:t>-</w:t>
      </w:r>
      <w:r w:rsidRPr="00554D04">
        <w:rPr>
          <w:color w:val="000000"/>
          <w:lang w:val="fr-FR"/>
        </w:rPr>
        <w:tab/>
        <w:t>À la classe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C de la série</w:t>
      </w:r>
      <w:r w:rsidR="00657E76">
        <w:rPr>
          <w:color w:val="000000"/>
          <w:lang w:val="fr-FR"/>
        </w:rPr>
        <w:t xml:space="preserve"> </w:t>
      </w:r>
      <w:r w:rsidRPr="00554D04">
        <w:rPr>
          <w:color w:val="000000"/>
          <w:lang w:val="fr-FR"/>
        </w:rPr>
        <w:t>01 et des séries ultérieures d</w:t>
      </w:r>
      <w:r>
        <w:rPr>
          <w:color w:val="000000"/>
          <w:lang w:val="fr-FR"/>
        </w:rPr>
        <w:t>’</w:t>
      </w:r>
      <w:r w:rsidRPr="00554D04">
        <w:rPr>
          <w:color w:val="000000"/>
          <w:lang w:val="fr-FR"/>
        </w:rPr>
        <w:t>amendements au Règlement ONU n</w:t>
      </w:r>
      <w:r w:rsidRPr="00554D04">
        <w:rPr>
          <w:color w:val="000000"/>
          <w:vertAlign w:val="superscript"/>
          <w:lang w:val="fr-FR"/>
        </w:rPr>
        <w:t>o</w:t>
      </w:r>
      <w:r w:rsidRPr="00554D04">
        <w:rPr>
          <w:color w:val="000000"/>
          <w:lang w:val="fr-FR"/>
        </w:rPr>
        <w:t> 149. ».</w:t>
      </w:r>
    </w:p>
    <w:p w14:paraId="48C9866C" w14:textId="20A23ED5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6.3.9</w:t>
      </w:r>
      <w:r w:rsidRPr="00554D04">
        <w:rPr>
          <w:lang w:val="fr-FR"/>
        </w:rPr>
        <w:t>, lire</w:t>
      </w:r>
      <w:r w:rsidR="00657E76">
        <w:rPr>
          <w:lang w:val="fr-FR"/>
        </w:rPr>
        <w:t> :</w:t>
      </w:r>
    </w:p>
    <w:p w14:paraId="7636B32D" w14:textId="77777777" w:rsidR="008E6E99" w:rsidRPr="00554D04" w:rsidRDefault="008E6E99" w:rsidP="008E6E99">
      <w:pPr>
        <w:pStyle w:val="SingleTxtG"/>
        <w:ind w:left="2268" w:hanging="1134"/>
        <w:rPr>
          <w:lang w:val="fr-FR"/>
        </w:rPr>
      </w:pPr>
      <w:r w:rsidRPr="00554D04">
        <w:rPr>
          <w:lang w:val="fr-FR"/>
        </w:rPr>
        <w:t>« 6.3.9</w:t>
      </w:r>
      <w:r w:rsidRPr="00554D04">
        <w:rPr>
          <w:lang w:val="fr-FR"/>
        </w:rPr>
        <w:tab/>
        <w:t>Autres prescriptions</w:t>
      </w:r>
    </w:p>
    <w:p w14:paraId="2B84AC4D" w14:textId="6DD831A2" w:rsidR="008E6E99" w:rsidRPr="00554D04" w:rsidRDefault="008E6E99" w:rsidP="008E6E99">
      <w:pPr>
        <w:pStyle w:val="SingleTxtG"/>
        <w:ind w:left="2268"/>
        <w:rPr>
          <w:i/>
          <w:lang w:val="fr-FR"/>
        </w:rPr>
      </w:pPr>
      <w:r w:rsidRPr="00554D04">
        <w:rPr>
          <w:lang w:val="fr-FR"/>
        </w:rPr>
        <w:t>En cas de réponse affirmative à la question posée au point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10.9 de la fiche d</w:t>
      </w:r>
      <w:r>
        <w:rPr>
          <w:lang w:val="fr-FR"/>
        </w:rPr>
        <w:t>’</w:t>
      </w:r>
      <w:r w:rsidRPr="00554D04">
        <w:rPr>
          <w:lang w:val="fr-FR"/>
        </w:rPr>
        <w:t>information figurant à l</w:t>
      </w:r>
      <w:r>
        <w:rPr>
          <w:lang w:val="fr-FR"/>
        </w:rPr>
        <w:t>’</w:t>
      </w:r>
      <w:r w:rsidRPr="00554D04">
        <w:rPr>
          <w:lang w:val="fr-FR"/>
        </w:rPr>
        <w:t>annexe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1 du Règlement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19 ou au point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9.5.8 de l</w:t>
      </w:r>
      <w:r>
        <w:rPr>
          <w:lang w:val="fr-FR"/>
        </w:rPr>
        <w:t>’</w:t>
      </w:r>
      <w:r w:rsidRPr="00554D04">
        <w:rPr>
          <w:lang w:val="fr-FR"/>
        </w:rPr>
        <w:t>annexe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1 du Règlement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149, l</w:t>
      </w:r>
      <w:r>
        <w:rPr>
          <w:lang w:val="fr-FR"/>
        </w:rPr>
        <w:t>’</w:t>
      </w:r>
      <w:r w:rsidRPr="00554D04">
        <w:rPr>
          <w:lang w:val="fr-FR"/>
        </w:rPr>
        <w:t xml:space="preserve">alignement et les intensités lumineuses du faisceau de brouillard </w:t>
      </w:r>
      <w:r>
        <w:rPr>
          <w:lang w:val="fr-FR"/>
        </w:rPr>
        <w:t xml:space="preserve">avant </w:t>
      </w:r>
      <w:r w:rsidRPr="00554D04">
        <w:rPr>
          <w:lang w:val="fr-FR"/>
        </w:rPr>
        <w:t>de la classe “F3” peuvent être ajustés automatiquement en fonction des conditions ambiantes. Toute modification des intensités lumineuses ou de l</w:t>
      </w:r>
      <w:r>
        <w:rPr>
          <w:lang w:val="fr-FR"/>
        </w:rPr>
        <w:t>’</w:t>
      </w:r>
      <w:r w:rsidRPr="00554D04">
        <w:rPr>
          <w:lang w:val="fr-FR"/>
        </w:rPr>
        <w:t>alignement doit s</w:t>
      </w:r>
      <w:r>
        <w:rPr>
          <w:lang w:val="fr-FR"/>
        </w:rPr>
        <w:t>’</w:t>
      </w:r>
      <w:r w:rsidRPr="00554D04">
        <w:rPr>
          <w:lang w:val="fr-FR"/>
        </w:rPr>
        <w:t>effectuer automatiquement et sans aucune gêne, ni</w:t>
      </w:r>
      <w:r w:rsidR="00657E76">
        <w:rPr>
          <w:lang w:val="fr-FR"/>
        </w:rPr>
        <w:t>…</w:t>
      </w:r>
      <w:r w:rsidRPr="00554D04">
        <w:rPr>
          <w:lang w:val="fr-FR"/>
        </w:rPr>
        <w:t> ».</w:t>
      </w:r>
    </w:p>
    <w:p w14:paraId="1BD2CFA1" w14:textId="05040257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6.22.6.1.2.1</w:t>
      </w:r>
      <w:r w:rsidRPr="00657E76">
        <w:rPr>
          <w:iCs/>
          <w:lang w:val="fr-FR"/>
        </w:rPr>
        <w:t>,</w:t>
      </w:r>
      <w:r w:rsidRPr="00554D04">
        <w:rPr>
          <w:lang w:val="fr-FR"/>
        </w:rPr>
        <w:t xml:space="preserve"> lire</w:t>
      </w:r>
      <w:r w:rsidR="00657E76">
        <w:rPr>
          <w:lang w:val="fr-FR"/>
        </w:rPr>
        <w:t> :</w:t>
      </w:r>
    </w:p>
    <w:p w14:paraId="01741C2C" w14:textId="72C2CE08" w:rsidR="008E6E99" w:rsidRPr="00554D04" w:rsidRDefault="008E6E99" w:rsidP="008E6E99">
      <w:pPr>
        <w:pStyle w:val="SingleTxtG"/>
        <w:ind w:left="2268" w:hanging="1134"/>
        <w:rPr>
          <w:i/>
          <w:lang w:val="fr-FR"/>
        </w:rPr>
      </w:pPr>
      <w:r w:rsidRPr="00554D04">
        <w:rPr>
          <w:spacing w:val="-4"/>
          <w:lang w:val="fr-FR"/>
        </w:rPr>
        <w:t>« 6.22.6.1.2.1</w:t>
      </w:r>
      <w:r w:rsidRPr="00554D04">
        <w:rPr>
          <w:lang w:val="fr-FR"/>
        </w:rPr>
        <w:tab/>
        <w:t>Lorsque le faisceau de croisement est constitué de plusieurs faisceaux provenant de plusieurs unités d</w:t>
      </w:r>
      <w:r>
        <w:rPr>
          <w:lang w:val="fr-FR"/>
        </w:rPr>
        <w:t>’</w:t>
      </w:r>
      <w:r w:rsidRPr="00554D04">
        <w:rPr>
          <w:lang w:val="fr-FR"/>
        </w:rPr>
        <w:t>éclairage, les dispositions du paragraphe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6.22.6.1.2 ci-dessus s</w:t>
      </w:r>
      <w:r>
        <w:rPr>
          <w:lang w:val="fr-FR"/>
        </w:rPr>
        <w:t>’</w:t>
      </w:r>
      <w:r w:rsidRPr="00554D04">
        <w:rPr>
          <w:lang w:val="fr-FR"/>
        </w:rPr>
        <w:t>appliquent à la coupure (si elle existe) de chacun des faisceaux, qui sont conçus pour être projetés dans la zone angulaire, comme indiqué au point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9.4 de la fiche de communication conforme au modèle décrit à l</w:t>
      </w:r>
      <w:r>
        <w:rPr>
          <w:lang w:val="fr-FR"/>
        </w:rPr>
        <w:t>’</w:t>
      </w:r>
      <w:r w:rsidRPr="00554D04">
        <w:rPr>
          <w:lang w:val="fr-FR"/>
        </w:rPr>
        <w:t>annexe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1 du Règlement ONU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123 ou 149. ».</w:t>
      </w:r>
    </w:p>
    <w:p w14:paraId="5E697ECD" w14:textId="255D3C64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t>Paragraphe</w:t>
      </w:r>
      <w:r w:rsidR="00657E76">
        <w:rPr>
          <w:i/>
          <w:lang w:val="fr-FR"/>
        </w:rPr>
        <w:t xml:space="preserve"> </w:t>
      </w:r>
      <w:r w:rsidRPr="00554D04">
        <w:rPr>
          <w:i/>
          <w:lang w:val="fr-FR"/>
        </w:rPr>
        <w:t>6.22.9.1</w:t>
      </w:r>
      <w:r w:rsidRPr="00657E76">
        <w:rPr>
          <w:iCs/>
          <w:lang w:val="fr-FR"/>
        </w:rPr>
        <w:t xml:space="preserve">, </w:t>
      </w:r>
      <w:r w:rsidRPr="00554D04">
        <w:rPr>
          <w:lang w:val="fr-FR"/>
        </w:rPr>
        <w:t>lire</w:t>
      </w:r>
      <w:r w:rsidR="00657E76">
        <w:rPr>
          <w:lang w:val="fr-FR"/>
        </w:rPr>
        <w:t> :</w:t>
      </w:r>
    </w:p>
    <w:p w14:paraId="10326EDF" w14:textId="45F9C058" w:rsidR="008E6E99" w:rsidRPr="00554D04" w:rsidRDefault="008E6E99" w:rsidP="008E6E99">
      <w:pPr>
        <w:pStyle w:val="SingleTxtG"/>
        <w:ind w:left="2268" w:hanging="1134"/>
        <w:rPr>
          <w:lang w:val="fr-FR"/>
        </w:rPr>
      </w:pPr>
      <w:r w:rsidRPr="00554D04">
        <w:rPr>
          <w:lang w:val="fr-FR"/>
        </w:rPr>
        <w:t>« 6.22.9.1</w:t>
      </w:r>
      <w:r w:rsidRPr="00554D04">
        <w:rPr>
          <w:lang w:val="fr-FR"/>
        </w:rPr>
        <w:tab/>
        <w:t>Le montage d</w:t>
      </w:r>
      <w:r>
        <w:rPr>
          <w:lang w:val="fr-FR"/>
        </w:rPr>
        <w:t>’</w:t>
      </w:r>
      <w:r w:rsidRPr="00554D04">
        <w:rPr>
          <w:lang w:val="fr-FR"/>
        </w:rPr>
        <w:t>un système AFS n</w:t>
      </w:r>
      <w:r>
        <w:rPr>
          <w:lang w:val="fr-FR"/>
        </w:rPr>
        <w:t>’</w:t>
      </w:r>
      <w:r w:rsidRPr="00554D04">
        <w:rPr>
          <w:lang w:val="fr-FR"/>
        </w:rPr>
        <w:t>est autorisé que si le véhicule est aussi équipé de dispositifs de nettoyage des projecteurs conformes au Règlement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45</w:t>
      </w:r>
      <w:r w:rsidRPr="00657E76">
        <w:rPr>
          <w:sz w:val="18"/>
          <w:szCs w:val="18"/>
          <w:vertAlign w:val="superscript"/>
          <w:lang w:val="fr-FR"/>
        </w:rPr>
        <w:t>22</w:t>
      </w:r>
      <w:r w:rsidRPr="00554D04">
        <w:rPr>
          <w:lang w:val="fr-FR"/>
        </w:rPr>
        <w:t>, au moins sur les unités d</w:t>
      </w:r>
      <w:r>
        <w:rPr>
          <w:lang w:val="fr-FR"/>
        </w:rPr>
        <w:t>’</w:t>
      </w:r>
      <w:r w:rsidRPr="00554D04">
        <w:rPr>
          <w:lang w:val="fr-FR"/>
        </w:rPr>
        <w:t>éclairage énumérées au point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9.3 de la fiche de communication conforme au modèle de l</w:t>
      </w:r>
      <w:r>
        <w:rPr>
          <w:lang w:val="fr-FR"/>
        </w:rPr>
        <w:t>’</w:t>
      </w:r>
      <w:r w:rsidRPr="00554D04">
        <w:rPr>
          <w:lang w:val="fr-FR"/>
        </w:rPr>
        <w:t>annexe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1 du Règlement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123 ou au point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9.3.3 de l</w:t>
      </w:r>
      <w:r>
        <w:rPr>
          <w:lang w:val="fr-FR"/>
        </w:rPr>
        <w:t>’</w:t>
      </w:r>
      <w:r w:rsidRPr="00554D04">
        <w:rPr>
          <w:lang w:val="fr-FR"/>
        </w:rPr>
        <w:t>annexe</w:t>
      </w:r>
      <w:r w:rsidR="00D40E06">
        <w:rPr>
          <w:lang w:val="fr-FR"/>
        </w:rPr>
        <w:t xml:space="preserve"> </w:t>
      </w:r>
      <w:r w:rsidRPr="00554D04">
        <w:rPr>
          <w:lang w:val="fr-FR"/>
        </w:rPr>
        <w:t>1 du Règlement n</w:t>
      </w:r>
      <w:r w:rsidRPr="00554D04">
        <w:rPr>
          <w:vertAlign w:val="superscript"/>
          <w:lang w:val="fr-FR"/>
        </w:rPr>
        <w:t>o</w:t>
      </w:r>
      <w:r w:rsidRPr="00554D04">
        <w:rPr>
          <w:lang w:val="fr-FR"/>
        </w:rPr>
        <w:t> 149, si le flux lumineux normal total des sources lumineuses de ces unités d</w:t>
      </w:r>
      <w:r>
        <w:rPr>
          <w:lang w:val="fr-FR"/>
        </w:rPr>
        <w:t>’</w:t>
      </w:r>
      <w:r w:rsidRPr="00554D04">
        <w:rPr>
          <w:lang w:val="fr-FR"/>
        </w:rPr>
        <w:t>éclairage dépasse 2</w:t>
      </w:r>
      <w:r w:rsidR="00657E76">
        <w:rPr>
          <w:lang w:val="fr-FR"/>
        </w:rPr>
        <w:t> </w:t>
      </w:r>
      <w:r w:rsidRPr="00554D04">
        <w:rPr>
          <w:lang w:val="fr-FR"/>
        </w:rPr>
        <w:t>000</w:t>
      </w:r>
      <w:r w:rsidR="00657E76">
        <w:rPr>
          <w:lang w:val="fr-FR"/>
        </w:rPr>
        <w:t xml:space="preserve"> </w:t>
      </w:r>
      <w:r w:rsidRPr="00554D04">
        <w:rPr>
          <w:lang w:val="fr-FR"/>
        </w:rPr>
        <w:t>lm par côté, et si</w:t>
      </w:r>
      <w:r w:rsidR="00657E76">
        <w:rPr>
          <w:lang w:val="fr-FR"/>
        </w:rPr>
        <w:t>…</w:t>
      </w:r>
      <w:r w:rsidRPr="00554D04">
        <w:rPr>
          <w:lang w:val="fr-FR"/>
        </w:rPr>
        <w:t> ».</w:t>
      </w:r>
    </w:p>
    <w:p w14:paraId="79D40B45" w14:textId="74B25B1C" w:rsidR="008E6E99" w:rsidRPr="00554D04" w:rsidRDefault="008E6E99" w:rsidP="00657E76">
      <w:pPr>
        <w:pStyle w:val="SingleTxtG"/>
        <w:keepNext/>
        <w:rPr>
          <w:lang w:val="fr-FR"/>
        </w:rPr>
      </w:pPr>
      <w:r w:rsidRPr="00554D04">
        <w:rPr>
          <w:i/>
          <w:lang w:val="fr-FR"/>
        </w:rPr>
        <w:lastRenderedPageBreak/>
        <w:t>Annexe 4</w:t>
      </w:r>
      <w:r w:rsidRPr="00657E76">
        <w:rPr>
          <w:iCs/>
          <w:lang w:val="fr-FR"/>
        </w:rPr>
        <w:t xml:space="preserve">, </w:t>
      </w:r>
      <w:r w:rsidRPr="00554D04">
        <w:rPr>
          <w:lang w:val="fr-FR"/>
        </w:rPr>
        <w:t>lire</w:t>
      </w:r>
      <w:r w:rsidR="00657E76">
        <w:rPr>
          <w:lang w:val="fr-FR"/>
        </w:rPr>
        <w:t> :</w:t>
      </w:r>
    </w:p>
    <w:p w14:paraId="56C140FD" w14:textId="77777777" w:rsidR="008E6E99" w:rsidRPr="00361286" w:rsidRDefault="008E6E99" w:rsidP="008E6E99">
      <w:pPr>
        <w:pStyle w:val="HChG"/>
        <w:rPr>
          <w:lang w:val="fr-FR"/>
        </w:rPr>
      </w:pPr>
      <w:r w:rsidRPr="00657E76">
        <w:rPr>
          <w:b w:val="0"/>
          <w:bCs/>
          <w:sz w:val="20"/>
          <w:lang w:val="fr-FR"/>
        </w:rPr>
        <w:t>« </w:t>
      </w:r>
      <w:r w:rsidRPr="00361286">
        <w:rPr>
          <w:lang w:val="fr-FR"/>
        </w:rPr>
        <w:t>Annexe 4</w:t>
      </w:r>
    </w:p>
    <w:p w14:paraId="4EE70B8B" w14:textId="77777777" w:rsidR="008E6E99" w:rsidRPr="00361286" w:rsidRDefault="008E6E99" w:rsidP="008E6E99">
      <w:pPr>
        <w:pStyle w:val="HChG"/>
        <w:rPr>
          <w:lang w:val="fr-FR"/>
        </w:rPr>
      </w:pPr>
      <w:bookmarkStart w:id="3" w:name="_Toc338161457"/>
      <w:r w:rsidRPr="00361286">
        <w:rPr>
          <w:lang w:val="fr-FR"/>
        </w:rPr>
        <w:tab/>
      </w:r>
      <w:r w:rsidRPr="00361286">
        <w:rPr>
          <w:lang w:val="fr-FR"/>
        </w:rPr>
        <w:tab/>
        <w:t>Visibilité d</w:t>
      </w:r>
      <w:r>
        <w:rPr>
          <w:lang w:val="fr-FR"/>
        </w:rPr>
        <w:t>’</w:t>
      </w:r>
      <w:r w:rsidRPr="00361286">
        <w:rPr>
          <w:lang w:val="fr-FR"/>
        </w:rPr>
        <w:t>un feu rouge à l</w:t>
      </w:r>
      <w:r>
        <w:rPr>
          <w:lang w:val="fr-FR"/>
        </w:rPr>
        <w:t>’</w:t>
      </w:r>
      <w:r w:rsidRPr="00361286">
        <w:rPr>
          <w:lang w:val="fr-FR"/>
        </w:rPr>
        <w:t>avant et visibilité d</w:t>
      </w:r>
      <w:r>
        <w:rPr>
          <w:lang w:val="fr-FR"/>
        </w:rPr>
        <w:t>’</w:t>
      </w:r>
      <w:r w:rsidRPr="00361286">
        <w:rPr>
          <w:lang w:val="fr-FR"/>
        </w:rPr>
        <w:t>un feu blanc à l</w:t>
      </w:r>
      <w:r>
        <w:rPr>
          <w:lang w:val="fr-FR"/>
        </w:rPr>
        <w:t>’</w:t>
      </w:r>
      <w:r w:rsidRPr="00361286">
        <w:rPr>
          <w:lang w:val="fr-FR"/>
        </w:rPr>
        <w:t>arrière</w:t>
      </w:r>
      <w:bookmarkEnd w:id="3"/>
    </w:p>
    <w:p w14:paraId="10B2A0FA" w14:textId="65645525" w:rsidR="008E6E99" w:rsidRPr="00361286" w:rsidRDefault="008E6E99" w:rsidP="008E6E99">
      <w:pPr>
        <w:pStyle w:val="SingleTxtG"/>
        <w:rPr>
          <w:snapToGrid w:val="0"/>
          <w:lang w:val="fr-FR"/>
        </w:rPr>
      </w:pPr>
      <w:r w:rsidRPr="00361286">
        <w:rPr>
          <w:snapToGrid w:val="0"/>
          <w:lang w:val="fr-FR"/>
        </w:rPr>
        <w:t>(Voir le paragraphe</w:t>
      </w:r>
      <w:r w:rsidR="00D40E06">
        <w:rPr>
          <w:snapToGrid w:val="0"/>
          <w:lang w:val="fr-FR"/>
        </w:rPr>
        <w:t xml:space="preserve"> </w:t>
      </w:r>
      <w:r w:rsidRPr="00361286">
        <w:rPr>
          <w:snapToGrid w:val="0"/>
          <w:lang w:val="fr-FR"/>
        </w:rPr>
        <w:t xml:space="preserve">5.10.4. du présent </w:t>
      </w:r>
      <w:r w:rsidRPr="00361286">
        <w:rPr>
          <w:lang w:val="fr-FR"/>
        </w:rPr>
        <w:t>Règlement</w:t>
      </w:r>
      <w:r w:rsidRPr="00361286">
        <w:rPr>
          <w:snapToGrid w:val="0"/>
          <w:lang w:val="fr-FR"/>
        </w:rPr>
        <w:t>)</w:t>
      </w:r>
    </w:p>
    <w:p w14:paraId="2FD64341" w14:textId="77777777" w:rsidR="008E6E99" w:rsidRDefault="008E6E99" w:rsidP="008E6E99">
      <w:pPr>
        <w:pStyle w:val="SingleTxtG"/>
        <w:ind w:left="0" w:right="0"/>
      </w:pPr>
      <w:r w:rsidRPr="00F40752">
        <w:rPr>
          <w:noProof/>
          <w:lang w:val="fr-FR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7610" wp14:editId="3B69FC29">
                <wp:simplePos x="0" y="0"/>
                <wp:positionH relativeFrom="column">
                  <wp:posOffset>98342</wp:posOffset>
                </wp:positionH>
                <wp:positionV relativeFrom="paragraph">
                  <wp:posOffset>3276462</wp:posOffset>
                </wp:positionV>
                <wp:extent cx="2252676" cy="251460"/>
                <wp:effectExtent l="0" t="0" r="0" b="0"/>
                <wp:wrapNone/>
                <wp:docPr id="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676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34DA" w14:textId="77777777" w:rsidR="008E6E99" w:rsidRPr="00356EE0" w:rsidRDefault="008E6E99" w:rsidP="008E6E99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Visibilité d’un feu blanc vers l’arrière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7610" id="Textruta 3" o:spid="_x0000_s1027" type="#_x0000_t202" style="position:absolute;left:0;text-align:left;margin-left:7.75pt;margin-top:258pt;width:177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" stroked="f">
                <v:textbox>
                  <w:txbxContent>
                    <w:p w14:paraId="7EA734DA" w14:textId="77777777" w:rsidR="008E6E99" w:rsidRPr="00356EE0" w:rsidRDefault="008E6E99" w:rsidP="008E6E99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Visibilité d’un feu blanc vers l’arrière</w:t>
                      </w:r>
                    </w:p>
                  </w:txbxContent>
                </v:textbox>
              </v:shape>
            </w:pict>
          </mc:Fallback>
        </mc:AlternateContent>
      </w:r>
      <w:r w:rsidRPr="00F40752">
        <w:rPr>
          <w:noProof/>
          <w:lang w:val="fr-FR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7B25" wp14:editId="29B03ADF">
                <wp:simplePos x="0" y="0"/>
                <wp:positionH relativeFrom="column">
                  <wp:posOffset>3808675</wp:posOffset>
                </wp:positionH>
                <wp:positionV relativeFrom="paragraph">
                  <wp:posOffset>250825</wp:posOffset>
                </wp:positionV>
                <wp:extent cx="2181115" cy="251460"/>
                <wp:effectExtent l="0" t="0" r="0" b="0"/>
                <wp:wrapNone/>
                <wp:docPr id="6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1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14E9" w14:textId="77777777" w:rsidR="008E6E99" w:rsidRPr="00356EE0" w:rsidRDefault="008E6E99" w:rsidP="008E6E99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Visibilité d’un feu rouge vers l’avant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7B25" id="_x0000_s1028" type="#_x0000_t202" style="position:absolute;left:0;text-align:left;margin-left:299.9pt;margin-top:19.75pt;width:171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" stroked="f">
                <v:textbox>
                  <w:txbxContent>
                    <w:p w14:paraId="6D5A14E9" w14:textId="77777777" w:rsidR="008E6E99" w:rsidRPr="00356EE0" w:rsidRDefault="008E6E99" w:rsidP="008E6E99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Visibilité d’un feu rouge vers l’avant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2240" w:dyaOrig="14400" w14:anchorId="3806F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05pt;height:482.7pt" o:ole="">
            <v:imagedata r:id="rId8" o:title=""/>
          </v:shape>
          <o:OLEObject Type="Embed" ProgID="WPDraw30.Drawing" ShapeID="_x0000_i1025" DrawAspect="Content" ObjectID="_1739683774" r:id="rId9"/>
        </w:object>
      </w:r>
    </w:p>
    <w:p w14:paraId="49DEE370" w14:textId="1828F664" w:rsidR="008E6E99" w:rsidRPr="00361286" w:rsidRDefault="008E6E99" w:rsidP="00657E76">
      <w:pPr>
        <w:pStyle w:val="SingleTxtG"/>
        <w:keepNext/>
        <w:rPr>
          <w:bCs/>
          <w:lang w:val="fr-FR"/>
        </w:rPr>
      </w:pPr>
      <w:r w:rsidRPr="00361286">
        <w:rPr>
          <w:lang w:val="fr-FR"/>
        </w:rPr>
        <w:t>Dans leurs plans respectifs, les zones</w:t>
      </w:r>
      <w:r w:rsidR="00657E76">
        <w:rPr>
          <w:lang w:val="fr-FR"/>
        </w:rPr>
        <w:t xml:space="preserve"> </w:t>
      </w:r>
      <w:r w:rsidRPr="00361286">
        <w:rPr>
          <w:lang w:val="fr-FR"/>
        </w:rPr>
        <w:t>1 et 2 explorées par l</w:t>
      </w:r>
      <w:r>
        <w:rPr>
          <w:lang w:val="fr-FR"/>
        </w:rPr>
        <w:t>’</w:t>
      </w:r>
      <w:r w:rsidRPr="00361286">
        <w:rPr>
          <w:lang w:val="fr-FR"/>
        </w:rPr>
        <w:t>œil de l</w:t>
      </w:r>
      <w:r>
        <w:rPr>
          <w:lang w:val="fr-FR"/>
        </w:rPr>
        <w:t>’</w:t>
      </w:r>
      <w:r w:rsidRPr="00361286">
        <w:rPr>
          <w:lang w:val="fr-FR"/>
        </w:rPr>
        <w:t>observateur sont délimitées</w:t>
      </w:r>
      <w:r w:rsidR="00657E76">
        <w:rPr>
          <w:lang w:val="fr-FR"/>
        </w:rPr>
        <w:t> :</w:t>
      </w:r>
    </w:p>
    <w:p w14:paraId="4DCB18E2" w14:textId="77777777" w:rsidR="00D40E06" w:rsidRDefault="008E6E99" w:rsidP="00D40E06">
      <w:pPr>
        <w:pStyle w:val="SingleTxtG"/>
        <w:ind w:left="2268" w:hanging="567"/>
        <w:rPr>
          <w:lang w:val="fr-FR"/>
        </w:rPr>
      </w:pPr>
      <w:r w:rsidRPr="00361286">
        <w:rPr>
          <w:bCs/>
          <w:lang w:val="fr-FR"/>
        </w:rPr>
        <w:t>-</w:t>
      </w:r>
      <w:r w:rsidRPr="00361286">
        <w:rPr>
          <w:bCs/>
          <w:lang w:val="fr-FR"/>
        </w:rPr>
        <w:tab/>
      </w:r>
      <w:r w:rsidRPr="00361286">
        <w:rPr>
          <w:lang w:val="fr-FR"/>
        </w:rPr>
        <w:t>En hauteur, par deux plans horizontaux respectivement situés à 1 m et</w:t>
      </w:r>
      <w:r w:rsidR="00657E76">
        <w:rPr>
          <w:lang w:val="fr-FR"/>
        </w:rPr>
        <w:t xml:space="preserve"> </w:t>
      </w:r>
      <w:r w:rsidRPr="00361286">
        <w:rPr>
          <w:lang w:val="fr-FR"/>
        </w:rPr>
        <w:t>2,2 m au-dessus du sol</w:t>
      </w:r>
      <w:r w:rsidR="00657E76">
        <w:rPr>
          <w:lang w:val="fr-FR"/>
        </w:rPr>
        <w:t> ;</w:t>
      </w:r>
    </w:p>
    <w:p w14:paraId="46069C06" w14:textId="479C2F30" w:rsidR="008E6E99" w:rsidRDefault="008E6E99" w:rsidP="00D40E06">
      <w:pPr>
        <w:pStyle w:val="SingleTxtG"/>
        <w:ind w:left="2268" w:hanging="567"/>
        <w:rPr>
          <w:bCs/>
          <w:color w:val="000000"/>
          <w:lang w:val="fr-FR"/>
        </w:rPr>
      </w:pPr>
      <w:r w:rsidRPr="00361286">
        <w:rPr>
          <w:bCs/>
          <w:lang w:val="fr-FR"/>
        </w:rPr>
        <w:t>-</w:t>
      </w:r>
      <w:r w:rsidRPr="00361286">
        <w:rPr>
          <w:bCs/>
          <w:lang w:val="fr-FR"/>
        </w:rPr>
        <w:tab/>
      </w:r>
      <w:r w:rsidRPr="00361286">
        <w:rPr>
          <w:lang w:val="fr-FR"/>
        </w:rPr>
        <w:t>En largeur, par deux plans verticaux formant respectivement vers l</w:t>
      </w:r>
      <w:r>
        <w:rPr>
          <w:lang w:val="fr-FR"/>
        </w:rPr>
        <w:t>’</w:t>
      </w:r>
      <w:r w:rsidRPr="00361286">
        <w:rPr>
          <w:lang w:val="fr-FR"/>
        </w:rPr>
        <w:t>avant et vers l</w:t>
      </w:r>
      <w:r>
        <w:rPr>
          <w:lang w:val="fr-FR"/>
        </w:rPr>
        <w:t>’</w:t>
      </w:r>
      <w:r w:rsidRPr="00361286">
        <w:rPr>
          <w:lang w:val="fr-FR"/>
        </w:rPr>
        <w:t>arrière un angle de 15° vers l</w:t>
      </w:r>
      <w:r>
        <w:rPr>
          <w:lang w:val="fr-FR"/>
        </w:rPr>
        <w:t>’</w:t>
      </w:r>
      <w:r w:rsidRPr="00361286">
        <w:rPr>
          <w:lang w:val="fr-FR"/>
        </w:rPr>
        <w:t xml:space="preserve">extérieur par rapport au plan médian longitudinal du véhicule et passant par le ou les points de contact des plans </w:t>
      </w:r>
      <w:r w:rsidRPr="00361286">
        <w:rPr>
          <w:lang w:val="fr-FR"/>
        </w:rPr>
        <w:lastRenderedPageBreak/>
        <w:t>verticaux parallèles au plan médian longitudinal du véhicule et délimitant la largeur hors tout du véhicule</w:t>
      </w:r>
      <w:r w:rsidR="00657E76">
        <w:rPr>
          <w:lang w:val="fr-FR"/>
        </w:rPr>
        <w:t> ;</w:t>
      </w:r>
      <w:r w:rsidRPr="00361286">
        <w:rPr>
          <w:lang w:val="fr-FR"/>
        </w:rPr>
        <w:t xml:space="preserve"> s</w:t>
      </w:r>
      <w:r>
        <w:rPr>
          <w:lang w:val="fr-FR"/>
        </w:rPr>
        <w:t>’</w:t>
      </w:r>
      <w:r w:rsidRPr="00361286">
        <w:rPr>
          <w:lang w:val="fr-FR"/>
        </w:rPr>
        <w:t>il y a plusieurs points de contact, le plus en avant correspond au plan avant et le plus en arrière au plan arrière. ».</w:t>
      </w:r>
    </w:p>
    <w:bookmarkEnd w:id="0"/>
    <w:p w14:paraId="101B2B95" w14:textId="3D4BB60B" w:rsidR="005F0207" w:rsidRPr="008E6E99" w:rsidRDefault="008E6E99" w:rsidP="008E6E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8E6E99" w:rsidSect="007E299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1B8C" w14:textId="77777777" w:rsidR="00DD783D" w:rsidRDefault="00DD783D"/>
  </w:endnote>
  <w:endnote w:type="continuationSeparator" w:id="0">
    <w:p w14:paraId="43A2DDC5" w14:textId="77777777" w:rsidR="00DD783D" w:rsidRDefault="00DD783D">
      <w:pPr>
        <w:pStyle w:val="Pieddepage"/>
      </w:pPr>
    </w:p>
  </w:endnote>
  <w:endnote w:type="continuationNotice" w:id="1">
    <w:p w14:paraId="7CF442D9" w14:textId="77777777" w:rsidR="00DD783D" w:rsidRPr="00C451B9" w:rsidRDefault="00DD783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6E9F" w14:textId="77777777" w:rsidR="007E2996" w:rsidRPr="007E2996" w:rsidRDefault="007E2996" w:rsidP="007E2996">
    <w:pPr>
      <w:pStyle w:val="Pieddepage"/>
      <w:tabs>
        <w:tab w:val="right" w:pos="9638"/>
      </w:tabs>
    </w:pPr>
    <w:r w:rsidRPr="007E2996">
      <w:rPr>
        <w:b/>
        <w:sz w:val="18"/>
      </w:rPr>
      <w:fldChar w:fldCharType="begin"/>
    </w:r>
    <w:r w:rsidRPr="007E2996">
      <w:rPr>
        <w:b/>
        <w:sz w:val="18"/>
      </w:rPr>
      <w:instrText xml:space="preserve"> PAGE  \* MERGEFORMAT </w:instrText>
    </w:r>
    <w:r w:rsidRPr="007E2996">
      <w:rPr>
        <w:b/>
        <w:sz w:val="18"/>
      </w:rPr>
      <w:fldChar w:fldCharType="separate"/>
    </w:r>
    <w:r w:rsidRPr="007E2996">
      <w:rPr>
        <w:b/>
        <w:noProof/>
        <w:sz w:val="18"/>
      </w:rPr>
      <w:t>2</w:t>
    </w:r>
    <w:r w:rsidRPr="007E2996">
      <w:rPr>
        <w:b/>
        <w:sz w:val="18"/>
      </w:rPr>
      <w:fldChar w:fldCharType="end"/>
    </w:r>
    <w:r>
      <w:rPr>
        <w:b/>
        <w:sz w:val="18"/>
      </w:rPr>
      <w:tab/>
    </w:r>
    <w:r>
      <w:t>GE.23-02688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EF09" w14:textId="77777777" w:rsidR="007E2996" w:rsidRPr="007E2996" w:rsidRDefault="007E2996" w:rsidP="007E2996">
    <w:pPr>
      <w:pStyle w:val="Pieddepage"/>
      <w:tabs>
        <w:tab w:val="right" w:pos="9638"/>
      </w:tabs>
      <w:rPr>
        <w:b/>
        <w:sz w:val="18"/>
      </w:rPr>
    </w:pPr>
    <w:r>
      <w:t>GE.23-02688</w:t>
    </w:r>
    <w:r>
      <w:tab/>
    </w:r>
    <w:r w:rsidRPr="007E2996">
      <w:rPr>
        <w:b/>
        <w:sz w:val="18"/>
      </w:rPr>
      <w:fldChar w:fldCharType="begin"/>
    </w:r>
    <w:r w:rsidRPr="007E2996">
      <w:rPr>
        <w:b/>
        <w:sz w:val="18"/>
      </w:rPr>
      <w:instrText xml:space="preserve"> PAGE  \* MERGEFORMAT </w:instrText>
    </w:r>
    <w:r w:rsidRPr="007E2996">
      <w:rPr>
        <w:b/>
        <w:sz w:val="18"/>
      </w:rPr>
      <w:fldChar w:fldCharType="separate"/>
    </w:r>
    <w:r w:rsidRPr="007E2996">
      <w:rPr>
        <w:b/>
        <w:noProof/>
        <w:sz w:val="18"/>
      </w:rPr>
      <w:t>3</w:t>
    </w:r>
    <w:r w:rsidRPr="007E29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30D" w14:textId="6054D55B" w:rsidR="00467F2C" w:rsidRPr="007E2996" w:rsidRDefault="007E2996" w:rsidP="007E299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E542F7F" wp14:editId="3EAEF3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23-02688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F3363C" wp14:editId="5174480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060323    070323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6577" w14:textId="77777777" w:rsidR="00DD783D" w:rsidRPr="00D27D5E" w:rsidRDefault="00DD783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E76D6" w14:textId="77777777" w:rsidR="00DD783D" w:rsidRPr="00D171D4" w:rsidRDefault="00DD783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215CE7F" w14:textId="77777777" w:rsidR="00DD783D" w:rsidRPr="00C451B9" w:rsidRDefault="00DD783D" w:rsidP="00C451B9">
      <w:pPr>
        <w:spacing w:line="240" w:lineRule="auto"/>
        <w:rPr>
          <w:sz w:val="2"/>
          <w:szCs w:val="2"/>
        </w:rPr>
      </w:pPr>
    </w:p>
  </w:footnote>
  <w:footnote w:id="2">
    <w:p w14:paraId="74FB2EA5" w14:textId="33312D6B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</w:t>
      </w:r>
      <w:r w:rsidR="00657E76">
        <w:t> :</w:t>
      </w:r>
    </w:p>
    <w:p w14:paraId="63395970" w14:textId="6D5B1F92"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</w:t>
      </w:r>
      <w:r w:rsidR="00657E76">
        <w:t> ;</w:t>
      </w:r>
    </w:p>
    <w:p w14:paraId="2A29144D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4FC960F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C74A" w14:textId="77777777" w:rsidR="007E2996" w:rsidRPr="007E2996" w:rsidRDefault="007E2996">
    <w:pPr>
      <w:pStyle w:val="En-tte"/>
    </w:pPr>
    <w:fldSimple w:instr=" TITLE  \* MERGEFORMAT ">
      <w:r>
        <w:t>E/ECE/324/Rev.1/Add.47/Rev.6/Amend.14</w:t>
      </w:r>
    </w:fldSimple>
    <w:r>
      <w:br/>
    </w:r>
    <w:fldSimple w:instr=" KEYWORDS  \* MERGEFORMAT ">
      <w:r>
        <w:t>E/ECE/TRANS/505/Rev.1/Add.47/Rev.6/Amend.14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35D" w14:textId="77777777" w:rsidR="007E2996" w:rsidRPr="007E2996" w:rsidRDefault="007E2996" w:rsidP="007E2996">
    <w:pPr>
      <w:pStyle w:val="En-tte"/>
      <w:jc w:val="right"/>
    </w:pPr>
    <w:fldSimple w:instr=" TITLE  \* MERGEFORMAT ">
      <w:r>
        <w:t>E/ECE/324/Rev.1/Add.47/Rev.6/Amend.14</w:t>
      </w:r>
    </w:fldSimple>
    <w:r>
      <w:br/>
    </w:r>
    <w:fldSimple w:instr=" KEYWORDS  \* MERGEFORMAT ">
      <w:r>
        <w:t>E/ECE/TRANS/505/Rev.1/Add.47/Rev.6/Amend.14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3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74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57E76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2996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6E99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1E63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0E06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783D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03F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B6CF77"/>
  <w15:docId w15:val="{D7512385-60E1-4B4B-B88B-C8BA2C1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8E6E99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59046-E856-459C-9565-C4CDD63689EA}"/>
</file>

<file path=customXml/itemProps2.xml><?xml version="1.0" encoding="utf-8"?>
<ds:datastoreItem xmlns:ds="http://schemas.openxmlformats.org/officeDocument/2006/customXml" ds:itemID="{49E0FD1E-AC2A-4A68-8F53-129E4753DA5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5</Pages>
  <Words>943</Words>
  <Characters>6134</Characters>
  <Application>Microsoft Office Word</Application>
  <DocSecurity>0</DocSecurity>
  <Lines>613</Lines>
  <Paragraphs>416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E/ECE/324/Rev.1/Add.47/Rev.6/Amend.14</vt:lpstr>
    </vt:vector>
  </TitlesOfParts>
  <Company>CSD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E/ECE/324/Rev.1/Add.47/Rev.6/Amend.14</dc:title>
  <dc:creator>Nicolas MORIN</dc:creator>
  <cp:keywords>E/ECE/TRANS/505/Rev.1/Add.47/Rev.6/Amend.14</cp:keywords>
  <cp:lastModifiedBy>Nicolas Morin</cp:lastModifiedBy>
  <cp:revision>2</cp:revision>
  <cp:lastPrinted>2008-11-04T15:54:00Z</cp:lastPrinted>
  <dcterms:created xsi:type="dcterms:W3CDTF">2023-03-07T07:43:00Z</dcterms:created>
  <dcterms:modified xsi:type="dcterms:W3CDTF">2023-03-07T07:43:00Z</dcterms:modified>
</cp:coreProperties>
</file>