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9F2838" w14:paraId="22497BAB" w14:textId="77777777" w:rsidTr="00C97039">
        <w:trPr>
          <w:trHeight w:hRule="exact" w:val="851"/>
        </w:trPr>
        <w:tc>
          <w:tcPr>
            <w:tcW w:w="1276" w:type="dxa"/>
            <w:tcBorders>
              <w:bottom w:val="single" w:sz="4" w:space="0" w:color="auto"/>
            </w:tcBorders>
          </w:tcPr>
          <w:p w14:paraId="316D64BF" w14:textId="77777777" w:rsidR="00F35BAF" w:rsidRPr="009F2838" w:rsidRDefault="00F35BAF" w:rsidP="009F2838">
            <w:pPr>
              <w:rPr>
                <w:lang w:val="fr-CH"/>
              </w:rPr>
            </w:pPr>
          </w:p>
        </w:tc>
        <w:tc>
          <w:tcPr>
            <w:tcW w:w="2268" w:type="dxa"/>
            <w:tcBorders>
              <w:bottom w:val="single" w:sz="4" w:space="0" w:color="auto"/>
            </w:tcBorders>
            <w:vAlign w:val="bottom"/>
          </w:tcPr>
          <w:p w14:paraId="4CBEB71F" w14:textId="77777777" w:rsidR="00F35BAF" w:rsidRPr="009F2838" w:rsidRDefault="00F35BAF" w:rsidP="00C97039">
            <w:pPr>
              <w:spacing w:after="80" w:line="300" w:lineRule="exact"/>
              <w:rPr>
                <w:sz w:val="28"/>
                <w:lang w:val="fr-CH"/>
              </w:rPr>
            </w:pPr>
            <w:r w:rsidRPr="009F2838">
              <w:rPr>
                <w:sz w:val="28"/>
                <w:lang w:val="fr-CH"/>
              </w:rPr>
              <w:t>Nations Unies</w:t>
            </w:r>
          </w:p>
        </w:tc>
        <w:tc>
          <w:tcPr>
            <w:tcW w:w="6095" w:type="dxa"/>
            <w:gridSpan w:val="2"/>
            <w:tcBorders>
              <w:bottom w:val="single" w:sz="4" w:space="0" w:color="auto"/>
            </w:tcBorders>
            <w:vAlign w:val="bottom"/>
          </w:tcPr>
          <w:p w14:paraId="4B8401E5" w14:textId="73542FDE" w:rsidR="00F35BAF" w:rsidRPr="009F2838" w:rsidRDefault="009F2838" w:rsidP="009F2838">
            <w:pPr>
              <w:jc w:val="right"/>
              <w:rPr>
                <w:lang w:val="fr-CH"/>
              </w:rPr>
            </w:pPr>
            <w:r w:rsidRPr="009F2838">
              <w:rPr>
                <w:sz w:val="40"/>
                <w:lang w:val="fr-CH"/>
              </w:rPr>
              <w:t>ECE</w:t>
            </w:r>
            <w:r w:rsidRPr="009F2838">
              <w:rPr>
                <w:lang w:val="fr-CH"/>
              </w:rPr>
              <w:t>/TRANS/WP.11/2023/13</w:t>
            </w:r>
          </w:p>
        </w:tc>
      </w:tr>
      <w:tr w:rsidR="00F35BAF" w:rsidRPr="009F2838" w14:paraId="336CC559" w14:textId="77777777" w:rsidTr="00C97039">
        <w:trPr>
          <w:trHeight w:hRule="exact" w:val="2835"/>
        </w:trPr>
        <w:tc>
          <w:tcPr>
            <w:tcW w:w="1276" w:type="dxa"/>
            <w:tcBorders>
              <w:top w:val="single" w:sz="4" w:space="0" w:color="auto"/>
              <w:bottom w:val="single" w:sz="12" w:space="0" w:color="auto"/>
            </w:tcBorders>
          </w:tcPr>
          <w:p w14:paraId="781A21EA" w14:textId="77777777" w:rsidR="00F35BAF" w:rsidRPr="009F2838" w:rsidRDefault="00F35BAF" w:rsidP="00C97039">
            <w:pPr>
              <w:spacing w:before="120"/>
              <w:jc w:val="center"/>
              <w:rPr>
                <w:lang w:val="fr-CH"/>
              </w:rPr>
            </w:pPr>
            <w:r w:rsidRPr="009F2838">
              <w:rPr>
                <w:lang w:val="fr-CH" w:eastAsia="fr-CH"/>
              </w:rPr>
              <w:drawing>
                <wp:inline distT="0" distB="0" distL="0" distR="0" wp14:anchorId="17F7F4E4" wp14:editId="1E7A960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940333" w14:textId="77777777" w:rsidR="00F35BAF" w:rsidRPr="009F2838" w:rsidRDefault="00F35BAF" w:rsidP="00C97039">
            <w:pPr>
              <w:spacing w:before="120" w:line="420" w:lineRule="exact"/>
              <w:rPr>
                <w:b/>
                <w:sz w:val="40"/>
                <w:szCs w:val="40"/>
                <w:lang w:val="fr-CH"/>
              </w:rPr>
            </w:pPr>
            <w:r w:rsidRPr="009F2838">
              <w:rPr>
                <w:b/>
                <w:sz w:val="40"/>
                <w:szCs w:val="40"/>
                <w:lang w:val="fr-CH"/>
              </w:rPr>
              <w:t>Conseil économique et social</w:t>
            </w:r>
          </w:p>
        </w:tc>
        <w:tc>
          <w:tcPr>
            <w:tcW w:w="2835" w:type="dxa"/>
            <w:tcBorders>
              <w:top w:val="single" w:sz="4" w:space="0" w:color="auto"/>
              <w:bottom w:val="single" w:sz="12" w:space="0" w:color="auto"/>
            </w:tcBorders>
          </w:tcPr>
          <w:p w14:paraId="5C959647" w14:textId="77777777" w:rsidR="00F35BAF" w:rsidRPr="009F2838" w:rsidRDefault="009F2838" w:rsidP="00C97039">
            <w:pPr>
              <w:spacing w:before="240"/>
              <w:rPr>
                <w:lang w:val="fr-CH"/>
              </w:rPr>
            </w:pPr>
            <w:proofErr w:type="spellStart"/>
            <w:r w:rsidRPr="009F2838">
              <w:rPr>
                <w:lang w:val="fr-CH"/>
              </w:rPr>
              <w:t>Distr</w:t>
            </w:r>
            <w:proofErr w:type="spellEnd"/>
            <w:r w:rsidRPr="009F2838">
              <w:rPr>
                <w:lang w:val="fr-CH"/>
              </w:rPr>
              <w:t>. générale</w:t>
            </w:r>
          </w:p>
          <w:p w14:paraId="4E41AD6A" w14:textId="77777777" w:rsidR="009F2838" w:rsidRPr="009F2838" w:rsidRDefault="009F2838" w:rsidP="009F2838">
            <w:pPr>
              <w:spacing w:line="240" w:lineRule="exact"/>
              <w:rPr>
                <w:lang w:val="fr-CH"/>
              </w:rPr>
            </w:pPr>
            <w:r w:rsidRPr="009F2838">
              <w:rPr>
                <w:lang w:val="fr-CH"/>
              </w:rPr>
              <w:t>4 août 2023</w:t>
            </w:r>
          </w:p>
          <w:p w14:paraId="75329752" w14:textId="77777777" w:rsidR="009F2838" w:rsidRPr="009F2838" w:rsidRDefault="009F2838" w:rsidP="009F2838">
            <w:pPr>
              <w:spacing w:line="240" w:lineRule="exact"/>
              <w:rPr>
                <w:lang w:val="fr-CH"/>
              </w:rPr>
            </w:pPr>
            <w:r w:rsidRPr="009F2838">
              <w:rPr>
                <w:lang w:val="fr-CH"/>
              </w:rPr>
              <w:t>Français</w:t>
            </w:r>
          </w:p>
          <w:p w14:paraId="524B724D" w14:textId="392FEFAF" w:rsidR="009F2838" w:rsidRPr="009F2838" w:rsidRDefault="009F2838" w:rsidP="009F2838">
            <w:pPr>
              <w:spacing w:line="240" w:lineRule="exact"/>
              <w:rPr>
                <w:lang w:val="fr-CH"/>
              </w:rPr>
            </w:pPr>
            <w:r w:rsidRPr="009F2838">
              <w:rPr>
                <w:lang w:val="fr-CH"/>
              </w:rPr>
              <w:t>Original : anglais</w:t>
            </w:r>
          </w:p>
        </w:tc>
      </w:tr>
    </w:tbl>
    <w:p w14:paraId="6EDBA4D8" w14:textId="3511B86F" w:rsidR="007F20FA" w:rsidRPr="009F2838" w:rsidRDefault="007F20FA" w:rsidP="007F20FA">
      <w:pPr>
        <w:spacing w:before="120"/>
        <w:rPr>
          <w:b/>
          <w:sz w:val="28"/>
          <w:szCs w:val="28"/>
          <w:lang w:val="fr-CH"/>
        </w:rPr>
      </w:pPr>
      <w:r w:rsidRPr="009F2838">
        <w:rPr>
          <w:b/>
          <w:sz w:val="28"/>
          <w:szCs w:val="28"/>
          <w:lang w:val="fr-CH"/>
        </w:rPr>
        <w:t>Commission économique pour l</w:t>
      </w:r>
      <w:r w:rsidR="009F2838" w:rsidRPr="009F2838">
        <w:rPr>
          <w:b/>
          <w:sz w:val="28"/>
          <w:szCs w:val="28"/>
          <w:lang w:val="fr-CH"/>
        </w:rPr>
        <w:t>’</w:t>
      </w:r>
      <w:r w:rsidRPr="009F2838">
        <w:rPr>
          <w:b/>
          <w:sz w:val="28"/>
          <w:szCs w:val="28"/>
          <w:lang w:val="fr-CH"/>
        </w:rPr>
        <w:t>Europe</w:t>
      </w:r>
    </w:p>
    <w:p w14:paraId="7B4FF78A" w14:textId="77777777" w:rsidR="007F20FA" w:rsidRPr="009F2838" w:rsidRDefault="007F20FA" w:rsidP="007F20FA">
      <w:pPr>
        <w:spacing w:before="120"/>
        <w:rPr>
          <w:sz w:val="28"/>
          <w:szCs w:val="28"/>
          <w:lang w:val="fr-CH"/>
        </w:rPr>
      </w:pPr>
      <w:r w:rsidRPr="009F2838">
        <w:rPr>
          <w:sz w:val="28"/>
          <w:szCs w:val="28"/>
          <w:lang w:val="fr-CH"/>
        </w:rPr>
        <w:t>Comité des transports intérieurs</w:t>
      </w:r>
    </w:p>
    <w:p w14:paraId="264B5A6F" w14:textId="77777777" w:rsidR="009F2838" w:rsidRPr="009F2838" w:rsidRDefault="009F2838" w:rsidP="00305801">
      <w:pPr>
        <w:spacing w:before="120"/>
        <w:rPr>
          <w:b/>
          <w:sz w:val="24"/>
          <w:szCs w:val="24"/>
          <w:lang w:val="fr-CH"/>
        </w:rPr>
      </w:pPr>
      <w:r w:rsidRPr="009F2838">
        <w:rPr>
          <w:b/>
          <w:sz w:val="24"/>
          <w:szCs w:val="24"/>
          <w:lang w:val="fr-CH"/>
        </w:rPr>
        <w:t>Groupe de travail du transport des denrées périssables</w:t>
      </w:r>
    </w:p>
    <w:p w14:paraId="3218AC7D" w14:textId="77777777" w:rsidR="009F2838" w:rsidRPr="009F2838" w:rsidRDefault="009F2838" w:rsidP="009F2838">
      <w:pPr>
        <w:spacing w:before="120"/>
        <w:rPr>
          <w:b/>
          <w:lang w:val="fr-CH"/>
        </w:rPr>
      </w:pPr>
      <w:r w:rsidRPr="009F2838">
        <w:rPr>
          <w:b/>
          <w:bCs/>
          <w:lang w:val="fr-CH"/>
        </w:rPr>
        <w:t>Quatre-vingtième session</w:t>
      </w:r>
    </w:p>
    <w:p w14:paraId="779DF958" w14:textId="77777777" w:rsidR="009F2838" w:rsidRPr="009F2838" w:rsidRDefault="009F2838" w:rsidP="009F2838">
      <w:pPr>
        <w:rPr>
          <w:lang w:val="fr-CH"/>
        </w:rPr>
      </w:pPr>
      <w:r w:rsidRPr="009F2838">
        <w:rPr>
          <w:lang w:val="fr-CH"/>
        </w:rPr>
        <w:t>Genève, 24-27 octobre 2023</w:t>
      </w:r>
    </w:p>
    <w:p w14:paraId="02739F2E" w14:textId="598BA81D" w:rsidR="009F2838" w:rsidRPr="009F2838" w:rsidRDefault="009F2838" w:rsidP="009F2838">
      <w:pPr>
        <w:rPr>
          <w:lang w:val="fr-CH"/>
        </w:rPr>
      </w:pPr>
      <w:r w:rsidRPr="009F2838">
        <w:rPr>
          <w:lang w:val="fr-CH"/>
        </w:rPr>
        <w:t>Point 8 de l</w:t>
      </w:r>
      <w:r w:rsidRPr="009F2838">
        <w:rPr>
          <w:lang w:val="fr-CH"/>
        </w:rPr>
        <w:t>’</w:t>
      </w:r>
      <w:r w:rsidRPr="009F2838">
        <w:rPr>
          <w:lang w:val="fr-CH"/>
        </w:rPr>
        <w:t>ordre du jour provisoire</w:t>
      </w:r>
    </w:p>
    <w:p w14:paraId="28AE6514" w14:textId="428BC2FB" w:rsidR="009F2838" w:rsidRPr="009F2838" w:rsidRDefault="009F2838" w:rsidP="009F2838">
      <w:pPr>
        <w:rPr>
          <w:b/>
          <w:bCs/>
          <w:lang w:val="fr-CH"/>
        </w:rPr>
      </w:pPr>
      <w:r w:rsidRPr="009F2838">
        <w:rPr>
          <w:b/>
          <w:bCs/>
          <w:lang w:val="fr-CH"/>
        </w:rPr>
        <w:t>Portée de l</w:t>
      </w:r>
      <w:r w:rsidRPr="009F2838">
        <w:rPr>
          <w:b/>
          <w:bCs/>
          <w:lang w:val="fr-CH"/>
        </w:rPr>
        <w:t>’</w:t>
      </w:r>
      <w:r w:rsidRPr="009F2838">
        <w:rPr>
          <w:b/>
          <w:bCs/>
          <w:lang w:val="fr-CH"/>
        </w:rPr>
        <w:t>ATP</w:t>
      </w:r>
    </w:p>
    <w:p w14:paraId="4568810A" w14:textId="2894873D" w:rsidR="009F2838" w:rsidRPr="009F2838" w:rsidRDefault="009F2838" w:rsidP="009F2838">
      <w:pPr>
        <w:pStyle w:val="HChG"/>
        <w:rPr>
          <w:lang w:val="fr-CH"/>
        </w:rPr>
      </w:pPr>
      <w:r w:rsidRPr="009F2838">
        <w:rPr>
          <w:lang w:val="fr-CH"/>
        </w:rPr>
        <w:tab/>
      </w:r>
      <w:r w:rsidRPr="009F2838">
        <w:rPr>
          <w:lang w:val="fr-CH"/>
        </w:rPr>
        <w:tab/>
        <w:t>Portée de l</w:t>
      </w:r>
      <w:r w:rsidRPr="009F2838">
        <w:rPr>
          <w:lang w:val="fr-CH"/>
        </w:rPr>
        <w:t>’</w:t>
      </w:r>
      <w:r w:rsidRPr="009F2838">
        <w:rPr>
          <w:lang w:val="fr-CH"/>
        </w:rPr>
        <w:t xml:space="preserve">Accord relatif aux transports internationaux </w:t>
      </w:r>
      <w:r w:rsidRPr="009F2838">
        <w:rPr>
          <w:lang w:val="fr-CH"/>
        </w:rPr>
        <w:br/>
      </w:r>
      <w:r w:rsidRPr="009F2838">
        <w:rPr>
          <w:lang w:val="fr-CH"/>
        </w:rPr>
        <w:t xml:space="preserve">de denrées périssables et aux engins spéciaux à utiliser </w:t>
      </w:r>
      <w:r w:rsidRPr="009F2838">
        <w:rPr>
          <w:lang w:val="fr-CH"/>
        </w:rPr>
        <w:br/>
      </w:r>
      <w:r w:rsidRPr="009F2838">
        <w:rPr>
          <w:lang w:val="fr-CH"/>
        </w:rPr>
        <w:t>pour ces transports (ATP)</w:t>
      </w:r>
    </w:p>
    <w:p w14:paraId="404B885E" w14:textId="552B4622" w:rsidR="00F9573C" w:rsidRPr="009F2838" w:rsidRDefault="009F2838" w:rsidP="009F2838">
      <w:pPr>
        <w:pStyle w:val="H1G"/>
        <w:rPr>
          <w:lang w:val="fr-CH"/>
        </w:rPr>
      </w:pPr>
      <w:r w:rsidRPr="009F2838">
        <w:rPr>
          <w:lang w:val="fr-CH"/>
        </w:rPr>
        <w:tab/>
      </w:r>
      <w:r w:rsidRPr="009F2838">
        <w:rPr>
          <w:lang w:val="fr-CH"/>
        </w:rPr>
        <w:tab/>
        <w:t xml:space="preserve">Communication de </w:t>
      </w:r>
      <w:proofErr w:type="spellStart"/>
      <w:r w:rsidRPr="009F2838">
        <w:rPr>
          <w:lang w:val="fr-CH"/>
        </w:rPr>
        <w:t>Transfrigoroute</w:t>
      </w:r>
      <w:proofErr w:type="spellEnd"/>
      <w:r w:rsidRPr="009F2838">
        <w:rPr>
          <w:lang w:val="fr-CH"/>
        </w:rPr>
        <w:t xml:space="preserve"> International</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9F2838" w:rsidRPr="009F2838" w14:paraId="7CE4F482" w14:textId="77777777">
        <w:trPr>
          <w:jc w:val="center"/>
        </w:trPr>
        <w:tc>
          <w:tcPr>
            <w:tcW w:w="9637" w:type="dxa"/>
            <w:shd w:val="clear" w:color="auto" w:fill="auto"/>
          </w:tcPr>
          <w:p w14:paraId="22DC6A41" w14:textId="77777777" w:rsidR="009F2838" w:rsidRPr="009F2838" w:rsidRDefault="009F2838">
            <w:pPr>
              <w:spacing w:before="240" w:after="120"/>
              <w:ind w:left="255"/>
              <w:rPr>
                <w:i/>
                <w:sz w:val="24"/>
                <w:lang w:val="fr-CH"/>
              </w:rPr>
            </w:pPr>
            <w:r w:rsidRPr="009F2838">
              <w:rPr>
                <w:i/>
                <w:sz w:val="24"/>
                <w:lang w:val="fr-CH"/>
              </w:rPr>
              <w:t>Résumé</w:t>
            </w:r>
          </w:p>
        </w:tc>
      </w:tr>
      <w:tr w:rsidR="009F2838" w:rsidRPr="009F2838" w14:paraId="6D7240ED" w14:textId="77777777">
        <w:trPr>
          <w:jc w:val="center"/>
        </w:trPr>
        <w:tc>
          <w:tcPr>
            <w:tcW w:w="9637" w:type="dxa"/>
            <w:shd w:val="clear" w:color="auto" w:fill="auto"/>
          </w:tcPr>
          <w:p w14:paraId="76852891" w14:textId="2B4BDFD6" w:rsidR="009F2838" w:rsidRPr="009F2838" w:rsidRDefault="009F2838" w:rsidP="009F2838">
            <w:pPr>
              <w:pStyle w:val="SingleTxtG"/>
              <w:ind w:left="3402" w:hanging="2268"/>
              <w:rPr>
                <w:lang w:val="fr-CH"/>
              </w:rPr>
            </w:pPr>
            <w:r w:rsidRPr="009F2838">
              <w:rPr>
                <w:b/>
                <w:bCs/>
                <w:lang w:val="fr-CH"/>
              </w:rPr>
              <w:t>Résumé analytique :</w:t>
            </w:r>
            <w:r w:rsidRPr="009F2838">
              <w:rPr>
                <w:b/>
                <w:bCs/>
                <w:lang w:val="fr-CH"/>
              </w:rPr>
              <w:tab/>
            </w:r>
            <w:r w:rsidRPr="009F2838">
              <w:rPr>
                <w:lang w:val="fr-CH"/>
              </w:rPr>
              <w:t>Au cours des dernières sessions du Groupe de travail du transport des denrées périssables (WP11), plusieurs débats ont eu lieu sur la définition des concepts d’indépendance, d’autonomie, d’engin ou de durée de fonctionnement minimale, mais aucun consensus n’a pu être dégagé en raison de divergences de vues et d’interprétation concernant la portée de l’Accord relatif aux transports internationaux de denrées périssables et aux engins spéciaux à utiliser pour ces transports (ATP). Le présent document a pour objet de présenter plusieurs éléments essentiels dont il faut convenir pour faire évoluer l’ATP de manière à suivre les progrès de la technologie.</w:t>
            </w:r>
          </w:p>
        </w:tc>
      </w:tr>
      <w:tr w:rsidR="009F2838" w:rsidRPr="009F2838" w14:paraId="609DC30C" w14:textId="77777777">
        <w:trPr>
          <w:jc w:val="center"/>
        </w:trPr>
        <w:tc>
          <w:tcPr>
            <w:tcW w:w="9637" w:type="dxa"/>
            <w:shd w:val="clear" w:color="auto" w:fill="auto"/>
          </w:tcPr>
          <w:p w14:paraId="088E92AE" w14:textId="14C7271A" w:rsidR="009F2838" w:rsidRPr="009F2838" w:rsidRDefault="009F2838" w:rsidP="009F2838">
            <w:pPr>
              <w:pStyle w:val="SingleTxtG"/>
              <w:ind w:left="3402" w:hanging="2268"/>
              <w:rPr>
                <w:b/>
                <w:bCs/>
                <w:lang w:val="fr-CH"/>
              </w:rPr>
            </w:pPr>
            <w:r w:rsidRPr="009F2838">
              <w:rPr>
                <w:b/>
                <w:bCs/>
                <w:lang w:val="fr-CH"/>
              </w:rPr>
              <w:t>Mesures à prendre :</w:t>
            </w:r>
            <w:r w:rsidRPr="009F2838">
              <w:rPr>
                <w:lang w:val="fr-CH"/>
              </w:rPr>
              <w:tab/>
              <w:t>Examen</w:t>
            </w:r>
          </w:p>
        </w:tc>
      </w:tr>
      <w:tr w:rsidR="009F2838" w:rsidRPr="009F2838" w14:paraId="24FBD31F" w14:textId="77777777">
        <w:trPr>
          <w:jc w:val="center"/>
        </w:trPr>
        <w:tc>
          <w:tcPr>
            <w:tcW w:w="9637" w:type="dxa"/>
            <w:shd w:val="clear" w:color="auto" w:fill="auto"/>
          </w:tcPr>
          <w:p w14:paraId="51939ED9" w14:textId="77777777" w:rsidR="009F2838" w:rsidRPr="009F2838" w:rsidRDefault="009F2838" w:rsidP="009F2838">
            <w:pPr>
              <w:pStyle w:val="SingleTxtG"/>
              <w:ind w:left="3402" w:hanging="2268"/>
              <w:rPr>
                <w:spacing w:val="-3"/>
                <w:lang w:val="fr-CH"/>
              </w:rPr>
            </w:pPr>
            <w:r w:rsidRPr="009F2838">
              <w:rPr>
                <w:b/>
                <w:bCs/>
                <w:lang w:val="fr-CH"/>
              </w:rPr>
              <w:t>Documents connexes :</w:t>
            </w:r>
            <w:r w:rsidRPr="009F2838">
              <w:rPr>
                <w:lang w:val="fr-CH"/>
              </w:rPr>
              <w:tab/>
            </w:r>
            <w:r w:rsidRPr="009F2838">
              <w:rPr>
                <w:spacing w:val="-3"/>
                <w:lang w:val="fr-CH"/>
              </w:rPr>
              <w:t>Rapport du WP.11 sur sa soixante-dix-neuvième session (ECE/TRANS/WP.11/249)</w:t>
            </w:r>
          </w:p>
          <w:p w14:paraId="1699CA8A" w14:textId="2741CDAA" w:rsidR="009F2838" w:rsidRPr="009F2838" w:rsidRDefault="009F2838" w:rsidP="009F2838">
            <w:pPr>
              <w:pStyle w:val="SingleTxtG"/>
              <w:ind w:left="3402"/>
              <w:rPr>
                <w:b/>
                <w:bCs/>
                <w:lang w:val="fr-CH"/>
              </w:rPr>
            </w:pPr>
            <w:r w:rsidRPr="009F2838">
              <w:rPr>
                <w:lang w:val="fr-CH"/>
              </w:rPr>
              <w:t>Document informel INF.5 de la soixante-dix-neuvième session</w:t>
            </w:r>
          </w:p>
        </w:tc>
      </w:tr>
      <w:tr w:rsidR="009F2838" w:rsidRPr="009F2838" w14:paraId="37A64B53" w14:textId="77777777">
        <w:trPr>
          <w:jc w:val="center"/>
        </w:trPr>
        <w:tc>
          <w:tcPr>
            <w:tcW w:w="9637" w:type="dxa"/>
            <w:shd w:val="clear" w:color="auto" w:fill="auto"/>
          </w:tcPr>
          <w:p w14:paraId="5331C6D9" w14:textId="77777777" w:rsidR="009F2838" w:rsidRPr="009F2838" w:rsidRDefault="009F2838">
            <w:pPr>
              <w:rPr>
                <w:lang w:val="fr-CH"/>
              </w:rPr>
            </w:pPr>
          </w:p>
        </w:tc>
      </w:tr>
    </w:tbl>
    <w:p w14:paraId="7F5C716F" w14:textId="77777777" w:rsidR="009F2838" w:rsidRPr="009F2838" w:rsidRDefault="009F2838" w:rsidP="009F2838">
      <w:pPr>
        <w:pStyle w:val="HChG"/>
        <w:rPr>
          <w:rStyle w:val="HChGChar"/>
          <w:b/>
          <w:lang w:val="fr-CH"/>
        </w:rPr>
      </w:pPr>
      <w:r w:rsidRPr="009F2838">
        <w:rPr>
          <w:lang w:val="fr-CH"/>
        </w:rPr>
        <w:tab/>
      </w:r>
      <w:r w:rsidRPr="009F2838">
        <w:rPr>
          <w:lang w:val="fr-CH"/>
        </w:rPr>
        <w:tab/>
      </w:r>
      <w:r w:rsidRPr="009F2838">
        <w:rPr>
          <w:bCs/>
          <w:lang w:val="fr-CH"/>
        </w:rPr>
        <w:t>Introduction</w:t>
      </w:r>
    </w:p>
    <w:p w14:paraId="1878BC58" w14:textId="6CC4F0F0" w:rsidR="009F2838" w:rsidRPr="009F2838" w:rsidRDefault="009F2838" w:rsidP="009F2838">
      <w:pPr>
        <w:pStyle w:val="SingleTxtG"/>
        <w:rPr>
          <w:lang w:val="fr-CH"/>
        </w:rPr>
      </w:pPr>
      <w:r w:rsidRPr="009F2838">
        <w:rPr>
          <w:lang w:val="fr-CH"/>
        </w:rPr>
        <w:t>1.</w:t>
      </w:r>
      <w:r w:rsidRPr="009F2838">
        <w:rPr>
          <w:lang w:val="fr-CH"/>
        </w:rPr>
        <w:tab/>
        <w:t>Plusieurs sujets tels que la définition des termes « indépendance », « autonomie », « engin » ou « durée de fonctionnement minimale » ont fait l</w:t>
      </w:r>
      <w:r w:rsidRPr="009F2838">
        <w:rPr>
          <w:lang w:val="fr-CH"/>
        </w:rPr>
        <w:t>’</w:t>
      </w:r>
      <w:r w:rsidRPr="009F2838">
        <w:rPr>
          <w:lang w:val="fr-CH"/>
        </w:rPr>
        <w:t>objet de vifs débats dans divers cadres (</w:t>
      </w:r>
      <w:proofErr w:type="spellStart"/>
      <w:r w:rsidRPr="009F2838">
        <w:rPr>
          <w:lang w:val="fr-CH"/>
        </w:rPr>
        <w:t>Transfrigoroute</w:t>
      </w:r>
      <w:proofErr w:type="spellEnd"/>
      <w:r w:rsidRPr="009F2838">
        <w:rPr>
          <w:lang w:val="fr-CH"/>
        </w:rPr>
        <w:t xml:space="preserve"> International, la sous-commission CERTE de l</w:t>
      </w:r>
      <w:r w:rsidRPr="009F2838">
        <w:rPr>
          <w:lang w:val="fr-CH"/>
        </w:rPr>
        <w:t>’</w:t>
      </w:r>
      <w:r w:rsidRPr="009F2838">
        <w:rPr>
          <w:lang w:val="fr-CH"/>
        </w:rPr>
        <w:t>Institut international du froid (IIF) et un groupe de travail informel du WP.11), mais ils restent problématiques en raison de divergences de vues quant à l</w:t>
      </w:r>
      <w:r w:rsidRPr="009F2838">
        <w:rPr>
          <w:lang w:val="fr-CH"/>
        </w:rPr>
        <w:t>’</w:t>
      </w:r>
      <w:r w:rsidRPr="009F2838">
        <w:rPr>
          <w:lang w:val="fr-CH"/>
        </w:rPr>
        <w:t>interprétation de la portée de l</w:t>
      </w:r>
      <w:r w:rsidRPr="009F2838">
        <w:rPr>
          <w:lang w:val="fr-CH"/>
        </w:rPr>
        <w:t>’</w:t>
      </w:r>
      <w:r w:rsidRPr="009F2838">
        <w:rPr>
          <w:lang w:val="fr-CH"/>
        </w:rPr>
        <w:t>ATP.</w:t>
      </w:r>
    </w:p>
    <w:p w14:paraId="6ADE29BF" w14:textId="52EA790E" w:rsidR="009F2838" w:rsidRPr="009F2838" w:rsidRDefault="009F2838" w:rsidP="009F2838">
      <w:pPr>
        <w:pStyle w:val="SingleTxtG"/>
        <w:rPr>
          <w:lang w:val="fr-CH"/>
        </w:rPr>
      </w:pPr>
      <w:r w:rsidRPr="009F2838">
        <w:rPr>
          <w:lang w:val="fr-CH"/>
        </w:rPr>
        <w:lastRenderedPageBreak/>
        <w:t>2.</w:t>
      </w:r>
      <w:r w:rsidRPr="009F2838">
        <w:rPr>
          <w:lang w:val="fr-CH"/>
        </w:rPr>
        <w:tab/>
        <w:t>À cause de ce manque d</w:t>
      </w:r>
      <w:r w:rsidRPr="009F2838">
        <w:rPr>
          <w:lang w:val="fr-CH"/>
        </w:rPr>
        <w:t>’</w:t>
      </w:r>
      <w:r w:rsidRPr="009F2838">
        <w:rPr>
          <w:lang w:val="fr-CH"/>
        </w:rPr>
        <w:t>harmonisation concernant les définitions ou la portée de l</w:t>
      </w:r>
      <w:r w:rsidRPr="009F2838">
        <w:rPr>
          <w:lang w:val="fr-CH"/>
        </w:rPr>
        <w:t>’</w:t>
      </w:r>
      <w:r w:rsidRPr="009F2838">
        <w:rPr>
          <w:lang w:val="fr-CH"/>
        </w:rPr>
        <w:t>ATP, plusieurs propositions importantes visant à maintenir l</w:t>
      </w:r>
      <w:r w:rsidRPr="009F2838">
        <w:rPr>
          <w:lang w:val="fr-CH"/>
        </w:rPr>
        <w:t>’</w:t>
      </w:r>
      <w:r w:rsidRPr="009F2838">
        <w:rPr>
          <w:lang w:val="fr-CH"/>
        </w:rPr>
        <w:t>applicabilité de l</w:t>
      </w:r>
      <w:r w:rsidRPr="009F2838">
        <w:rPr>
          <w:lang w:val="fr-CH"/>
        </w:rPr>
        <w:t>’</w:t>
      </w:r>
      <w:r w:rsidRPr="009F2838">
        <w:rPr>
          <w:lang w:val="fr-CH"/>
        </w:rPr>
        <w:t>ATP dans le cadre des nouvelles technologies (électrification des transports, nouveaux fluides frigorigènes) sont bloquées.</w:t>
      </w:r>
    </w:p>
    <w:p w14:paraId="67F483EA" w14:textId="37576527" w:rsidR="009F2838" w:rsidRPr="009F2838" w:rsidRDefault="009F2838" w:rsidP="009F2838">
      <w:pPr>
        <w:pStyle w:val="SingleTxtG"/>
        <w:rPr>
          <w:lang w:val="fr-CH"/>
        </w:rPr>
      </w:pPr>
      <w:r w:rsidRPr="009F2838">
        <w:rPr>
          <w:lang w:val="fr-CH"/>
        </w:rPr>
        <w:t>3.</w:t>
      </w:r>
      <w:r w:rsidRPr="009F2838">
        <w:rPr>
          <w:lang w:val="fr-CH"/>
        </w:rPr>
        <w:tab/>
        <w:t>Pour élucider cette question, une réunion en présentiel à laquelle ont participé 10</w:t>
      </w:r>
      <w:r w:rsidRPr="009F2838">
        <w:rPr>
          <w:lang w:val="fr-CH"/>
        </w:rPr>
        <w:t> </w:t>
      </w:r>
      <w:r w:rsidRPr="009F2838">
        <w:rPr>
          <w:lang w:val="fr-CH"/>
        </w:rPr>
        <w:t xml:space="preserve">experts de différentes organisations (TI-CCT, TÜV </w:t>
      </w:r>
      <w:proofErr w:type="spellStart"/>
      <w:r w:rsidRPr="009F2838">
        <w:rPr>
          <w:lang w:val="fr-CH"/>
        </w:rPr>
        <w:t>Süd</w:t>
      </w:r>
      <w:proofErr w:type="spellEnd"/>
      <w:r w:rsidRPr="009F2838">
        <w:rPr>
          <w:lang w:val="fr-CH"/>
        </w:rPr>
        <w:t xml:space="preserve">, CRT et </w:t>
      </w:r>
      <w:proofErr w:type="spellStart"/>
      <w:r w:rsidRPr="009F2838">
        <w:rPr>
          <w:lang w:val="fr-CH"/>
        </w:rPr>
        <w:t>Cemafroid</w:t>
      </w:r>
      <w:proofErr w:type="spellEnd"/>
      <w:r w:rsidRPr="009F2838">
        <w:rPr>
          <w:lang w:val="fr-CH"/>
        </w:rPr>
        <w:t xml:space="preserve"> (autorité compétente ATP)) s</w:t>
      </w:r>
      <w:r w:rsidRPr="009F2838">
        <w:rPr>
          <w:lang w:val="fr-CH"/>
        </w:rPr>
        <w:t>’</w:t>
      </w:r>
      <w:r w:rsidRPr="009F2838">
        <w:rPr>
          <w:lang w:val="fr-CH"/>
        </w:rPr>
        <w:t>est tenue à Bruxelles le 7</w:t>
      </w:r>
      <w:r w:rsidRPr="009F2838">
        <w:rPr>
          <w:lang w:val="fr-CH"/>
        </w:rPr>
        <w:t> </w:t>
      </w:r>
      <w:r w:rsidRPr="009F2838">
        <w:rPr>
          <w:lang w:val="fr-CH"/>
        </w:rPr>
        <w:t>septembre 2022. Certaines des principales conclusions de cette réunion figurent ci-après.</w:t>
      </w:r>
    </w:p>
    <w:p w14:paraId="2A7587D8" w14:textId="21A20379" w:rsidR="009F2838" w:rsidRPr="009F2838" w:rsidRDefault="009F2838" w:rsidP="009F2838">
      <w:pPr>
        <w:pStyle w:val="HChG"/>
        <w:rPr>
          <w:lang w:val="fr-CH"/>
        </w:rPr>
      </w:pPr>
      <w:r w:rsidRPr="009F2838">
        <w:rPr>
          <w:lang w:val="fr-CH"/>
        </w:rPr>
        <w:tab/>
      </w:r>
      <w:r w:rsidRPr="009F2838">
        <w:rPr>
          <w:lang w:val="fr-CH"/>
        </w:rPr>
        <w:tab/>
      </w:r>
      <w:r w:rsidRPr="009F2838">
        <w:rPr>
          <w:bCs/>
          <w:lang w:val="fr-CH"/>
        </w:rPr>
        <w:t>Porté de l</w:t>
      </w:r>
      <w:r w:rsidRPr="009F2838">
        <w:rPr>
          <w:bCs/>
          <w:lang w:val="fr-CH"/>
        </w:rPr>
        <w:t>’</w:t>
      </w:r>
      <w:r w:rsidRPr="009F2838">
        <w:rPr>
          <w:bCs/>
          <w:lang w:val="fr-CH"/>
        </w:rPr>
        <w:t xml:space="preserve">ATP </w:t>
      </w:r>
      <w:r w:rsidR="009D0A00">
        <w:rPr>
          <w:bCs/>
          <w:lang w:val="fr-CH"/>
        </w:rPr>
        <w:t>−</w:t>
      </w:r>
      <w:r w:rsidRPr="009F2838">
        <w:rPr>
          <w:bCs/>
          <w:lang w:val="fr-CH"/>
        </w:rPr>
        <w:t xml:space="preserve"> Points essentiels</w:t>
      </w:r>
    </w:p>
    <w:p w14:paraId="79E92928" w14:textId="77777777" w:rsidR="009F2838" w:rsidRPr="009F2838" w:rsidRDefault="009F2838" w:rsidP="009F2838">
      <w:pPr>
        <w:pStyle w:val="H23G"/>
        <w:rPr>
          <w:lang w:val="fr-CH"/>
        </w:rPr>
      </w:pPr>
      <w:r w:rsidRPr="009F2838">
        <w:rPr>
          <w:lang w:val="fr-CH"/>
        </w:rPr>
        <w:tab/>
      </w:r>
      <w:r w:rsidRPr="009F2838">
        <w:rPr>
          <w:lang w:val="fr-CH"/>
        </w:rPr>
        <w:tab/>
      </w:r>
      <w:r w:rsidRPr="009F2838">
        <w:rPr>
          <w:bCs/>
          <w:lang w:val="fr-CH"/>
        </w:rPr>
        <w:t>Prescription relative à la durée de fonctionnement minimale</w:t>
      </w:r>
    </w:p>
    <w:p w14:paraId="00DCCC83" w14:textId="12787DE0" w:rsidR="009F2838" w:rsidRPr="009F2838" w:rsidRDefault="009F2838" w:rsidP="009F2838">
      <w:pPr>
        <w:pStyle w:val="SingleTxtG"/>
        <w:rPr>
          <w:lang w:val="fr-CH"/>
        </w:rPr>
      </w:pPr>
      <w:r w:rsidRPr="009F2838">
        <w:rPr>
          <w:lang w:val="fr-CH"/>
        </w:rPr>
        <w:t>4.</w:t>
      </w:r>
      <w:r w:rsidRPr="009F2838">
        <w:rPr>
          <w:lang w:val="fr-CH"/>
        </w:rPr>
        <w:tab/>
        <w:t>Une première question claire est de savoir s</w:t>
      </w:r>
      <w:r w:rsidRPr="009F2838">
        <w:rPr>
          <w:lang w:val="fr-CH"/>
        </w:rPr>
        <w:t>’</w:t>
      </w:r>
      <w:r w:rsidRPr="009F2838">
        <w:rPr>
          <w:lang w:val="fr-CH"/>
        </w:rPr>
        <w:t>il faut inclure dans l</w:t>
      </w:r>
      <w:r w:rsidRPr="009F2838">
        <w:rPr>
          <w:lang w:val="fr-CH"/>
        </w:rPr>
        <w:t>’</w:t>
      </w:r>
      <w:r w:rsidRPr="009F2838">
        <w:rPr>
          <w:lang w:val="fr-CH"/>
        </w:rPr>
        <w:t>ATP une prescription relative à la durée de fonctionnement minimale. La plupart des participants ont estimé qu</w:t>
      </w:r>
      <w:r w:rsidRPr="009F2838">
        <w:rPr>
          <w:lang w:val="fr-CH"/>
        </w:rPr>
        <w:t>’</w:t>
      </w:r>
      <w:r w:rsidRPr="009F2838">
        <w:rPr>
          <w:lang w:val="fr-CH"/>
        </w:rPr>
        <w:t>une telle prescription n</w:t>
      </w:r>
      <w:r w:rsidRPr="009F2838">
        <w:rPr>
          <w:lang w:val="fr-CH"/>
        </w:rPr>
        <w:t>’</w:t>
      </w:r>
      <w:r w:rsidRPr="009F2838">
        <w:rPr>
          <w:lang w:val="fr-CH"/>
        </w:rPr>
        <w:t>avait pas sa place dans l</w:t>
      </w:r>
      <w:r w:rsidRPr="009F2838">
        <w:rPr>
          <w:lang w:val="fr-CH"/>
        </w:rPr>
        <w:t>’</w:t>
      </w:r>
      <w:r w:rsidRPr="009F2838">
        <w:rPr>
          <w:lang w:val="fr-CH"/>
        </w:rPr>
        <w:t>ATP.</w:t>
      </w:r>
    </w:p>
    <w:p w14:paraId="319E5D23" w14:textId="010796F7" w:rsidR="009F2838" w:rsidRPr="009F2838" w:rsidRDefault="009F2838" w:rsidP="009F2838">
      <w:pPr>
        <w:pStyle w:val="SingleTxtG"/>
        <w:rPr>
          <w:lang w:val="fr-CH"/>
        </w:rPr>
      </w:pPr>
      <w:r w:rsidRPr="009F2838">
        <w:rPr>
          <w:lang w:val="fr-CH"/>
        </w:rPr>
        <w:t>5.</w:t>
      </w:r>
      <w:r w:rsidRPr="009F2838">
        <w:rPr>
          <w:lang w:val="fr-CH"/>
        </w:rPr>
        <w:tab/>
        <w:t>Pour la majorité des experts, il n</w:t>
      </w:r>
      <w:r w:rsidRPr="009F2838">
        <w:rPr>
          <w:lang w:val="fr-CH"/>
        </w:rPr>
        <w:t>’</w:t>
      </w:r>
      <w:r w:rsidRPr="009F2838">
        <w:rPr>
          <w:lang w:val="fr-CH"/>
        </w:rPr>
        <w:t>est pas nécessaire d</w:t>
      </w:r>
      <w:r w:rsidRPr="009F2838">
        <w:rPr>
          <w:lang w:val="fr-CH"/>
        </w:rPr>
        <w:t>’</w:t>
      </w:r>
      <w:r w:rsidRPr="009F2838">
        <w:rPr>
          <w:lang w:val="fr-CH"/>
        </w:rPr>
        <w:t>imposer une durée minimale dans l</w:t>
      </w:r>
      <w:r w:rsidRPr="009F2838">
        <w:rPr>
          <w:lang w:val="fr-CH"/>
        </w:rPr>
        <w:t>’</w:t>
      </w:r>
      <w:r w:rsidRPr="009F2838">
        <w:rPr>
          <w:lang w:val="fr-CH"/>
        </w:rPr>
        <w:t>ATP pour les raisons suivantes :</w:t>
      </w:r>
    </w:p>
    <w:p w14:paraId="2367CD40" w14:textId="03E66CFF" w:rsidR="009F2838" w:rsidRPr="009F2838" w:rsidRDefault="009F2838" w:rsidP="009F2838">
      <w:pPr>
        <w:pStyle w:val="SingleTxtG"/>
        <w:ind w:firstLine="567"/>
        <w:rPr>
          <w:lang w:val="fr-CH"/>
        </w:rPr>
      </w:pPr>
      <w:r w:rsidRPr="009F2838">
        <w:rPr>
          <w:lang w:val="fr-CH"/>
        </w:rPr>
        <w:t>a)</w:t>
      </w:r>
      <w:r w:rsidRPr="009F2838">
        <w:rPr>
          <w:lang w:val="fr-CH"/>
        </w:rPr>
        <w:tab/>
        <w:t>Ce n</w:t>
      </w:r>
      <w:r w:rsidRPr="009F2838">
        <w:rPr>
          <w:lang w:val="fr-CH"/>
        </w:rPr>
        <w:t>’</w:t>
      </w:r>
      <w:r w:rsidRPr="009F2838">
        <w:rPr>
          <w:lang w:val="fr-CH"/>
        </w:rPr>
        <w:t>est pas le cas actuellement (aucune prescription concernant la taille minimale des réservoirs de carburant ne figure dans l</w:t>
      </w:r>
      <w:r w:rsidRPr="009F2838">
        <w:rPr>
          <w:lang w:val="fr-CH"/>
        </w:rPr>
        <w:t>’</w:t>
      </w:r>
      <w:r w:rsidRPr="009F2838">
        <w:rPr>
          <w:lang w:val="fr-CH"/>
        </w:rPr>
        <w:t>ATP) ;</w:t>
      </w:r>
    </w:p>
    <w:p w14:paraId="6039E4CE" w14:textId="6DFD8589" w:rsidR="009F2838" w:rsidRPr="009F2838" w:rsidRDefault="009F2838" w:rsidP="009F2838">
      <w:pPr>
        <w:pStyle w:val="SingleTxtG"/>
        <w:ind w:firstLine="567"/>
        <w:rPr>
          <w:lang w:val="fr-CH"/>
        </w:rPr>
      </w:pPr>
      <w:r w:rsidRPr="009F2838">
        <w:rPr>
          <w:lang w:val="fr-CH"/>
        </w:rPr>
        <w:t>b)</w:t>
      </w:r>
      <w:r w:rsidRPr="009F2838">
        <w:rPr>
          <w:lang w:val="fr-CH"/>
        </w:rPr>
        <w:tab/>
        <w:t>Cette notion est visée par l</w:t>
      </w:r>
      <w:r w:rsidRPr="009F2838">
        <w:rPr>
          <w:lang w:val="fr-CH"/>
        </w:rPr>
        <w:t>’</w:t>
      </w:r>
      <w:r w:rsidRPr="009F2838">
        <w:rPr>
          <w:lang w:val="fr-CH"/>
        </w:rPr>
        <w:t xml:space="preserve">article 4 </w:t>
      </w:r>
      <w:r w:rsidRPr="009F2838">
        <w:rPr>
          <w:lang w:val="fr-CH"/>
        </w:rPr>
        <w:t>−</w:t>
      </w:r>
      <w:r w:rsidRPr="009F2838">
        <w:rPr>
          <w:lang w:val="fr-CH"/>
        </w:rPr>
        <w:t xml:space="preserve"> « Le choix et l</w:t>
      </w:r>
      <w:r w:rsidRPr="009F2838">
        <w:rPr>
          <w:lang w:val="fr-CH"/>
        </w:rPr>
        <w:t>’</w:t>
      </w:r>
      <w:r w:rsidRPr="009F2838">
        <w:rPr>
          <w:lang w:val="fr-CH"/>
        </w:rPr>
        <w:t>utilisation de cet équipement devront être tels qu</w:t>
      </w:r>
      <w:r w:rsidRPr="009F2838">
        <w:rPr>
          <w:lang w:val="fr-CH"/>
        </w:rPr>
        <w:t>’</w:t>
      </w:r>
      <w:r w:rsidRPr="009F2838">
        <w:rPr>
          <w:lang w:val="fr-CH"/>
        </w:rPr>
        <w:t xml:space="preserve">il soit possible de respecter les conditions de température fixées dans ces annexes pendant toute la durée du transport. En outre, toutes dispositions utiles doivent être prises en ce qui concerne, notamment, la température des denrées au moment du chargement et les opérations de glaçage, de </w:t>
      </w:r>
      <w:proofErr w:type="spellStart"/>
      <w:r w:rsidRPr="009F2838">
        <w:rPr>
          <w:lang w:val="fr-CH"/>
        </w:rPr>
        <w:t>reglaçage</w:t>
      </w:r>
      <w:proofErr w:type="spellEnd"/>
      <w:r w:rsidRPr="009F2838">
        <w:rPr>
          <w:lang w:val="fr-CH"/>
        </w:rPr>
        <w:t xml:space="preserve"> en cours de route ou autres opérations nécessaires » ;</w:t>
      </w:r>
    </w:p>
    <w:p w14:paraId="280B9F26" w14:textId="19FE1CE9" w:rsidR="009F2838" w:rsidRPr="009F2838" w:rsidRDefault="009F2838" w:rsidP="009F2838">
      <w:pPr>
        <w:pStyle w:val="SingleTxtG"/>
        <w:ind w:firstLine="567"/>
        <w:rPr>
          <w:lang w:val="fr-CH"/>
        </w:rPr>
      </w:pPr>
      <w:r w:rsidRPr="009F2838">
        <w:rPr>
          <w:lang w:val="fr-CH"/>
        </w:rPr>
        <w:t>c)</w:t>
      </w:r>
      <w:r w:rsidRPr="009F2838">
        <w:rPr>
          <w:lang w:val="fr-CH"/>
        </w:rPr>
        <w:tab/>
        <w:t>La transformation du groupe motopropulseur (véhicule et dispositif thermique) entraînera des aménagements dans la logistique et le schéma logistique s</w:t>
      </w:r>
      <w:r w:rsidRPr="009F2838">
        <w:rPr>
          <w:lang w:val="fr-CH"/>
        </w:rPr>
        <w:t>’</w:t>
      </w:r>
      <w:r w:rsidRPr="009F2838">
        <w:rPr>
          <w:lang w:val="fr-CH"/>
        </w:rPr>
        <w:t>adaptera aux nouvelles contraintes techniques (et non l</w:t>
      </w:r>
      <w:r w:rsidRPr="009F2838">
        <w:rPr>
          <w:lang w:val="fr-CH"/>
        </w:rPr>
        <w:t>’</w:t>
      </w:r>
      <w:r w:rsidRPr="009F2838">
        <w:rPr>
          <w:lang w:val="fr-CH"/>
        </w:rPr>
        <w:t>inverse).</w:t>
      </w:r>
    </w:p>
    <w:p w14:paraId="60E52A9A" w14:textId="77777777" w:rsidR="009F2838" w:rsidRPr="009F2838" w:rsidRDefault="009F2838" w:rsidP="009F2838">
      <w:pPr>
        <w:pStyle w:val="SingleTxtG"/>
        <w:rPr>
          <w:lang w:val="fr-CH"/>
        </w:rPr>
      </w:pPr>
      <w:r w:rsidRPr="009F2838">
        <w:rPr>
          <w:lang w:val="fr-CH"/>
        </w:rPr>
        <w:t>6.</w:t>
      </w:r>
      <w:r w:rsidRPr="009F2838">
        <w:rPr>
          <w:lang w:val="fr-CH"/>
        </w:rPr>
        <w:tab/>
        <w:t>De ce point de vue, certaines définitions (annexe 1) doivent être modifiées :</w:t>
      </w:r>
    </w:p>
    <w:p w14:paraId="52A03FD1" w14:textId="63939EA5" w:rsidR="009F2838" w:rsidRPr="009F2838" w:rsidRDefault="009F2838" w:rsidP="009F2838">
      <w:pPr>
        <w:pStyle w:val="Bullet1G"/>
        <w:numPr>
          <w:ilvl w:val="0"/>
          <w:numId w:val="18"/>
        </w:numPr>
        <w:kinsoku/>
        <w:overflowPunct/>
        <w:autoSpaceDE/>
        <w:autoSpaceDN/>
        <w:adjustRightInd/>
        <w:snapToGrid/>
        <w:rPr>
          <w:lang w:val="fr-CH"/>
        </w:rPr>
      </w:pPr>
      <w:r w:rsidRPr="009F2838">
        <w:rPr>
          <w:lang w:val="fr-CH"/>
        </w:rPr>
        <w:tab/>
        <w:t>Dans les définitions d</w:t>
      </w:r>
      <w:r w:rsidRPr="009F2838">
        <w:rPr>
          <w:lang w:val="fr-CH"/>
        </w:rPr>
        <w:t>’</w:t>
      </w:r>
      <w:r w:rsidRPr="009F2838">
        <w:rPr>
          <w:lang w:val="fr-CH"/>
        </w:rPr>
        <w:t>« engin réfrigérant » et d</w:t>
      </w:r>
      <w:r w:rsidRPr="009F2838">
        <w:rPr>
          <w:lang w:val="fr-CH"/>
        </w:rPr>
        <w:t>’</w:t>
      </w:r>
      <w:r w:rsidRPr="009F2838">
        <w:rPr>
          <w:lang w:val="fr-CH"/>
        </w:rPr>
        <w:t>« engin frigorifique », il n</w:t>
      </w:r>
      <w:r w:rsidRPr="009F2838">
        <w:rPr>
          <w:lang w:val="fr-CH"/>
        </w:rPr>
        <w:t>’</w:t>
      </w:r>
      <w:r w:rsidRPr="009F2838">
        <w:rPr>
          <w:lang w:val="fr-CH"/>
        </w:rPr>
        <w:t>est fait mention d</w:t>
      </w:r>
      <w:r w:rsidRPr="009F2838">
        <w:rPr>
          <w:lang w:val="fr-CH"/>
        </w:rPr>
        <w:t>’</w:t>
      </w:r>
      <w:r w:rsidRPr="009F2838">
        <w:rPr>
          <w:lang w:val="fr-CH"/>
        </w:rPr>
        <w:t>aucune prescription concernant la durée de fonctionnement minimale ;</w:t>
      </w:r>
    </w:p>
    <w:p w14:paraId="68BD2803" w14:textId="19E1D879" w:rsidR="009F2838" w:rsidRPr="009F2838" w:rsidRDefault="009F2838" w:rsidP="009F2838">
      <w:pPr>
        <w:pStyle w:val="Bullet1G"/>
        <w:numPr>
          <w:ilvl w:val="0"/>
          <w:numId w:val="18"/>
        </w:numPr>
        <w:kinsoku/>
        <w:overflowPunct/>
        <w:autoSpaceDE/>
        <w:autoSpaceDN/>
        <w:adjustRightInd/>
        <w:snapToGrid/>
        <w:rPr>
          <w:lang w:val="fr-CH"/>
        </w:rPr>
      </w:pPr>
      <w:r w:rsidRPr="009F2838">
        <w:rPr>
          <w:lang w:val="fr-CH"/>
        </w:rPr>
        <w:tab/>
        <w:t>En revanche, les définitions d</w:t>
      </w:r>
      <w:r w:rsidRPr="009F2838">
        <w:rPr>
          <w:lang w:val="fr-CH"/>
        </w:rPr>
        <w:t>’</w:t>
      </w:r>
      <w:r w:rsidRPr="009F2838">
        <w:rPr>
          <w:lang w:val="fr-CH"/>
        </w:rPr>
        <w:t>« engin calorifique » et d</w:t>
      </w:r>
      <w:r w:rsidRPr="009F2838">
        <w:rPr>
          <w:lang w:val="fr-CH"/>
        </w:rPr>
        <w:t>’</w:t>
      </w:r>
      <w:r w:rsidRPr="009F2838">
        <w:rPr>
          <w:lang w:val="fr-CH"/>
        </w:rPr>
        <w:t>« engin frigorifique et calorifique » contiennent une prescription relative à la durée de fonctionnement minimale (« 12 h au moins sans réapprovisionnement, à une valeur pratiquement constante »).</w:t>
      </w:r>
    </w:p>
    <w:p w14:paraId="3BB4FB4B" w14:textId="03AF8D7B" w:rsidR="009F2838" w:rsidRPr="009F2838" w:rsidRDefault="009F2838" w:rsidP="009F2838">
      <w:pPr>
        <w:pStyle w:val="SingleTxtG"/>
        <w:rPr>
          <w:lang w:val="fr-CH"/>
        </w:rPr>
      </w:pPr>
      <w:r w:rsidRPr="009F2838">
        <w:rPr>
          <w:lang w:val="fr-CH"/>
        </w:rPr>
        <w:t>7.</w:t>
      </w:r>
      <w:r w:rsidRPr="009F2838">
        <w:rPr>
          <w:lang w:val="fr-CH"/>
        </w:rPr>
        <w:tab/>
        <w:t>Il s</w:t>
      </w:r>
      <w:r w:rsidRPr="009F2838">
        <w:rPr>
          <w:lang w:val="fr-CH"/>
        </w:rPr>
        <w:t>’</w:t>
      </w:r>
      <w:r w:rsidRPr="009F2838">
        <w:rPr>
          <w:lang w:val="fr-CH"/>
        </w:rPr>
        <w:t>agit là d</w:t>
      </w:r>
      <w:r w:rsidRPr="009F2838">
        <w:rPr>
          <w:lang w:val="fr-CH"/>
        </w:rPr>
        <w:t>’</w:t>
      </w:r>
      <w:r w:rsidRPr="009F2838">
        <w:rPr>
          <w:lang w:val="fr-CH"/>
        </w:rPr>
        <w:t>une incohérence qui doit être corrigée car elle est source de confusion.</w:t>
      </w:r>
    </w:p>
    <w:p w14:paraId="29193DEB" w14:textId="49626E4A" w:rsidR="009F2838" w:rsidRPr="009F2838" w:rsidRDefault="009F2838" w:rsidP="009F2838">
      <w:pPr>
        <w:pStyle w:val="SingleTxtG"/>
        <w:rPr>
          <w:lang w:val="fr-CH"/>
        </w:rPr>
      </w:pPr>
      <w:r w:rsidRPr="009F2838">
        <w:rPr>
          <w:lang w:val="fr-CH"/>
        </w:rPr>
        <w:t>8.</w:t>
      </w:r>
      <w:r w:rsidRPr="009F2838">
        <w:rPr>
          <w:lang w:val="fr-CH"/>
        </w:rPr>
        <w:tab/>
        <w:t>Le texte de l</w:t>
      </w:r>
      <w:r w:rsidRPr="009F2838">
        <w:rPr>
          <w:lang w:val="fr-CH"/>
        </w:rPr>
        <w:t>’</w:t>
      </w:r>
      <w:r w:rsidRPr="009F2838">
        <w:rPr>
          <w:lang w:val="fr-CH"/>
        </w:rPr>
        <w:t>ATP devrait établir une distinction claire entre les prescriptions relatives aux essais et celles relatives au fonctionnement normal.</w:t>
      </w:r>
    </w:p>
    <w:p w14:paraId="486939C3" w14:textId="43E7CCE7" w:rsidR="009F2838" w:rsidRPr="009F2838" w:rsidRDefault="009F2838" w:rsidP="009F2838">
      <w:pPr>
        <w:pStyle w:val="SingleTxtG"/>
        <w:rPr>
          <w:lang w:val="fr-CH"/>
        </w:rPr>
      </w:pPr>
      <w:r w:rsidRPr="009F2838">
        <w:rPr>
          <w:lang w:val="fr-CH"/>
        </w:rPr>
        <w:t>9.</w:t>
      </w:r>
      <w:r w:rsidRPr="009F2838">
        <w:rPr>
          <w:lang w:val="fr-CH"/>
        </w:rPr>
        <w:tab/>
        <w:t>Par ailleurs, les participants ne se sont pas mis d</w:t>
      </w:r>
      <w:r w:rsidRPr="009F2838">
        <w:rPr>
          <w:lang w:val="fr-CH"/>
        </w:rPr>
        <w:t>’</w:t>
      </w:r>
      <w:r w:rsidRPr="009F2838">
        <w:rPr>
          <w:lang w:val="fr-CH"/>
        </w:rPr>
        <w:t>accord sur la nécessité d</w:t>
      </w:r>
      <w:r w:rsidRPr="009F2838">
        <w:rPr>
          <w:lang w:val="fr-CH"/>
        </w:rPr>
        <w:t>’</w:t>
      </w:r>
      <w:r w:rsidRPr="009F2838">
        <w:rPr>
          <w:lang w:val="fr-CH"/>
        </w:rPr>
        <w:t>inclure dans l</w:t>
      </w:r>
      <w:r w:rsidRPr="009F2838">
        <w:rPr>
          <w:lang w:val="fr-CH"/>
        </w:rPr>
        <w:t>’</w:t>
      </w:r>
      <w:r w:rsidRPr="009F2838">
        <w:rPr>
          <w:lang w:val="fr-CH"/>
        </w:rPr>
        <w:t>ATP une définition de l</w:t>
      </w:r>
      <w:r w:rsidRPr="009F2838">
        <w:rPr>
          <w:lang w:val="fr-CH"/>
        </w:rPr>
        <w:t>’</w:t>
      </w:r>
      <w:r w:rsidRPr="009F2838">
        <w:rPr>
          <w:lang w:val="fr-CH"/>
        </w:rPr>
        <w:t>autonomie (en tant que durée de fonctionnement).</w:t>
      </w:r>
    </w:p>
    <w:p w14:paraId="07D9BC12" w14:textId="77777777" w:rsidR="009F2838" w:rsidRPr="009F2838" w:rsidRDefault="009F2838" w:rsidP="009F2838">
      <w:pPr>
        <w:pStyle w:val="H23G"/>
        <w:rPr>
          <w:lang w:val="fr-CH"/>
        </w:rPr>
      </w:pPr>
      <w:r w:rsidRPr="009F2838">
        <w:rPr>
          <w:lang w:val="fr-CH"/>
        </w:rPr>
        <w:tab/>
      </w:r>
      <w:r w:rsidRPr="009F2838">
        <w:rPr>
          <w:lang w:val="fr-CH"/>
        </w:rPr>
        <w:tab/>
      </w:r>
      <w:r w:rsidRPr="009F2838">
        <w:rPr>
          <w:bCs/>
          <w:lang w:val="fr-CH"/>
        </w:rPr>
        <w:t>Définition du terme « engin »</w:t>
      </w:r>
    </w:p>
    <w:p w14:paraId="4710A3EE" w14:textId="77777777" w:rsidR="009F2838" w:rsidRPr="009F2838" w:rsidRDefault="009F2838" w:rsidP="009F2838">
      <w:pPr>
        <w:pStyle w:val="SingleTxtG"/>
        <w:rPr>
          <w:lang w:val="fr-CH"/>
        </w:rPr>
      </w:pPr>
      <w:r w:rsidRPr="009F2838">
        <w:rPr>
          <w:lang w:val="fr-CH"/>
        </w:rPr>
        <w:t>10.</w:t>
      </w:r>
      <w:r w:rsidRPr="009F2838">
        <w:rPr>
          <w:lang w:val="fr-CH"/>
        </w:rPr>
        <w:tab/>
        <w:t>Comme indiqué dans le rapport de la soixante-dix-neuvième session du WP.11 (VI.B.2), la définition du terme « engin » manque de clarté, ce qui pourrait prêter à confusion voire poser des problèmes sur le plan juridique. Pour clarifier cette définition, deux interprétations différentes sont proposées :</w:t>
      </w:r>
      <w:bookmarkStart w:id="0" w:name="_Hlk140838012"/>
      <w:bookmarkEnd w:id="0"/>
    </w:p>
    <w:p w14:paraId="646DAD70" w14:textId="7473CE60" w:rsidR="009F2838" w:rsidRPr="009F2838" w:rsidRDefault="009F2838" w:rsidP="009F2838">
      <w:pPr>
        <w:pStyle w:val="Bullet1G"/>
        <w:numPr>
          <w:ilvl w:val="0"/>
          <w:numId w:val="18"/>
        </w:numPr>
        <w:kinsoku/>
        <w:overflowPunct/>
        <w:autoSpaceDE/>
        <w:autoSpaceDN/>
        <w:adjustRightInd/>
        <w:snapToGrid/>
        <w:rPr>
          <w:lang w:val="fr-CH"/>
        </w:rPr>
      </w:pPr>
      <w:r w:rsidRPr="009F2838">
        <w:rPr>
          <w:b/>
          <w:bCs/>
          <w:lang w:val="fr-CH"/>
        </w:rPr>
        <w:t>Interprétation 1 :</w:t>
      </w:r>
      <w:r w:rsidRPr="009F2838">
        <w:rPr>
          <w:lang w:val="fr-CH"/>
        </w:rPr>
        <w:t xml:space="preserve"> Engin = véhicule complet, y compris groupe motopropulseur et système de stockage de l</w:t>
      </w:r>
      <w:r w:rsidRPr="009F2838">
        <w:rPr>
          <w:lang w:val="fr-CH"/>
        </w:rPr>
        <w:t>’</w:t>
      </w:r>
      <w:r w:rsidRPr="009F2838">
        <w:rPr>
          <w:lang w:val="fr-CH"/>
        </w:rPr>
        <w:t>énergie associé + structure de support (châssis) + caisse isotherme + dispositif thermique ;</w:t>
      </w:r>
    </w:p>
    <w:p w14:paraId="5EA38291" w14:textId="77777777" w:rsidR="009F2838" w:rsidRPr="009F2838" w:rsidRDefault="009F2838" w:rsidP="009F2838">
      <w:pPr>
        <w:pStyle w:val="Bullet1G"/>
        <w:numPr>
          <w:ilvl w:val="0"/>
          <w:numId w:val="18"/>
        </w:numPr>
        <w:kinsoku/>
        <w:overflowPunct/>
        <w:autoSpaceDE/>
        <w:autoSpaceDN/>
        <w:adjustRightInd/>
        <w:snapToGrid/>
        <w:rPr>
          <w:lang w:val="fr-CH"/>
        </w:rPr>
      </w:pPr>
      <w:r w:rsidRPr="009F2838">
        <w:rPr>
          <w:lang w:val="fr-CH"/>
        </w:rPr>
        <w:tab/>
      </w:r>
      <w:r w:rsidRPr="009F2838">
        <w:rPr>
          <w:b/>
          <w:bCs/>
          <w:lang w:val="fr-CH"/>
        </w:rPr>
        <w:t>Interprétation 2 :</w:t>
      </w:r>
      <w:r w:rsidRPr="009F2838">
        <w:rPr>
          <w:lang w:val="fr-CH"/>
        </w:rPr>
        <w:t xml:space="preserve"> Engin = structure de support (châssis) + caisse isotherme + dispositif thermique.</w:t>
      </w:r>
    </w:p>
    <w:p w14:paraId="41D4EF8F" w14:textId="18C82F73" w:rsidR="009F2838" w:rsidRPr="009F2838" w:rsidRDefault="009F2838" w:rsidP="009F2838">
      <w:pPr>
        <w:pStyle w:val="SingleTxtG"/>
        <w:rPr>
          <w:lang w:val="fr-CH"/>
        </w:rPr>
      </w:pPr>
      <w:r w:rsidRPr="009F2838">
        <w:rPr>
          <w:lang w:val="fr-CH"/>
        </w:rPr>
        <w:lastRenderedPageBreak/>
        <w:t>La plupart des experts étaient d</w:t>
      </w:r>
      <w:r w:rsidRPr="009F2838">
        <w:rPr>
          <w:lang w:val="fr-CH"/>
        </w:rPr>
        <w:t>’</w:t>
      </w:r>
      <w:r w:rsidRPr="009F2838">
        <w:rPr>
          <w:lang w:val="fr-CH"/>
        </w:rPr>
        <w:t>accord avec l</w:t>
      </w:r>
      <w:r w:rsidRPr="009F2838">
        <w:rPr>
          <w:lang w:val="fr-CH"/>
        </w:rPr>
        <w:t>’</w:t>
      </w:r>
      <w:r w:rsidRPr="009F2838">
        <w:rPr>
          <w:lang w:val="fr-CH"/>
        </w:rPr>
        <w:t>interprétation 2.</w:t>
      </w:r>
    </w:p>
    <w:p w14:paraId="20F71698" w14:textId="77777777" w:rsidR="009F2838" w:rsidRPr="009F2838" w:rsidRDefault="009F2838" w:rsidP="009F2838">
      <w:pPr>
        <w:pStyle w:val="SingleTxtG"/>
        <w:rPr>
          <w:lang w:val="fr-CH"/>
        </w:rPr>
      </w:pPr>
      <w:r w:rsidRPr="009F2838">
        <w:rPr>
          <w:lang w:val="fr-CH"/>
        </w:rPr>
        <w:t>11.</w:t>
      </w:r>
      <w:r w:rsidRPr="009F2838">
        <w:rPr>
          <w:lang w:val="fr-CH"/>
        </w:rPr>
        <w:tab/>
        <w:t>Le texte ci-après est extrait du rapport du WP.11 sur sa soixante-dix-neuvième session (VI.B.2) :</w:t>
      </w:r>
    </w:p>
    <w:p w14:paraId="422A904C" w14:textId="4F52D5E3" w:rsidR="009F2838" w:rsidRPr="009F2838" w:rsidRDefault="009F2838" w:rsidP="009F2838">
      <w:pPr>
        <w:pStyle w:val="SingleTxtG"/>
        <w:ind w:left="1701"/>
        <w:rPr>
          <w:lang w:val="fr-CH"/>
        </w:rPr>
      </w:pPr>
      <w:r w:rsidRPr="009F2838">
        <w:rPr>
          <w:lang w:val="fr-CH"/>
        </w:rPr>
        <w:t>« 76.</w:t>
      </w:r>
      <w:r w:rsidRPr="009F2838">
        <w:rPr>
          <w:lang w:val="fr-CH"/>
        </w:rPr>
        <w:tab/>
        <w:t>Par ailleurs, certaines délégations étaient d</w:t>
      </w:r>
      <w:r w:rsidRPr="009F2838">
        <w:rPr>
          <w:lang w:val="fr-CH"/>
        </w:rPr>
        <w:t>’</w:t>
      </w:r>
      <w:r w:rsidRPr="009F2838">
        <w:rPr>
          <w:lang w:val="fr-CH"/>
        </w:rPr>
        <w:t>avis que, dans le cadre de l</w:t>
      </w:r>
      <w:r w:rsidRPr="009F2838">
        <w:rPr>
          <w:lang w:val="fr-CH"/>
        </w:rPr>
        <w:t>’</w:t>
      </w:r>
      <w:r w:rsidRPr="009F2838">
        <w:rPr>
          <w:lang w:val="fr-CH"/>
        </w:rPr>
        <w:t>ATP, la caisse isotherme était la partie la plus importante et tous les composants influant sur l</w:t>
      </w:r>
      <w:r w:rsidRPr="009F2838">
        <w:rPr>
          <w:lang w:val="fr-CH"/>
        </w:rPr>
        <w:t>’</w:t>
      </w:r>
      <w:r w:rsidRPr="009F2838">
        <w:rPr>
          <w:lang w:val="fr-CH"/>
        </w:rPr>
        <w:t>isolation devraient figurer dans la définition.</w:t>
      </w:r>
    </w:p>
    <w:p w14:paraId="75EE8D98" w14:textId="54BBABB6" w:rsidR="009F2838" w:rsidRPr="009F2838" w:rsidRDefault="009F2838" w:rsidP="009F2838">
      <w:pPr>
        <w:pStyle w:val="SingleTxtG"/>
        <w:ind w:left="1701"/>
        <w:rPr>
          <w:lang w:val="fr-CH"/>
        </w:rPr>
      </w:pPr>
      <w:r w:rsidRPr="009F2838">
        <w:rPr>
          <w:lang w:val="fr-CH"/>
        </w:rPr>
        <w:t>77.</w:t>
      </w:r>
      <w:r w:rsidRPr="009F2838">
        <w:rPr>
          <w:lang w:val="fr-CH"/>
        </w:rPr>
        <w:tab/>
        <w:t xml:space="preserve">La délégation allemande a, pour sa part, fait remarquer que le terme </w:t>
      </w:r>
      <w:r w:rsidRPr="009F2838">
        <w:rPr>
          <w:lang w:val="fr-CH"/>
        </w:rPr>
        <w:t>“</w:t>
      </w:r>
      <w:r w:rsidRPr="009F2838">
        <w:rPr>
          <w:lang w:val="fr-CH"/>
        </w:rPr>
        <w:t>engin</w:t>
      </w:r>
      <w:r w:rsidRPr="009F2838">
        <w:rPr>
          <w:lang w:val="fr-CH"/>
        </w:rPr>
        <w:t>”</w:t>
      </w:r>
      <w:r w:rsidRPr="009F2838">
        <w:rPr>
          <w:lang w:val="fr-CH"/>
        </w:rPr>
        <w:t xml:space="preserve"> était employé à l</w:t>
      </w:r>
      <w:r w:rsidRPr="009F2838">
        <w:rPr>
          <w:lang w:val="fr-CH"/>
        </w:rPr>
        <w:t>’</w:t>
      </w:r>
      <w:r w:rsidRPr="009F2838">
        <w:rPr>
          <w:lang w:val="fr-CH"/>
        </w:rPr>
        <w:t>article 2 de l</w:t>
      </w:r>
      <w:r w:rsidRPr="009F2838">
        <w:rPr>
          <w:lang w:val="fr-CH"/>
        </w:rPr>
        <w:t>’</w:t>
      </w:r>
      <w:r w:rsidRPr="009F2838">
        <w:rPr>
          <w:lang w:val="fr-CH"/>
        </w:rPr>
        <w:t>ATP et dans plusieurs paragraphes de l</w:t>
      </w:r>
      <w:r w:rsidRPr="009F2838">
        <w:rPr>
          <w:lang w:val="fr-CH"/>
        </w:rPr>
        <w:t>’</w:t>
      </w:r>
      <w:r w:rsidRPr="009F2838">
        <w:rPr>
          <w:lang w:val="fr-CH"/>
        </w:rPr>
        <w:t>annexe 1 pour désigner des concepts différents, dans des contextes qui variaient. ».</w:t>
      </w:r>
    </w:p>
    <w:p w14:paraId="30E956F3" w14:textId="77777777" w:rsidR="009F2838" w:rsidRPr="009F2838" w:rsidRDefault="009F2838" w:rsidP="009F2838">
      <w:pPr>
        <w:pStyle w:val="H23G"/>
        <w:rPr>
          <w:b w:val="0"/>
          <w:lang w:val="fr-CH"/>
        </w:rPr>
      </w:pPr>
      <w:bookmarkStart w:id="1" w:name="_Hlk140838396"/>
      <w:r w:rsidRPr="009F2838">
        <w:rPr>
          <w:lang w:val="fr-CH"/>
        </w:rPr>
        <w:tab/>
      </w:r>
      <w:r w:rsidRPr="009F2838">
        <w:rPr>
          <w:lang w:val="fr-CH"/>
        </w:rPr>
        <w:tab/>
      </w:r>
      <w:r w:rsidRPr="009F2838">
        <w:rPr>
          <w:bCs/>
          <w:lang w:val="fr-CH"/>
        </w:rPr>
        <w:t>Portée de la certification</w:t>
      </w:r>
    </w:p>
    <w:bookmarkEnd w:id="1"/>
    <w:p w14:paraId="02B97741" w14:textId="3EB7404E" w:rsidR="009F2838" w:rsidRPr="009F2838" w:rsidRDefault="009F2838" w:rsidP="009F2838">
      <w:pPr>
        <w:pStyle w:val="SingleTxtG"/>
        <w:rPr>
          <w:lang w:val="fr-CH"/>
        </w:rPr>
      </w:pPr>
      <w:r w:rsidRPr="009F2838">
        <w:rPr>
          <w:lang w:val="fr-CH"/>
        </w:rPr>
        <w:t>12.</w:t>
      </w:r>
      <w:r w:rsidRPr="009F2838">
        <w:rPr>
          <w:lang w:val="fr-CH"/>
        </w:rPr>
        <w:tab/>
        <w:t>Il a été rappelé que l</w:t>
      </w:r>
      <w:r w:rsidRPr="009F2838">
        <w:rPr>
          <w:lang w:val="fr-CH"/>
        </w:rPr>
        <w:t>’</w:t>
      </w:r>
      <w:r w:rsidRPr="009F2838">
        <w:rPr>
          <w:lang w:val="fr-CH"/>
        </w:rPr>
        <w:t>ATP avait pour objet de fixer les règles applicables aux engins et ne prévoyait pas la certification des carburants.</w:t>
      </w:r>
    </w:p>
    <w:p w14:paraId="2020BD53" w14:textId="6F527DEF" w:rsidR="009F2838" w:rsidRPr="009F2838" w:rsidRDefault="009F2838" w:rsidP="009F2838">
      <w:pPr>
        <w:pStyle w:val="SingleTxtG"/>
        <w:rPr>
          <w:lang w:val="fr-CH"/>
        </w:rPr>
      </w:pPr>
      <w:r w:rsidRPr="009F2838">
        <w:rPr>
          <w:lang w:val="fr-CH"/>
        </w:rPr>
        <w:t>13.</w:t>
      </w:r>
      <w:r w:rsidRPr="009F2838">
        <w:rPr>
          <w:lang w:val="fr-CH"/>
        </w:rPr>
        <w:tab/>
      </w:r>
      <w:proofErr w:type="spellStart"/>
      <w:r w:rsidRPr="009F2838">
        <w:rPr>
          <w:lang w:val="fr-CH"/>
        </w:rPr>
        <w:t>Cemafroid</w:t>
      </w:r>
      <w:proofErr w:type="spellEnd"/>
      <w:r w:rsidRPr="009F2838">
        <w:rPr>
          <w:lang w:val="fr-CH"/>
        </w:rPr>
        <w:t>, autorité compétente, a estimé que l</w:t>
      </w:r>
      <w:r w:rsidRPr="009F2838">
        <w:rPr>
          <w:lang w:val="fr-CH"/>
        </w:rPr>
        <w:t>’</w:t>
      </w:r>
      <w:r w:rsidRPr="009F2838">
        <w:rPr>
          <w:lang w:val="fr-CH"/>
        </w:rPr>
        <w:t>énergie et la source d</w:t>
      </w:r>
      <w:r w:rsidRPr="009F2838">
        <w:rPr>
          <w:lang w:val="fr-CH"/>
        </w:rPr>
        <w:t>’</w:t>
      </w:r>
      <w:r w:rsidRPr="009F2838">
        <w:rPr>
          <w:lang w:val="fr-CH"/>
        </w:rPr>
        <w:t>énergie devaient être visées par la certification, mais aucun autre participant ne partageait cet avis.</w:t>
      </w:r>
    </w:p>
    <w:p w14:paraId="230BE249" w14:textId="172ACC5A" w:rsidR="009F2838" w:rsidRPr="009F2838" w:rsidRDefault="009F2838" w:rsidP="009F2838">
      <w:pPr>
        <w:pStyle w:val="SingleTxtG"/>
        <w:rPr>
          <w:lang w:val="fr-CH"/>
        </w:rPr>
      </w:pPr>
      <w:r w:rsidRPr="009F2838">
        <w:rPr>
          <w:lang w:val="fr-CH"/>
        </w:rPr>
        <w:t>14.</w:t>
      </w:r>
      <w:r w:rsidRPr="009F2838">
        <w:rPr>
          <w:lang w:val="fr-CH"/>
        </w:rPr>
        <w:tab/>
        <w:t>La question des batteries a également été soulevée, car sous l</w:t>
      </w:r>
      <w:r w:rsidRPr="009F2838">
        <w:rPr>
          <w:lang w:val="fr-CH"/>
        </w:rPr>
        <w:t>’</w:t>
      </w:r>
      <w:r w:rsidRPr="009F2838">
        <w:rPr>
          <w:lang w:val="fr-CH"/>
        </w:rPr>
        <w:t>effet des nouvelles lois en faveur des véhicules électriques (règlement sur le déploiement d</w:t>
      </w:r>
      <w:r w:rsidRPr="009F2838">
        <w:rPr>
          <w:lang w:val="fr-CH"/>
        </w:rPr>
        <w:t>’</w:t>
      </w:r>
      <w:r w:rsidRPr="009F2838">
        <w:rPr>
          <w:lang w:val="fr-CH"/>
        </w:rPr>
        <w:t>une infrastructure pour carburants alternatifs (AFIR) dans l</w:t>
      </w:r>
      <w:r w:rsidRPr="009F2838">
        <w:rPr>
          <w:lang w:val="fr-CH"/>
        </w:rPr>
        <w:t>’</w:t>
      </w:r>
      <w:r w:rsidRPr="009F2838">
        <w:rPr>
          <w:lang w:val="fr-CH"/>
        </w:rPr>
        <w:t>Union européenne), la durée de vie des batteries et la dépendance à leur égard influeront sur les livraisons et, partant, sur la sécurité alimentaire.</w:t>
      </w:r>
    </w:p>
    <w:p w14:paraId="19F4DFCA" w14:textId="5FEE4E44" w:rsidR="009F2838" w:rsidRPr="009F2838" w:rsidRDefault="009F2838" w:rsidP="009F2838">
      <w:pPr>
        <w:pStyle w:val="SingleTxtG"/>
        <w:rPr>
          <w:lang w:val="fr-CH"/>
        </w:rPr>
      </w:pPr>
      <w:r w:rsidRPr="009F2838">
        <w:rPr>
          <w:lang w:val="fr-CH"/>
        </w:rPr>
        <w:t>15.</w:t>
      </w:r>
      <w:r w:rsidRPr="009F2838">
        <w:rPr>
          <w:lang w:val="fr-CH"/>
        </w:rPr>
        <w:tab/>
        <w:t>Aucun consensus clair ne s</w:t>
      </w:r>
      <w:r w:rsidRPr="009F2838">
        <w:rPr>
          <w:lang w:val="fr-CH"/>
        </w:rPr>
        <w:t>’</w:t>
      </w:r>
      <w:r w:rsidRPr="009F2838">
        <w:rPr>
          <w:lang w:val="fr-CH"/>
        </w:rPr>
        <w:t>est dégagé en faveur de l</w:t>
      </w:r>
      <w:r w:rsidRPr="009F2838">
        <w:rPr>
          <w:lang w:val="fr-CH"/>
        </w:rPr>
        <w:t>’</w:t>
      </w:r>
      <w:r w:rsidRPr="009F2838">
        <w:rPr>
          <w:lang w:val="fr-CH"/>
        </w:rPr>
        <w:t>inclusion des sources d</w:t>
      </w:r>
      <w:r w:rsidRPr="009F2838">
        <w:rPr>
          <w:lang w:val="fr-CH"/>
        </w:rPr>
        <w:t>’</w:t>
      </w:r>
      <w:r w:rsidRPr="009F2838">
        <w:rPr>
          <w:lang w:val="fr-CH"/>
        </w:rPr>
        <w:t>énergie électrique telles que les batteries dans le champ d</w:t>
      </w:r>
      <w:r w:rsidRPr="009F2838">
        <w:rPr>
          <w:lang w:val="fr-CH"/>
        </w:rPr>
        <w:t>’</w:t>
      </w:r>
      <w:r w:rsidRPr="009F2838">
        <w:rPr>
          <w:lang w:val="fr-CH"/>
        </w:rPr>
        <w:t>application de l</w:t>
      </w:r>
      <w:r w:rsidRPr="009F2838">
        <w:rPr>
          <w:lang w:val="fr-CH"/>
        </w:rPr>
        <w:t>’</w:t>
      </w:r>
      <w:r w:rsidRPr="009F2838">
        <w:rPr>
          <w:lang w:val="fr-CH"/>
        </w:rPr>
        <w:t>ATP.</w:t>
      </w:r>
    </w:p>
    <w:p w14:paraId="623A16FB" w14:textId="77777777" w:rsidR="009F2838" w:rsidRPr="009F2838" w:rsidRDefault="009F2838" w:rsidP="009F2838">
      <w:pPr>
        <w:pStyle w:val="H23G"/>
        <w:rPr>
          <w:lang w:val="fr-CH"/>
        </w:rPr>
      </w:pPr>
      <w:r w:rsidRPr="009F2838">
        <w:rPr>
          <w:lang w:val="fr-CH"/>
        </w:rPr>
        <w:tab/>
      </w:r>
      <w:r w:rsidRPr="009F2838">
        <w:rPr>
          <w:lang w:val="fr-CH"/>
        </w:rPr>
        <w:tab/>
      </w:r>
      <w:r w:rsidRPr="009F2838">
        <w:rPr>
          <w:bCs/>
          <w:lang w:val="fr-CH"/>
        </w:rPr>
        <w:t>Réflexion</w:t>
      </w:r>
    </w:p>
    <w:p w14:paraId="699089C7" w14:textId="543D8209" w:rsidR="009F2838" w:rsidRPr="009F2838" w:rsidRDefault="009F2838" w:rsidP="009F2838">
      <w:pPr>
        <w:pStyle w:val="SingleTxtG"/>
        <w:rPr>
          <w:lang w:val="fr-CH"/>
        </w:rPr>
      </w:pPr>
      <w:r w:rsidRPr="009F2838">
        <w:rPr>
          <w:lang w:val="fr-CH"/>
        </w:rPr>
        <w:t>16.</w:t>
      </w:r>
      <w:r w:rsidRPr="009F2838">
        <w:rPr>
          <w:lang w:val="fr-CH"/>
        </w:rPr>
        <w:tab/>
        <w:t>Les interprétations différentes des points susmentionnés peuvent donner lieu à une application incohérente des règles de l</w:t>
      </w:r>
      <w:r w:rsidRPr="009F2838">
        <w:rPr>
          <w:lang w:val="fr-CH"/>
        </w:rPr>
        <w:t>’</w:t>
      </w:r>
      <w:r w:rsidRPr="009F2838">
        <w:rPr>
          <w:lang w:val="fr-CH"/>
        </w:rPr>
        <w:t>ATP entre les Parties contractantes.</w:t>
      </w:r>
    </w:p>
    <w:p w14:paraId="2EC3E04B" w14:textId="33005105" w:rsidR="009F2838" w:rsidRPr="009F2838" w:rsidRDefault="009F2838" w:rsidP="009F2838">
      <w:pPr>
        <w:pStyle w:val="SingleTxtG"/>
        <w:rPr>
          <w:lang w:val="fr-CH"/>
        </w:rPr>
      </w:pPr>
      <w:r w:rsidRPr="009F2838">
        <w:rPr>
          <w:lang w:val="fr-CH"/>
        </w:rPr>
        <w:t>17.</w:t>
      </w:r>
      <w:r w:rsidRPr="009F2838">
        <w:rPr>
          <w:lang w:val="fr-CH"/>
        </w:rPr>
        <w:tab/>
        <w:t>Cela pourrait également entraîner une distorsion de la concurrence et des sanctions pourraient être imposées aux entreprises de transport, qui pourraient voir leur engin bloqué pour des raisons administratives liées à l</w:t>
      </w:r>
      <w:r w:rsidRPr="009F2838">
        <w:rPr>
          <w:lang w:val="fr-CH"/>
        </w:rPr>
        <w:t>’</w:t>
      </w:r>
      <w:r w:rsidRPr="009F2838">
        <w:rPr>
          <w:lang w:val="fr-CH"/>
        </w:rPr>
        <w:t>ATP.</w:t>
      </w:r>
    </w:p>
    <w:p w14:paraId="6409A23B" w14:textId="25E27A5B" w:rsidR="009F2838" w:rsidRPr="009F2838" w:rsidRDefault="009F2838" w:rsidP="009F2838">
      <w:pPr>
        <w:pStyle w:val="SingleTxtG"/>
        <w:spacing w:before="240" w:after="0"/>
        <w:jc w:val="center"/>
        <w:rPr>
          <w:u w:val="single"/>
          <w:lang w:val="fr-CH"/>
        </w:rPr>
      </w:pPr>
      <w:r w:rsidRPr="009F2838">
        <w:rPr>
          <w:u w:val="single"/>
          <w:lang w:val="fr-CH"/>
        </w:rPr>
        <w:tab/>
      </w:r>
      <w:r w:rsidRPr="009F2838">
        <w:rPr>
          <w:u w:val="single"/>
          <w:lang w:val="fr-CH"/>
        </w:rPr>
        <w:tab/>
      </w:r>
      <w:r w:rsidRPr="009F2838">
        <w:rPr>
          <w:u w:val="single"/>
          <w:lang w:val="fr-CH"/>
        </w:rPr>
        <w:tab/>
      </w:r>
      <w:r w:rsidRPr="009F2838">
        <w:rPr>
          <w:u w:val="single"/>
          <w:lang w:val="fr-CH"/>
        </w:rPr>
        <w:tab/>
      </w:r>
    </w:p>
    <w:sectPr w:rsidR="009F2838" w:rsidRPr="009F2838" w:rsidSect="009F283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9694" w14:textId="77777777" w:rsidR="00346C83" w:rsidRPr="009F2838" w:rsidRDefault="00346C83" w:rsidP="00F95C08">
      <w:pPr>
        <w:spacing w:line="240" w:lineRule="auto"/>
      </w:pPr>
    </w:p>
  </w:endnote>
  <w:endnote w:type="continuationSeparator" w:id="0">
    <w:p w14:paraId="55FA35AA" w14:textId="77777777" w:rsidR="00346C83" w:rsidRPr="009F2838" w:rsidRDefault="00346C83" w:rsidP="00AC3823">
      <w:pPr>
        <w:pStyle w:val="Pieddepage"/>
      </w:pPr>
    </w:p>
  </w:endnote>
  <w:endnote w:type="continuationNotice" w:id="1">
    <w:p w14:paraId="6FDF2D44" w14:textId="77777777" w:rsidR="00346C83" w:rsidRPr="009F2838" w:rsidRDefault="00346C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F7D8" w14:textId="243612E5" w:rsidR="009F2838" w:rsidRPr="009F2838" w:rsidRDefault="009F2838" w:rsidP="009F2838">
    <w:pPr>
      <w:pStyle w:val="Pieddepage"/>
      <w:tabs>
        <w:tab w:val="right" w:pos="9638"/>
      </w:tabs>
    </w:pPr>
    <w:r w:rsidRPr="009F2838">
      <w:rPr>
        <w:b/>
        <w:sz w:val="18"/>
      </w:rPr>
      <w:fldChar w:fldCharType="begin"/>
    </w:r>
    <w:r w:rsidRPr="009F2838">
      <w:rPr>
        <w:b/>
        <w:sz w:val="18"/>
      </w:rPr>
      <w:instrText xml:space="preserve"> PAGE  \* MERGEFORMAT </w:instrText>
    </w:r>
    <w:r w:rsidRPr="009F2838">
      <w:rPr>
        <w:b/>
        <w:sz w:val="18"/>
      </w:rPr>
      <w:fldChar w:fldCharType="separate"/>
    </w:r>
    <w:r w:rsidRPr="009F2838">
      <w:rPr>
        <w:b/>
        <w:sz w:val="18"/>
      </w:rPr>
      <w:t>2</w:t>
    </w:r>
    <w:r w:rsidRPr="009F2838">
      <w:rPr>
        <w:b/>
        <w:sz w:val="18"/>
      </w:rPr>
      <w:fldChar w:fldCharType="end"/>
    </w:r>
    <w:r w:rsidRPr="009F2838">
      <w:rPr>
        <w:b/>
        <w:sz w:val="18"/>
      </w:rPr>
      <w:tab/>
    </w:r>
    <w:r w:rsidRPr="009F2838">
      <w:t>GE.23-15204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0F92" w14:textId="594F4C8C" w:rsidR="009F2838" w:rsidRPr="009F2838" w:rsidRDefault="009F2838" w:rsidP="009F2838">
    <w:pPr>
      <w:pStyle w:val="Pieddepage"/>
      <w:tabs>
        <w:tab w:val="right" w:pos="9638"/>
      </w:tabs>
      <w:rPr>
        <w:b/>
        <w:sz w:val="18"/>
      </w:rPr>
    </w:pPr>
    <w:r w:rsidRPr="009F2838">
      <w:t>GE.23-15204</w:t>
    </w:r>
    <w:r w:rsidRPr="009F2838">
      <w:tab/>
    </w:r>
    <w:r w:rsidRPr="009F2838">
      <w:rPr>
        <w:b/>
        <w:sz w:val="18"/>
      </w:rPr>
      <w:fldChar w:fldCharType="begin"/>
    </w:r>
    <w:r w:rsidRPr="009F2838">
      <w:rPr>
        <w:b/>
        <w:sz w:val="18"/>
      </w:rPr>
      <w:instrText xml:space="preserve"> PAGE  \* MERGEFORMAT </w:instrText>
    </w:r>
    <w:r w:rsidRPr="009F2838">
      <w:rPr>
        <w:b/>
        <w:sz w:val="18"/>
      </w:rPr>
      <w:fldChar w:fldCharType="separate"/>
    </w:r>
    <w:r w:rsidRPr="009F2838">
      <w:rPr>
        <w:b/>
        <w:sz w:val="18"/>
      </w:rPr>
      <w:t>3</w:t>
    </w:r>
    <w:r w:rsidRPr="009F28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ED23" w14:textId="7F2B432C" w:rsidR="007F20FA" w:rsidRPr="009F2838" w:rsidRDefault="009F2838" w:rsidP="009F2838">
    <w:pPr>
      <w:pStyle w:val="Pieddepage"/>
      <w:spacing w:before="120"/>
      <w:rPr>
        <w:sz w:val="20"/>
      </w:rPr>
    </w:pPr>
    <w:r w:rsidRPr="009F2838">
      <w:rPr>
        <w:sz w:val="20"/>
      </w:rPr>
      <w:t>GE.</w:t>
    </w:r>
    <w:r w:rsidR="007F20FA" w:rsidRPr="009F2838">
      <w:rPr>
        <w:lang w:eastAsia="fr-CH"/>
      </w:rPr>
      <w:drawing>
        <wp:anchor distT="0" distB="0" distL="114300" distR="114300" simplePos="0" relativeHeight="251659264" behindDoc="0" locked="0" layoutInCell="1" allowOverlap="0" wp14:anchorId="53EFC5A6" wp14:editId="1BBCED7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838">
      <w:rPr>
        <w:sz w:val="20"/>
      </w:rPr>
      <w:t>23-15204  (F)</w:t>
    </w:r>
    <w:r w:rsidRPr="009F2838">
      <w:rPr>
        <w:sz w:val="20"/>
      </w:rPr>
      <w:drawing>
        <wp:anchor distT="0" distB="0" distL="114300" distR="114300" simplePos="0" relativeHeight="251660288" behindDoc="0" locked="0" layoutInCell="1" allowOverlap="1" wp14:anchorId="2E8CF1A8" wp14:editId="7B7BF9ED">
          <wp:simplePos x="0" y="0"/>
          <wp:positionH relativeFrom="margin">
            <wp:posOffset>5489575</wp:posOffset>
          </wp:positionH>
          <wp:positionV relativeFrom="margin">
            <wp:posOffset>8891905</wp:posOffset>
          </wp:positionV>
          <wp:extent cx="638175" cy="638175"/>
          <wp:effectExtent l="0" t="0" r="9525" b="9525"/>
          <wp:wrapNone/>
          <wp:docPr id="47350330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838">
      <w:rPr>
        <w:sz w:val="20"/>
      </w:rPr>
      <w:t xml:space="preserve">    290823    3</w:t>
    </w:r>
    <w:r w:rsidR="00D0207C">
      <w:rPr>
        <w:sz w:val="20"/>
      </w:rPr>
      <w:t>0</w:t>
    </w:r>
    <w:r w:rsidRPr="009F2838">
      <w:rPr>
        <w:sz w:val="20"/>
      </w:rPr>
      <w:t>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B9FE" w14:textId="77777777" w:rsidR="00346C83" w:rsidRPr="009F2838" w:rsidRDefault="00346C83" w:rsidP="00AC3823">
      <w:pPr>
        <w:pStyle w:val="Pieddepage"/>
        <w:tabs>
          <w:tab w:val="right" w:pos="2155"/>
        </w:tabs>
        <w:spacing w:after="80" w:line="240" w:lineRule="atLeast"/>
        <w:ind w:left="680"/>
        <w:rPr>
          <w:u w:val="single"/>
        </w:rPr>
      </w:pPr>
      <w:r w:rsidRPr="009F2838">
        <w:rPr>
          <w:u w:val="single"/>
        </w:rPr>
        <w:tab/>
      </w:r>
    </w:p>
  </w:footnote>
  <w:footnote w:type="continuationSeparator" w:id="0">
    <w:p w14:paraId="160F1C74" w14:textId="77777777" w:rsidR="00346C83" w:rsidRPr="009F2838" w:rsidRDefault="00346C83" w:rsidP="00AC3823">
      <w:pPr>
        <w:pStyle w:val="Pieddepage"/>
        <w:tabs>
          <w:tab w:val="right" w:pos="2155"/>
        </w:tabs>
        <w:spacing w:after="80" w:line="240" w:lineRule="atLeast"/>
        <w:ind w:left="680"/>
        <w:rPr>
          <w:u w:val="single"/>
        </w:rPr>
      </w:pPr>
      <w:r w:rsidRPr="009F2838">
        <w:rPr>
          <w:u w:val="single"/>
        </w:rPr>
        <w:tab/>
      </w:r>
    </w:p>
  </w:footnote>
  <w:footnote w:type="continuationNotice" w:id="1">
    <w:p w14:paraId="4C8A9B9C" w14:textId="77777777" w:rsidR="00346C83" w:rsidRPr="009F2838" w:rsidRDefault="00346C8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EFEC" w14:textId="797EC9F1" w:rsidR="009F2838" w:rsidRPr="009F2838" w:rsidRDefault="009F2838">
    <w:pPr>
      <w:pStyle w:val="En-tte"/>
    </w:pPr>
    <w:fldSimple w:instr=" TITLE  \* MERGEFORMAT ">
      <w:r w:rsidRPr="009F2838">
        <w:t>ECE/TRANS/WP.11/2023/13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BE37" w14:textId="25BACEA6" w:rsidR="009F2838" w:rsidRPr="009F2838" w:rsidRDefault="009F2838" w:rsidP="009F2838">
    <w:pPr>
      <w:pStyle w:val="En-tte"/>
      <w:jc w:val="right"/>
    </w:pPr>
    <w:fldSimple w:instr=" TITLE  \* MERGEFORMAT ">
      <w:r w:rsidRPr="009F2838">
        <w:t>ECE/TRANS/WP.11/2023/13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33607674">
    <w:abstractNumId w:val="14"/>
  </w:num>
  <w:num w:numId="2" w16cid:durableId="1828203081">
    <w:abstractNumId w:val="12"/>
  </w:num>
  <w:num w:numId="3" w16cid:durableId="729306716">
    <w:abstractNumId w:val="10"/>
  </w:num>
  <w:num w:numId="4" w16cid:durableId="621771472">
    <w:abstractNumId w:val="8"/>
  </w:num>
  <w:num w:numId="5" w16cid:durableId="1426539324">
    <w:abstractNumId w:val="3"/>
  </w:num>
  <w:num w:numId="6" w16cid:durableId="1317295884">
    <w:abstractNumId w:val="2"/>
  </w:num>
  <w:num w:numId="7" w16cid:durableId="396905577">
    <w:abstractNumId w:val="1"/>
  </w:num>
  <w:num w:numId="8" w16cid:durableId="951134973">
    <w:abstractNumId w:val="0"/>
  </w:num>
  <w:num w:numId="9" w16cid:durableId="1444180721">
    <w:abstractNumId w:val="9"/>
  </w:num>
  <w:num w:numId="10" w16cid:durableId="803621743">
    <w:abstractNumId w:val="7"/>
  </w:num>
  <w:num w:numId="11" w16cid:durableId="567613072">
    <w:abstractNumId w:val="6"/>
  </w:num>
  <w:num w:numId="12" w16cid:durableId="1698506735">
    <w:abstractNumId w:val="5"/>
  </w:num>
  <w:num w:numId="13" w16cid:durableId="1221476256">
    <w:abstractNumId w:val="4"/>
  </w:num>
  <w:num w:numId="14" w16cid:durableId="1183399281">
    <w:abstractNumId w:val="14"/>
  </w:num>
  <w:num w:numId="15" w16cid:durableId="124198309">
    <w:abstractNumId w:val="12"/>
  </w:num>
  <w:num w:numId="16" w16cid:durableId="1735660928">
    <w:abstractNumId w:val="10"/>
  </w:num>
  <w:num w:numId="17" w16cid:durableId="1686907398">
    <w:abstractNumId w:val="11"/>
  </w:num>
  <w:num w:numId="18" w16cid:durableId="18070408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83"/>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46C83"/>
    <w:rsid w:val="003916DE"/>
    <w:rsid w:val="003E58F0"/>
    <w:rsid w:val="00421996"/>
    <w:rsid w:val="00441C3B"/>
    <w:rsid w:val="00446FE5"/>
    <w:rsid w:val="00452396"/>
    <w:rsid w:val="0047229F"/>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D0A00"/>
    <w:rsid w:val="009F2838"/>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0207C"/>
    <w:rsid w:val="00D3439C"/>
    <w:rsid w:val="00D7622E"/>
    <w:rsid w:val="00DB1831"/>
    <w:rsid w:val="00DD3BFD"/>
    <w:rsid w:val="00DF6678"/>
    <w:rsid w:val="00E0299A"/>
    <w:rsid w:val="00E85C74"/>
    <w:rsid w:val="00EA6547"/>
    <w:rsid w:val="00EC229F"/>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4445C"/>
  <w15:docId w15:val="{29389AD9-69A2-4978-A8C1-76BA6CFC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val="en-US"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9F2838"/>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9F283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A4620-6A83-45F2-B307-F479E16C8D97}"/>
</file>

<file path=customXml/itemProps2.xml><?xml version="1.0" encoding="utf-8"?>
<ds:datastoreItem xmlns:ds="http://schemas.openxmlformats.org/officeDocument/2006/customXml" ds:itemID="{A25A8B5C-7792-4002-9A6F-78E86FEFBA81}"/>
</file>

<file path=docProps/app.xml><?xml version="1.0" encoding="utf-8"?>
<Properties xmlns="http://schemas.openxmlformats.org/officeDocument/2006/extended-properties" xmlns:vt="http://schemas.openxmlformats.org/officeDocument/2006/docPropsVTypes">
  <Template>ECE_TRANS.dotm</Template>
  <TotalTime>0</TotalTime>
  <Pages>3</Pages>
  <Words>906</Words>
  <Characters>6347</Characters>
  <Application>Microsoft Office Word</Application>
  <DocSecurity>0</DocSecurity>
  <Lines>528</Lines>
  <Paragraphs>290</Paragraphs>
  <ScaleCrop>false</ScaleCrop>
  <HeadingPairs>
    <vt:vector size="2" baseType="variant">
      <vt:variant>
        <vt:lpstr>Titre</vt:lpstr>
      </vt:variant>
      <vt:variant>
        <vt:i4>1</vt:i4>
      </vt:variant>
    </vt:vector>
  </HeadingPairs>
  <TitlesOfParts>
    <vt:vector size="1" baseType="lpstr">
      <vt:lpstr>ECE/TRANS/WP.11/2023/13</vt:lpstr>
    </vt:vector>
  </TitlesOfParts>
  <Company>DCM</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ECE/TRANS/WP.11/2023/13</dc:title>
  <dc:subject/>
  <dc:creator>Corinne ROBERT</dc:creator>
  <cp:keywords/>
  <cp:lastModifiedBy>Corinne Robert</cp:lastModifiedBy>
  <cp:revision>2</cp:revision>
  <cp:lastPrinted>2014-05-14T10:59:00Z</cp:lastPrinted>
  <dcterms:created xsi:type="dcterms:W3CDTF">2023-08-30T13:35:00Z</dcterms:created>
  <dcterms:modified xsi:type="dcterms:W3CDTF">2023-08-30T13:35:00Z</dcterms:modified>
</cp:coreProperties>
</file>