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BA3A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2FC51E" w14:textId="77777777" w:rsidR="002D5AAC" w:rsidRDefault="002D5AAC" w:rsidP="00BE7E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A9D8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DB0777" w14:textId="422E08D2" w:rsidR="002D5AAC" w:rsidRDefault="00BE7EF6" w:rsidP="00BE7EF6">
            <w:pPr>
              <w:jc w:val="right"/>
            </w:pPr>
            <w:r w:rsidRPr="00BE7EF6">
              <w:rPr>
                <w:sz w:val="40"/>
              </w:rPr>
              <w:t>ECE</w:t>
            </w:r>
            <w:r>
              <w:t>/TRANS/WP.11/2023/14</w:t>
            </w:r>
          </w:p>
        </w:tc>
      </w:tr>
      <w:tr w:rsidR="002D5AAC" w:rsidRPr="00C713BE" w14:paraId="06E8F19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6C750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15D618" wp14:editId="34C34E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D3281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E71980" w14:textId="77777777" w:rsidR="00BE7EF6" w:rsidRPr="00BE7EF6" w:rsidRDefault="00BE7EF6" w:rsidP="00BE7EF6">
            <w:pPr>
              <w:spacing w:before="240" w:line="240" w:lineRule="exact"/>
              <w:rPr>
                <w:lang w:val="en-US"/>
              </w:rPr>
            </w:pPr>
            <w:r w:rsidRPr="00BE7EF6">
              <w:rPr>
                <w:lang w:val="en-US"/>
              </w:rPr>
              <w:t>Distr.: General</w:t>
            </w:r>
          </w:p>
          <w:p w14:paraId="3ECA329E" w14:textId="77777777" w:rsidR="00BE7EF6" w:rsidRPr="00BE7EF6" w:rsidRDefault="00BE7EF6" w:rsidP="00BE7EF6">
            <w:pPr>
              <w:spacing w:line="240" w:lineRule="exact"/>
              <w:rPr>
                <w:lang w:val="en-US"/>
              </w:rPr>
            </w:pPr>
            <w:r w:rsidRPr="00BE7EF6">
              <w:rPr>
                <w:lang w:val="en-US"/>
              </w:rPr>
              <w:t>10 August 2023</w:t>
            </w:r>
          </w:p>
          <w:p w14:paraId="6E04BF9F" w14:textId="338F30BA" w:rsidR="00BE7EF6" w:rsidRPr="00BE7EF6" w:rsidRDefault="00BE7EF6" w:rsidP="00BE7E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B61FA6" w14:textId="47382A00" w:rsidR="00BE7EF6" w:rsidRPr="00BE7EF6" w:rsidRDefault="00BE7EF6" w:rsidP="00BE7EF6">
            <w:pPr>
              <w:spacing w:line="240" w:lineRule="exact"/>
              <w:rPr>
                <w:lang w:val="en-US"/>
              </w:rPr>
            </w:pPr>
            <w:r w:rsidRPr="00BE7EF6">
              <w:rPr>
                <w:lang w:val="en-US"/>
              </w:rPr>
              <w:t>Original: English</w:t>
            </w:r>
          </w:p>
        </w:tc>
      </w:tr>
    </w:tbl>
    <w:p w14:paraId="3B83049A" w14:textId="77777777" w:rsidR="00103033" w:rsidRPr="00677D4B" w:rsidRDefault="00103033" w:rsidP="00103033">
      <w:pPr>
        <w:spacing w:before="120"/>
        <w:rPr>
          <w:b/>
          <w:sz w:val="28"/>
          <w:szCs w:val="28"/>
        </w:rPr>
      </w:pPr>
      <w:r w:rsidRPr="00677D4B">
        <w:rPr>
          <w:b/>
          <w:sz w:val="28"/>
          <w:szCs w:val="28"/>
        </w:rPr>
        <w:t>Европейская экономическая комиссия</w:t>
      </w:r>
    </w:p>
    <w:p w14:paraId="2C545C04" w14:textId="77777777" w:rsidR="00103033" w:rsidRPr="00677D4B" w:rsidRDefault="00103033" w:rsidP="0010303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B5AD7A6" w14:textId="77777777" w:rsidR="00103033" w:rsidRPr="00677D4B" w:rsidRDefault="00103033" w:rsidP="0010303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270FDF1C" w14:textId="77777777" w:rsidR="00103033" w:rsidRPr="00677D4B" w:rsidRDefault="00103033" w:rsidP="00103033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26EF0CEA" w14:textId="77777777" w:rsidR="00103033" w:rsidRPr="00677D4B" w:rsidRDefault="00103033" w:rsidP="00103033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 xml:space="preserve">Женева, </w:t>
      </w:r>
      <w:proofErr w:type="gramStart"/>
      <w:r w:rsidRPr="00677D4B">
        <w:rPr>
          <w:rFonts w:asciiTheme="majorBidi" w:hAnsiTheme="majorBidi" w:cstheme="majorBidi"/>
        </w:rPr>
        <w:t>24−27</w:t>
      </w:r>
      <w:proofErr w:type="gramEnd"/>
      <w:r w:rsidRPr="00677D4B">
        <w:rPr>
          <w:rFonts w:asciiTheme="majorBidi" w:hAnsiTheme="majorBidi" w:cstheme="majorBidi"/>
        </w:rPr>
        <w:t xml:space="preserve"> октября 2023 года</w:t>
      </w:r>
    </w:p>
    <w:p w14:paraId="3BCF3B62" w14:textId="77777777" w:rsidR="00103033" w:rsidRPr="00677D4B" w:rsidRDefault="00103033" w:rsidP="00103033">
      <w:r w:rsidRPr="00677D4B">
        <w:t>Пункт 5 b) предварительной повестки дня</w:t>
      </w:r>
    </w:p>
    <w:p w14:paraId="1825F84B" w14:textId="77777777" w:rsidR="00103033" w:rsidRPr="00677D4B" w:rsidRDefault="00103033" w:rsidP="00103033">
      <w:pPr>
        <w:rPr>
          <w:b/>
          <w:bCs/>
        </w:rPr>
      </w:pPr>
      <w:r w:rsidRPr="00677D4B">
        <w:rPr>
          <w:b/>
          <w:bCs/>
        </w:rPr>
        <w:t>Предложения по поправкам к СПС:</w:t>
      </w:r>
    </w:p>
    <w:p w14:paraId="03B318FC" w14:textId="77777777" w:rsidR="00103033" w:rsidRPr="00677D4B" w:rsidRDefault="00103033" w:rsidP="00103033">
      <w:pPr>
        <w:rPr>
          <w:b/>
          <w:bCs/>
        </w:rPr>
      </w:pPr>
      <w:r w:rsidRPr="00677D4B">
        <w:rPr>
          <w:b/>
          <w:bCs/>
        </w:rPr>
        <w:t>новые предложения</w:t>
      </w:r>
    </w:p>
    <w:p w14:paraId="08D236D2" w14:textId="77777777" w:rsidR="00103033" w:rsidRPr="00677D4B" w:rsidRDefault="00103033" w:rsidP="00103033">
      <w:pPr>
        <w:pStyle w:val="HChG"/>
      </w:pPr>
      <w:r w:rsidRPr="00677D4B">
        <w:tab/>
      </w:r>
      <w:r w:rsidRPr="00677D4B">
        <w:tab/>
      </w:r>
      <w:r w:rsidRPr="00677D4B">
        <w:rPr>
          <w:bCs/>
        </w:rPr>
        <w:t>Предложения по поправкам к СПС</w:t>
      </w:r>
    </w:p>
    <w:p w14:paraId="038DBD68" w14:textId="77777777" w:rsidR="00103033" w:rsidRPr="00677D4B" w:rsidRDefault="00103033" w:rsidP="00103033">
      <w:pPr>
        <w:pStyle w:val="H1G"/>
      </w:pPr>
      <w:r w:rsidRPr="00677D4B">
        <w:tab/>
      </w:r>
      <w:r w:rsidRPr="00677D4B">
        <w:tab/>
      </w:r>
      <w:r w:rsidRPr="00677D4B">
        <w:rPr>
          <w:bCs/>
        </w:rPr>
        <w:t>Передано правительством Нидерландов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103033" w:rsidRPr="00677D4B" w14:paraId="17F76BCF" w14:textId="77777777" w:rsidTr="00124F6D">
        <w:trPr>
          <w:jc w:val="center"/>
        </w:trPr>
        <w:tc>
          <w:tcPr>
            <w:tcW w:w="9637" w:type="dxa"/>
            <w:shd w:val="clear" w:color="auto" w:fill="auto"/>
          </w:tcPr>
          <w:p w14:paraId="6FA7EB36" w14:textId="77777777" w:rsidR="00103033" w:rsidRPr="00677D4B" w:rsidRDefault="00103033" w:rsidP="00124F6D">
            <w:pPr>
              <w:spacing w:before="240" w:after="120"/>
              <w:ind w:left="255"/>
              <w:rPr>
                <w:i/>
                <w:sz w:val="24"/>
              </w:rPr>
            </w:pPr>
            <w:r w:rsidRPr="00103033">
              <w:rPr>
                <w:i/>
                <w:iCs/>
                <w:sz w:val="24"/>
                <w:szCs w:val="28"/>
              </w:rPr>
              <w:t>Резюме</w:t>
            </w:r>
          </w:p>
        </w:tc>
      </w:tr>
      <w:tr w:rsidR="00103033" w:rsidRPr="00677D4B" w14:paraId="670F22E6" w14:textId="77777777" w:rsidTr="00124F6D">
        <w:trPr>
          <w:jc w:val="center"/>
        </w:trPr>
        <w:tc>
          <w:tcPr>
            <w:tcW w:w="9637" w:type="dxa"/>
            <w:shd w:val="clear" w:color="auto" w:fill="auto"/>
          </w:tcPr>
          <w:p w14:paraId="09EF9AFA" w14:textId="315ADC38" w:rsidR="00103033" w:rsidRPr="00677D4B" w:rsidRDefault="00103033" w:rsidP="00103033">
            <w:pPr>
              <w:pStyle w:val="SingleTxtG"/>
              <w:ind w:left="3969" w:hanging="2835"/>
              <w:rPr>
                <w:bCs/>
              </w:rPr>
            </w:pPr>
            <w:r w:rsidRPr="00C438B5">
              <w:rPr>
                <w:b/>
                <w:bCs/>
              </w:rPr>
              <w:t>Существо предложения:</w:t>
            </w:r>
            <w:r w:rsidRPr="00677D4B">
              <w:tab/>
            </w:r>
            <w:r>
              <w:tab/>
              <w:t>В н</w:t>
            </w:r>
            <w:r w:rsidRPr="00677D4B">
              <w:t>астоящ</w:t>
            </w:r>
            <w:r>
              <w:t>ем</w:t>
            </w:r>
            <w:r w:rsidRPr="00677D4B">
              <w:t xml:space="preserve"> документ</w:t>
            </w:r>
            <w:r>
              <w:t>е</w:t>
            </w:r>
            <w:r w:rsidRPr="00677D4B">
              <w:t xml:space="preserve"> </w:t>
            </w:r>
            <w:r>
              <w:t>представлены</w:t>
            </w:r>
            <w:r w:rsidRPr="00677D4B">
              <w:t xml:space="preserve"> два предложения, направленные на улучшение удобочитаемости СПС.</w:t>
            </w:r>
          </w:p>
          <w:p w14:paraId="481913D4" w14:textId="4804C3F7" w:rsidR="00103033" w:rsidRPr="00677D4B" w:rsidRDefault="00103033" w:rsidP="00103033">
            <w:pPr>
              <w:pStyle w:val="SingleTxtG"/>
              <w:ind w:left="3969" w:hanging="2835"/>
              <w:rPr>
                <w:b/>
              </w:rPr>
            </w:pPr>
            <w:r w:rsidRPr="00677D4B">
              <w:rPr>
                <w:b/>
                <w:bCs/>
              </w:rPr>
              <w:t>Предлагаемое решение:</w:t>
            </w:r>
            <w:r w:rsidRPr="00677D4B">
              <w:tab/>
            </w:r>
            <w:r>
              <w:tab/>
            </w:r>
            <w:r w:rsidRPr="00677D4B">
              <w:t xml:space="preserve">Добавить заголовок к пункту 6.2.3 добавления 2 </w:t>
            </w:r>
            <w:r w:rsidR="001F5213">
              <w:br/>
            </w:r>
            <w:r w:rsidRPr="00677D4B">
              <w:t xml:space="preserve">к приложению 1 и исключить просроченные переходные меры в отношении свидетельств </w:t>
            </w:r>
            <w:r w:rsidR="001F5213">
              <w:br/>
            </w:r>
            <w:r w:rsidRPr="00677D4B">
              <w:t xml:space="preserve">о соответствии СПС, которые оговорены в части «A» добавления 3 к приложению 1. </w:t>
            </w:r>
          </w:p>
          <w:p w14:paraId="051A8FE6" w14:textId="5200FA1E" w:rsidR="00103033" w:rsidRPr="00677D4B" w:rsidRDefault="00103033" w:rsidP="00124F6D">
            <w:pPr>
              <w:pStyle w:val="SingleTxtG"/>
              <w:ind w:left="3402" w:hanging="2268"/>
            </w:pPr>
            <w:r w:rsidRPr="00677D4B">
              <w:rPr>
                <w:b/>
                <w:bCs/>
              </w:rPr>
              <w:t>Справочные документы:</w:t>
            </w:r>
            <w:r w:rsidRPr="00677D4B">
              <w:tab/>
              <w:t>Неприменимо.</w:t>
            </w:r>
          </w:p>
        </w:tc>
      </w:tr>
      <w:tr w:rsidR="00103033" w:rsidRPr="00677D4B" w14:paraId="79B7EC0C" w14:textId="77777777" w:rsidTr="00124F6D">
        <w:trPr>
          <w:jc w:val="center"/>
        </w:trPr>
        <w:tc>
          <w:tcPr>
            <w:tcW w:w="9637" w:type="dxa"/>
            <w:shd w:val="clear" w:color="auto" w:fill="auto"/>
          </w:tcPr>
          <w:p w14:paraId="4ABAC22C" w14:textId="77777777" w:rsidR="00103033" w:rsidRPr="00677D4B" w:rsidRDefault="00103033" w:rsidP="00124F6D"/>
        </w:tc>
      </w:tr>
    </w:tbl>
    <w:p w14:paraId="1FE76EF0" w14:textId="77777777" w:rsidR="00103033" w:rsidRPr="00677D4B" w:rsidRDefault="00103033" w:rsidP="00103033">
      <w:pPr>
        <w:pStyle w:val="HChG"/>
      </w:pPr>
      <w:r w:rsidRPr="00677D4B">
        <w:tab/>
      </w:r>
      <w:r w:rsidRPr="00677D4B">
        <w:tab/>
      </w:r>
      <w:r w:rsidRPr="00677D4B">
        <w:rPr>
          <w:bCs/>
        </w:rPr>
        <w:t>Введение</w:t>
      </w:r>
    </w:p>
    <w:p w14:paraId="0C97BA4B" w14:textId="77777777" w:rsidR="00103033" w:rsidRPr="00677D4B" w:rsidRDefault="00103033" w:rsidP="00103033">
      <w:pPr>
        <w:pStyle w:val="SingleTxtG"/>
      </w:pPr>
      <w:r w:rsidRPr="00677D4B">
        <w:t>1.</w:t>
      </w:r>
      <w:r w:rsidRPr="00677D4B">
        <w:tab/>
        <w:t>Для обеспечения удобочитаемости Соглашения предлагается внести две поправки.</w:t>
      </w:r>
    </w:p>
    <w:p w14:paraId="33D27F34" w14:textId="77777777" w:rsidR="00103033" w:rsidRPr="00677D4B" w:rsidRDefault="00103033" w:rsidP="00103033">
      <w:pPr>
        <w:pStyle w:val="HChG"/>
      </w:pPr>
      <w:r>
        <w:rPr>
          <w:bCs/>
        </w:rPr>
        <w:tab/>
      </w:r>
      <w:r w:rsidRPr="00677D4B">
        <w:rPr>
          <w:bCs/>
        </w:rPr>
        <w:t>I.</w:t>
      </w:r>
      <w:r w:rsidRPr="00677D4B">
        <w:tab/>
      </w:r>
      <w:r w:rsidRPr="00677D4B">
        <w:rPr>
          <w:bCs/>
        </w:rPr>
        <w:t>Предложение 1</w:t>
      </w:r>
    </w:p>
    <w:p w14:paraId="2D66AAF5" w14:textId="77777777" w:rsidR="00103033" w:rsidRPr="00677D4B" w:rsidRDefault="00103033" w:rsidP="00103033">
      <w:pPr>
        <w:pStyle w:val="SingleTxtG"/>
        <w:rPr>
          <w:rFonts w:eastAsia="Calibri"/>
          <w:sz w:val="22"/>
          <w:szCs w:val="23"/>
        </w:rPr>
      </w:pPr>
      <w:r w:rsidRPr="00677D4B">
        <w:t>2.</w:t>
      </w:r>
      <w:r w:rsidRPr="00677D4B">
        <w:tab/>
        <w:t>Добавить новый заголовок к пункту 6.2.3 добавления 2 к приложению 1 (новые элементы выделены подчеркиванием):</w:t>
      </w:r>
    </w:p>
    <w:p w14:paraId="33F48532" w14:textId="77777777" w:rsidR="00103033" w:rsidRDefault="0010303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6B95444" w14:textId="10E4C8B5" w:rsidR="00103033" w:rsidRPr="00677D4B" w:rsidRDefault="00103033" w:rsidP="00103033">
      <w:pPr>
        <w:pStyle w:val="SingleTxtG"/>
        <w:tabs>
          <w:tab w:val="clear" w:pos="2268"/>
          <w:tab w:val="left" w:pos="2410"/>
        </w:tabs>
        <w:ind w:left="1701"/>
        <w:rPr>
          <w:rFonts w:eastAsia="Calibri"/>
        </w:rPr>
      </w:pPr>
      <w:r w:rsidRPr="00677D4B">
        <w:lastRenderedPageBreak/>
        <w:t>«6.2.3</w:t>
      </w:r>
      <w:r w:rsidRPr="00677D4B">
        <w:tab/>
      </w:r>
      <w:r w:rsidRPr="00677D4B">
        <w:rPr>
          <w:b/>
          <w:bCs/>
          <w:i/>
          <w:iCs/>
          <w:u w:val="single"/>
        </w:rPr>
        <w:t>Замена холодильного агента</w:t>
      </w:r>
    </w:p>
    <w:p w14:paraId="1EE297B0" w14:textId="77777777" w:rsidR="00103033" w:rsidRPr="00677D4B" w:rsidRDefault="00103033" w:rsidP="00103033">
      <w:pPr>
        <w:pStyle w:val="SingleTxtG"/>
        <w:ind w:left="1701"/>
        <w:rPr>
          <w:rFonts w:eastAsia="Calibri"/>
        </w:rPr>
      </w:pPr>
      <w:r w:rsidRPr="00677D4B">
        <w:t xml:space="preserve">По просьбе изготовителя допускается замена исходного холодильного агента транспортных средств-рефрижераторов, находящихся в эксплуатации, хладагентами, указанными в ... на основании которых была произведена замена хладагента». </w:t>
      </w:r>
    </w:p>
    <w:p w14:paraId="75E1EC63" w14:textId="77777777" w:rsidR="00103033" w:rsidRPr="00677D4B" w:rsidRDefault="00103033" w:rsidP="00103033">
      <w:pPr>
        <w:pStyle w:val="HChG"/>
        <w:rPr>
          <w:rFonts w:eastAsia="Calibri"/>
          <w:sz w:val="22"/>
          <w:szCs w:val="23"/>
        </w:rPr>
      </w:pPr>
      <w:r>
        <w:rPr>
          <w:bCs/>
        </w:rPr>
        <w:tab/>
      </w:r>
      <w:r w:rsidRPr="00677D4B">
        <w:rPr>
          <w:bCs/>
        </w:rPr>
        <w:t>II.</w:t>
      </w:r>
      <w:r w:rsidRPr="00677D4B">
        <w:tab/>
      </w:r>
      <w:r w:rsidRPr="00677D4B">
        <w:rPr>
          <w:bCs/>
        </w:rPr>
        <w:t>Обоснование предложения 1</w:t>
      </w:r>
      <w:r w:rsidRPr="00677D4B">
        <w:t xml:space="preserve"> </w:t>
      </w:r>
    </w:p>
    <w:p w14:paraId="77368DAB" w14:textId="77777777" w:rsidR="00103033" w:rsidRPr="00677D4B" w:rsidRDefault="00103033" w:rsidP="00103033">
      <w:pPr>
        <w:pStyle w:val="SingleTxtG"/>
        <w:rPr>
          <w:rFonts w:eastAsia="Calibri"/>
          <w:b/>
          <w:bCs/>
          <w:sz w:val="28"/>
          <w:szCs w:val="28"/>
        </w:rPr>
      </w:pPr>
      <w:r w:rsidRPr="00677D4B">
        <w:t>3.</w:t>
      </w:r>
      <w:r w:rsidRPr="00677D4B">
        <w:tab/>
      </w:r>
      <w:r>
        <w:t>Ввиду о</w:t>
      </w:r>
      <w:r w:rsidRPr="00677D4B">
        <w:t>тсутстви</w:t>
      </w:r>
      <w:r>
        <w:t>я</w:t>
      </w:r>
      <w:r w:rsidRPr="00677D4B">
        <w:t xml:space="preserve"> заголовка </w:t>
      </w:r>
      <w:r>
        <w:t xml:space="preserve">возможно </w:t>
      </w:r>
      <w:r w:rsidRPr="00677D4B">
        <w:t>тако</w:t>
      </w:r>
      <w:r>
        <w:t>е</w:t>
      </w:r>
      <w:r w:rsidRPr="00677D4B">
        <w:t xml:space="preserve"> толковани</w:t>
      </w:r>
      <w:r>
        <w:t>е</w:t>
      </w:r>
      <w:r w:rsidRPr="00677D4B">
        <w:t xml:space="preserve"> пункта 6.2.3, согласно которому он действует только в отношении неавтономных транспортных средств.</w:t>
      </w:r>
    </w:p>
    <w:p w14:paraId="02E5D522" w14:textId="77777777" w:rsidR="00103033" w:rsidRPr="00677D4B" w:rsidRDefault="00103033" w:rsidP="00103033">
      <w:pPr>
        <w:pStyle w:val="HChG"/>
        <w:rPr>
          <w:rFonts w:eastAsia="Calibri"/>
        </w:rPr>
      </w:pPr>
      <w:r>
        <w:rPr>
          <w:bCs/>
        </w:rPr>
        <w:tab/>
      </w:r>
      <w:r w:rsidRPr="00677D4B">
        <w:rPr>
          <w:bCs/>
        </w:rPr>
        <w:t>III.</w:t>
      </w:r>
      <w:r w:rsidRPr="00677D4B">
        <w:tab/>
      </w:r>
      <w:r w:rsidRPr="00677D4B">
        <w:rPr>
          <w:bCs/>
        </w:rPr>
        <w:t>Предложение 2</w:t>
      </w:r>
    </w:p>
    <w:p w14:paraId="462E1E24" w14:textId="46A6A6E8" w:rsidR="00103033" w:rsidRPr="00677D4B" w:rsidRDefault="00103033" w:rsidP="00103033">
      <w:pPr>
        <w:pStyle w:val="SingleTxtG"/>
        <w:rPr>
          <w:rFonts w:eastAsia="Calibri"/>
        </w:rPr>
      </w:pPr>
      <w:r w:rsidRPr="00677D4B">
        <w:t>4.</w:t>
      </w:r>
      <w:r w:rsidRPr="00677D4B">
        <w:tab/>
        <w:t xml:space="preserve">Исключить две переходные меры, которые упоминаются после заголовка </w:t>
      </w:r>
      <w:r>
        <w:br/>
      </w:r>
      <w:r w:rsidRPr="00677D4B">
        <w:t xml:space="preserve">части «A» добавления 3 к приложению 1 (исключенные элементы зачеркнуты): </w:t>
      </w:r>
    </w:p>
    <w:p w14:paraId="72472C09" w14:textId="77777777" w:rsidR="00103033" w:rsidRPr="00677D4B" w:rsidRDefault="00103033" w:rsidP="00103033">
      <w:pPr>
        <w:pStyle w:val="SingleTxtG"/>
        <w:ind w:left="1701"/>
        <w:rPr>
          <w:rFonts w:eastAsia="Calibri"/>
          <w:strike/>
          <w:szCs w:val="23"/>
        </w:rPr>
      </w:pPr>
      <w:r>
        <w:rPr>
          <w:strike/>
        </w:rPr>
        <w:t>«</w:t>
      </w:r>
      <w:r w:rsidRPr="00677D4B">
        <w:rPr>
          <w:strike/>
        </w:rPr>
        <w:t>Свидетельства о соответствии транспортных средств, выданные до 2 января 2011 года на основании действующих до 1 января 2011 года требований к образцу свидетельства, который приводится в добавлении 3 к приложению 1, остаются в силе до первоначальной даты истечения срока их действия.</w:t>
      </w:r>
    </w:p>
    <w:p w14:paraId="2F7147C3" w14:textId="77777777" w:rsidR="00103033" w:rsidRPr="00677D4B" w:rsidRDefault="00103033" w:rsidP="00103033">
      <w:pPr>
        <w:pStyle w:val="SingleTxtG"/>
        <w:ind w:left="1701"/>
        <w:rPr>
          <w:rFonts w:eastAsia="Calibri"/>
          <w:strike/>
          <w:szCs w:val="23"/>
        </w:rPr>
      </w:pPr>
      <w:r w:rsidRPr="00677D4B">
        <w:rPr>
          <w:strike/>
        </w:rPr>
        <w:t>Свидетельства о соответствии, выданные до даты вступления в силу поправки к пункту 3 образца бланка свидетельства (30 сентября 2015 года), остаются действительными до первоначальной даты истечения срока их действия</w:t>
      </w:r>
      <w:r>
        <w:rPr>
          <w:strike/>
        </w:rPr>
        <w:t>»</w:t>
      </w:r>
      <w:r w:rsidRPr="00677D4B">
        <w:rPr>
          <w:strike/>
        </w:rPr>
        <w:t>.</w:t>
      </w:r>
    </w:p>
    <w:p w14:paraId="27DACC4C" w14:textId="77777777" w:rsidR="00103033" w:rsidRPr="00677D4B" w:rsidRDefault="00103033" w:rsidP="00103033">
      <w:pPr>
        <w:pStyle w:val="HChG"/>
        <w:rPr>
          <w:rFonts w:eastAsia="Calibri"/>
        </w:rPr>
      </w:pPr>
      <w:r>
        <w:rPr>
          <w:bCs/>
        </w:rPr>
        <w:tab/>
      </w:r>
      <w:r w:rsidRPr="00677D4B">
        <w:rPr>
          <w:bCs/>
        </w:rPr>
        <w:t>IV.</w:t>
      </w:r>
      <w:r w:rsidRPr="00677D4B">
        <w:tab/>
      </w:r>
      <w:r w:rsidRPr="00677D4B">
        <w:rPr>
          <w:bCs/>
        </w:rPr>
        <w:t>Обоснование предложения 2</w:t>
      </w:r>
    </w:p>
    <w:p w14:paraId="0FDC4BE4" w14:textId="77777777" w:rsidR="00103033" w:rsidRPr="00677D4B" w:rsidRDefault="00103033" w:rsidP="00103033">
      <w:pPr>
        <w:pStyle w:val="SingleTxtG"/>
        <w:rPr>
          <w:rFonts w:eastAsia="Calibri"/>
        </w:rPr>
      </w:pPr>
      <w:r w:rsidRPr="00C438B5">
        <w:t>5.</w:t>
      </w:r>
      <w:r w:rsidRPr="00C438B5">
        <w:tab/>
      </w:r>
      <w:r w:rsidRPr="00677D4B">
        <w:t>С учетом того, что максимальный срок действия свидетельств о соответствии СПС составляет шесть лет, все действующие свидетельства должны соответствовать этим требованиям</w:t>
      </w:r>
      <w:r>
        <w:t>, в результате чего данные</w:t>
      </w:r>
      <w:r w:rsidRPr="00677D4B">
        <w:t xml:space="preserve"> переходные меры</w:t>
      </w:r>
      <w:r>
        <w:t xml:space="preserve"> являются</w:t>
      </w:r>
      <w:r w:rsidRPr="00677D4B">
        <w:t xml:space="preserve"> устаревшими. </w:t>
      </w:r>
    </w:p>
    <w:p w14:paraId="115819DC" w14:textId="77777777" w:rsidR="00103033" w:rsidRPr="00677D4B" w:rsidRDefault="00103033" w:rsidP="00103033">
      <w:pPr>
        <w:pStyle w:val="HChG"/>
      </w:pPr>
      <w:r>
        <w:rPr>
          <w:bCs/>
        </w:rPr>
        <w:tab/>
      </w:r>
      <w:r w:rsidRPr="00677D4B">
        <w:rPr>
          <w:bCs/>
        </w:rPr>
        <w:t>V.</w:t>
      </w:r>
      <w:r w:rsidRPr="00677D4B">
        <w:tab/>
      </w:r>
      <w:r w:rsidRPr="00677D4B">
        <w:rPr>
          <w:bCs/>
        </w:rPr>
        <w:t>Обоснование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961"/>
      </w:tblGrid>
      <w:tr w:rsidR="00103033" w:rsidRPr="00677D4B" w14:paraId="3B5E54DF" w14:textId="77777777" w:rsidTr="00103033">
        <w:tc>
          <w:tcPr>
            <w:tcW w:w="2694" w:type="dxa"/>
            <w:shd w:val="clear" w:color="auto" w:fill="auto"/>
          </w:tcPr>
          <w:p w14:paraId="7BE4D0F4" w14:textId="77777777" w:rsidR="00103033" w:rsidRPr="00677D4B" w:rsidRDefault="00103033" w:rsidP="00124F6D">
            <w:pPr>
              <w:pStyle w:val="SingleTxtG"/>
              <w:ind w:left="0" w:right="0"/>
            </w:pPr>
            <w:r w:rsidRPr="00677D4B">
              <w:t>Затраты:</w:t>
            </w:r>
          </w:p>
        </w:tc>
        <w:tc>
          <w:tcPr>
            <w:tcW w:w="4961" w:type="dxa"/>
            <w:shd w:val="clear" w:color="auto" w:fill="auto"/>
          </w:tcPr>
          <w:p w14:paraId="14311E26" w14:textId="77777777" w:rsidR="00103033" w:rsidRPr="00677D4B" w:rsidRDefault="00103033" w:rsidP="00124F6D">
            <w:pPr>
              <w:pStyle w:val="SingleTxtG"/>
              <w:ind w:left="0"/>
            </w:pPr>
            <w:r w:rsidRPr="00677D4B">
              <w:t>Никаких затрат</w:t>
            </w:r>
            <w:r>
              <w:t>.</w:t>
            </w:r>
          </w:p>
        </w:tc>
      </w:tr>
      <w:tr w:rsidR="00103033" w:rsidRPr="00677D4B" w14:paraId="3C550DF6" w14:textId="77777777" w:rsidTr="00103033">
        <w:tc>
          <w:tcPr>
            <w:tcW w:w="2694" w:type="dxa"/>
            <w:shd w:val="clear" w:color="auto" w:fill="auto"/>
          </w:tcPr>
          <w:p w14:paraId="2CEACA47" w14:textId="77777777" w:rsidR="00103033" w:rsidRPr="00677D4B" w:rsidRDefault="00103033" w:rsidP="00124F6D">
            <w:pPr>
              <w:pStyle w:val="SingleTxtG"/>
              <w:ind w:left="0" w:right="0"/>
            </w:pPr>
            <w:r w:rsidRPr="00677D4B">
              <w:t>Осуществимость:</w:t>
            </w:r>
          </w:p>
        </w:tc>
        <w:tc>
          <w:tcPr>
            <w:tcW w:w="4961" w:type="dxa"/>
            <w:shd w:val="clear" w:color="auto" w:fill="auto"/>
          </w:tcPr>
          <w:p w14:paraId="465EC269" w14:textId="77777777" w:rsidR="00103033" w:rsidRPr="00677D4B" w:rsidRDefault="00103033" w:rsidP="00124F6D">
            <w:pPr>
              <w:pStyle w:val="SingleTxtG"/>
              <w:ind w:left="0" w:right="0"/>
            </w:pPr>
            <w:r w:rsidRPr="00677D4B">
              <w:t>Никаких проблем не предвидится</w:t>
            </w:r>
            <w:r>
              <w:t>.</w:t>
            </w:r>
          </w:p>
        </w:tc>
      </w:tr>
      <w:tr w:rsidR="00103033" w:rsidRPr="007409E1" w14:paraId="1BFAF60D" w14:textId="77777777" w:rsidTr="00103033">
        <w:tc>
          <w:tcPr>
            <w:tcW w:w="2694" w:type="dxa"/>
            <w:shd w:val="clear" w:color="auto" w:fill="auto"/>
          </w:tcPr>
          <w:p w14:paraId="26056BB6" w14:textId="77777777" w:rsidR="00103033" w:rsidRPr="00677D4B" w:rsidRDefault="00103033" w:rsidP="00124F6D">
            <w:pPr>
              <w:pStyle w:val="SingleTxtG"/>
              <w:ind w:left="0" w:right="3"/>
            </w:pPr>
            <w:r w:rsidRPr="00677D4B">
              <w:t>Последствия:</w:t>
            </w:r>
          </w:p>
        </w:tc>
        <w:tc>
          <w:tcPr>
            <w:tcW w:w="4961" w:type="dxa"/>
            <w:shd w:val="clear" w:color="auto" w:fill="auto"/>
          </w:tcPr>
          <w:p w14:paraId="3901FAB0" w14:textId="77777777" w:rsidR="00103033" w:rsidRPr="00677D4B" w:rsidRDefault="00103033" w:rsidP="00124F6D">
            <w:pPr>
              <w:pStyle w:val="SingleTxtG"/>
              <w:ind w:left="0"/>
            </w:pPr>
            <w:r w:rsidRPr="00677D4B">
              <w:t>Никаких последствий для расхода топлива и изотермических свойств</w:t>
            </w:r>
            <w:r>
              <w:t>.</w:t>
            </w:r>
          </w:p>
        </w:tc>
      </w:tr>
      <w:tr w:rsidR="00103033" w:rsidRPr="00677D4B" w14:paraId="4FDA13AF" w14:textId="77777777" w:rsidTr="00103033">
        <w:tc>
          <w:tcPr>
            <w:tcW w:w="2694" w:type="dxa"/>
            <w:shd w:val="clear" w:color="auto" w:fill="auto"/>
          </w:tcPr>
          <w:p w14:paraId="05BE0879" w14:textId="77777777" w:rsidR="00103033" w:rsidRPr="00677D4B" w:rsidRDefault="00103033" w:rsidP="00124F6D">
            <w:pPr>
              <w:pStyle w:val="SingleTxtG"/>
              <w:ind w:left="0" w:right="0"/>
            </w:pPr>
            <w:r w:rsidRPr="00677D4B">
              <w:t>Обеспечение применения:</w:t>
            </w:r>
          </w:p>
        </w:tc>
        <w:tc>
          <w:tcPr>
            <w:tcW w:w="4961" w:type="dxa"/>
            <w:shd w:val="clear" w:color="auto" w:fill="auto"/>
          </w:tcPr>
          <w:p w14:paraId="6657C2D3" w14:textId="77777777" w:rsidR="00103033" w:rsidRPr="00677D4B" w:rsidRDefault="00103033" w:rsidP="00124F6D">
            <w:pPr>
              <w:pStyle w:val="SingleTxtG"/>
              <w:ind w:left="0" w:right="0"/>
            </w:pPr>
            <w:r w:rsidRPr="00677D4B">
              <w:t>Никаких проблем не предвидится</w:t>
            </w:r>
            <w:r>
              <w:t>.</w:t>
            </w:r>
          </w:p>
        </w:tc>
      </w:tr>
    </w:tbl>
    <w:p w14:paraId="7C320427" w14:textId="77777777" w:rsidR="00103033" w:rsidRPr="00677D4B" w:rsidRDefault="00103033" w:rsidP="00103033">
      <w:pPr>
        <w:spacing w:before="240"/>
        <w:jc w:val="center"/>
        <w:rPr>
          <w:rFonts w:eastAsia="Calibri"/>
          <w:u w:val="single"/>
        </w:rPr>
      </w:pPr>
      <w:r w:rsidRPr="00677D4B">
        <w:rPr>
          <w:rFonts w:eastAsia="Calibri"/>
          <w:u w:val="single"/>
        </w:rPr>
        <w:tab/>
      </w:r>
      <w:r w:rsidRPr="00677D4B">
        <w:rPr>
          <w:rFonts w:eastAsia="Calibri"/>
          <w:u w:val="single"/>
        </w:rPr>
        <w:tab/>
      </w:r>
      <w:r w:rsidRPr="00677D4B">
        <w:rPr>
          <w:rFonts w:eastAsia="Calibri"/>
          <w:u w:val="single"/>
        </w:rPr>
        <w:tab/>
      </w:r>
    </w:p>
    <w:p w14:paraId="25D6355F" w14:textId="77777777" w:rsidR="00103033" w:rsidRPr="00677D4B" w:rsidRDefault="00103033" w:rsidP="00103033"/>
    <w:p w14:paraId="523019BB" w14:textId="77777777" w:rsidR="00E12C5F" w:rsidRPr="008D53B6" w:rsidRDefault="00E12C5F" w:rsidP="00D9145B"/>
    <w:sectPr w:rsidR="00E12C5F" w:rsidRPr="008D53B6" w:rsidSect="00BE7E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E687" w14:textId="77777777" w:rsidR="00ED339D" w:rsidRPr="00A312BC" w:rsidRDefault="00ED339D" w:rsidP="00A312BC"/>
  </w:endnote>
  <w:endnote w:type="continuationSeparator" w:id="0">
    <w:p w14:paraId="1E8F6DD7" w14:textId="77777777" w:rsidR="00ED339D" w:rsidRPr="00A312BC" w:rsidRDefault="00ED33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E0F7" w14:textId="3874D1F4" w:rsidR="00BE7EF6" w:rsidRPr="00BE7EF6" w:rsidRDefault="00BE7EF6">
    <w:pPr>
      <w:pStyle w:val="a8"/>
    </w:pPr>
    <w:r w:rsidRPr="00BE7EF6">
      <w:rPr>
        <w:b/>
        <w:sz w:val="18"/>
      </w:rPr>
      <w:fldChar w:fldCharType="begin"/>
    </w:r>
    <w:r w:rsidRPr="00BE7EF6">
      <w:rPr>
        <w:b/>
        <w:sz w:val="18"/>
      </w:rPr>
      <w:instrText xml:space="preserve"> PAGE  \* MERGEFORMAT </w:instrText>
    </w:r>
    <w:r w:rsidRPr="00BE7EF6">
      <w:rPr>
        <w:b/>
        <w:sz w:val="18"/>
      </w:rPr>
      <w:fldChar w:fldCharType="separate"/>
    </w:r>
    <w:r w:rsidRPr="00BE7EF6">
      <w:rPr>
        <w:b/>
        <w:noProof/>
        <w:sz w:val="18"/>
      </w:rPr>
      <w:t>2</w:t>
    </w:r>
    <w:r w:rsidRPr="00BE7EF6">
      <w:rPr>
        <w:b/>
        <w:sz w:val="18"/>
      </w:rPr>
      <w:fldChar w:fldCharType="end"/>
    </w:r>
    <w:r>
      <w:rPr>
        <w:b/>
        <w:sz w:val="18"/>
      </w:rPr>
      <w:tab/>
    </w:r>
    <w:r>
      <w:t>GE.23-15569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8FF" w14:textId="303B9D6E" w:rsidR="00BE7EF6" w:rsidRPr="00BE7EF6" w:rsidRDefault="00BE7EF6" w:rsidP="00BE7EF6">
    <w:pPr>
      <w:pStyle w:val="a8"/>
      <w:tabs>
        <w:tab w:val="clear" w:pos="9639"/>
        <w:tab w:val="right" w:pos="9638"/>
      </w:tabs>
      <w:rPr>
        <w:b/>
        <w:sz w:val="18"/>
      </w:rPr>
    </w:pPr>
    <w:r>
      <w:t>GE.23-15569</w:t>
    </w:r>
    <w:r>
      <w:tab/>
    </w:r>
    <w:r w:rsidRPr="00BE7EF6">
      <w:rPr>
        <w:b/>
        <w:sz w:val="18"/>
      </w:rPr>
      <w:fldChar w:fldCharType="begin"/>
    </w:r>
    <w:r w:rsidRPr="00BE7EF6">
      <w:rPr>
        <w:b/>
        <w:sz w:val="18"/>
      </w:rPr>
      <w:instrText xml:space="preserve"> PAGE  \* MERGEFORMAT </w:instrText>
    </w:r>
    <w:r w:rsidRPr="00BE7EF6">
      <w:rPr>
        <w:b/>
        <w:sz w:val="18"/>
      </w:rPr>
      <w:fldChar w:fldCharType="separate"/>
    </w:r>
    <w:r w:rsidRPr="00BE7EF6">
      <w:rPr>
        <w:b/>
        <w:noProof/>
        <w:sz w:val="18"/>
      </w:rPr>
      <w:t>3</w:t>
    </w:r>
    <w:r w:rsidRPr="00BE7E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5CF" w14:textId="3EDAADB1" w:rsidR="00042B72" w:rsidRPr="00005C91" w:rsidRDefault="00BE7EF6" w:rsidP="00BE7E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4FB1AE" wp14:editId="038A04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23-15569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A51999" wp14:editId="575176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C91">
      <w:rPr>
        <w:lang w:val="en-US"/>
      </w:rPr>
      <w:t xml:space="preserve">  250823  280823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CAB" w14:textId="77777777" w:rsidR="00ED339D" w:rsidRPr="001075E9" w:rsidRDefault="00ED33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3D5649" w14:textId="77777777" w:rsidR="00ED339D" w:rsidRDefault="00ED33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4DF9" w14:textId="24DBC714" w:rsidR="00BE7EF6" w:rsidRPr="00BE7EF6" w:rsidRDefault="00C713B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29E1" w14:textId="7024EF4C" w:rsidR="00BE7EF6" w:rsidRPr="00BE7EF6" w:rsidRDefault="00C713BE" w:rsidP="00BE7E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34374795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9D"/>
    <w:rsid w:val="00005C91"/>
    <w:rsid w:val="00033EE1"/>
    <w:rsid w:val="00042B72"/>
    <w:rsid w:val="000558BD"/>
    <w:rsid w:val="000B57E7"/>
    <w:rsid w:val="000B6373"/>
    <w:rsid w:val="000E4E5B"/>
    <w:rsid w:val="000F09DF"/>
    <w:rsid w:val="000F61B2"/>
    <w:rsid w:val="00103033"/>
    <w:rsid w:val="001075E9"/>
    <w:rsid w:val="0014152F"/>
    <w:rsid w:val="00180183"/>
    <w:rsid w:val="0018024D"/>
    <w:rsid w:val="0018649F"/>
    <w:rsid w:val="00196389"/>
    <w:rsid w:val="001B3EF6"/>
    <w:rsid w:val="001C7A89"/>
    <w:rsid w:val="001F5213"/>
    <w:rsid w:val="00255343"/>
    <w:rsid w:val="00265F8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17E2D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EF6"/>
    <w:rsid w:val="00C106D6"/>
    <w:rsid w:val="00C119AE"/>
    <w:rsid w:val="00C60F0C"/>
    <w:rsid w:val="00C713BE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39D"/>
    <w:rsid w:val="00EE142A"/>
    <w:rsid w:val="00EF1360"/>
    <w:rsid w:val="00EF3220"/>
    <w:rsid w:val="00F00691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B93B8"/>
  <w15:docId w15:val="{65DA92D0-637D-4631-9937-3E8C887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03033"/>
    <w:rPr>
      <w:lang w:val="ru-RU" w:eastAsia="en-US"/>
    </w:rPr>
  </w:style>
  <w:style w:type="paragraph" w:customStyle="1" w:styleId="ParNoG">
    <w:name w:val="_ParNo_G"/>
    <w:basedOn w:val="a"/>
    <w:qFormat/>
    <w:rsid w:val="00103033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10303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ECE/TRANS/WP.11/2023/14</dc:title>
  <dc:subject/>
  <dc:creator>Ekaterina SALYNSKAYA</dc:creator>
  <cp:keywords/>
  <cp:lastModifiedBy>Ekaterina Salynskaya</cp:lastModifiedBy>
  <cp:revision>3</cp:revision>
  <cp:lastPrinted>2023-08-28T06:39:00Z</cp:lastPrinted>
  <dcterms:created xsi:type="dcterms:W3CDTF">2023-08-28T06:39:00Z</dcterms:created>
  <dcterms:modified xsi:type="dcterms:W3CDTF">2023-08-28T06:40:00Z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