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A74B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4F647C" w14:textId="77777777" w:rsidR="002D5AAC" w:rsidRDefault="002D5AAC" w:rsidP="005724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CEB32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BBAB4B" w14:textId="2D8C7C99" w:rsidR="002D5AAC" w:rsidRDefault="005724A8" w:rsidP="005724A8">
            <w:pPr>
              <w:jc w:val="right"/>
            </w:pPr>
            <w:r w:rsidRPr="005724A8">
              <w:rPr>
                <w:sz w:val="40"/>
              </w:rPr>
              <w:t>ECE</w:t>
            </w:r>
            <w:r>
              <w:t>/TRANS/WP.11/2023/5</w:t>
            </w:r>
          </w:p>
        </w:tc>
      </w:tr>
      <w:tr w:rsidR="002D5AAC" w14:paraId="1848BF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F7977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1E610C" wp14:editId="4D7DF2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7A13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F59444" w14:textId="77777777" w:rsidR="002D5AAC" w:rsidRDefault="005724A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1B355A" w14:textId="77777777" w:rsidR="005724A8" w:rsidRDefault="005724A8" w:rsidP="005724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2023</w:t>
            </w:r>
          </w:p>
          <w:p w14:paraId="3ADC5E8A" w14:textId="77777777" w:rsidR="005724A8" w:rsidRDefault="005724A8" w:rsidP="005724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4C32E1" w14:textId="2AC87F8A" w:rsidR="005724A8" w:rsidRPr="008D53B6" w:rsidRDefault="005724A8" w:rsidP="005724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9F4C7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BD9569" w14:textId="77777777" w:rsidR="005724A8" w:rsidRPr="006D0AF6" w:rsidRDefault="005724A8" w:rsidP="005724A8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A19ACA5" w14:textId="77777777" w:rsidR="005724A8" w:rsidRPr="006D0AF6" w:rsidRDefault="005724A8" w:rsidP="005724A8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06010512" w14:textId="77777777" w:rsidR="005724A8" w:rsidRPr="006D0AF6" w:rsidRDefault="005724A8" w:rsidP="005724A8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702C2FD2" w14:textId="77777777" w:rsidR="005724A8" w:rsidRPr="006D0AF6" w:rsidRDefault="005724A8" w:rsidP="005724A8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6A33728A" w14:textId="77777777" w:rsidR="005724A8" w:rsidRPr="006D0AF6" w:rsidRDefault="005724A8" w:rsidP="005724A8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Пункт 5 а) предварительной повестки дня</w:t>
      </w:r>
    </w:p>
    <w:p w14:paraId="5DB91AF4" w14:textId="734E10C8" w:rsidR="005724A8" w:rsidRPr="006D0AF6" w:rsidRDefault="005724A8" w:rsidP="005724A8">
      <w:pPr>
        <w:spacing w:line="240" w:lineRule="auto"/>
        <w:rPr>
          <w:rFonts w:asciiTheme="majorBidi" w:hAnsiTheme="majorBidi" w:cstheme="majorBidi"/>
          <w:b/>
        </w:rPr>
      </w:pPr>
      <w:r w:rsidRPr="006D0AF6">
        <w:rPr>
          <w:rFonts w:asciiTheme="majorBidi" w:hAnsiTheme="majorBidi" w:cstheme="majorBidi"/>
          <w:b/>
          <w:bCs/>
        </w:rPr>
        <w:t>Предложения по поправкам к СПС:</w:t>
      </w:r>
      <w:r>
        <w:rPr>
          <w:rFonts w:asciiTheme="majorBidi" w:hAnsiTheme="majorBidi" w:cstheme="majorBidi"/>
          <w:b/>
          <w:bCs/>
        </w:rPr>
        <w:br/>
      </w:r>
      <w:r w:rsidRPr="006D0AF6">
        <w:rPr>
          <w:rFonts w:asciiTheme="majorBidi" w:hAnsiTheme="majorBidi" w:cstheme="majorBidi"/>
          <w:b/>
          <w:bCs/>
        </w:rPr>
        <w:t>предложения, по которым еще не приняты решения</w:t>
      </w:r>
    </w:p>
    <w:p w14:paraId="214BE553" w14:textId="72478D9A" w:rsidR="005724A8" w:rsidRDefault="005724A8" w:rsidP="005724A8">
      <w:pPr>
        <w:pStyle w:val="HChG"/>
      </w:pPr>
      <w:r>
        <w:tab/>
      </w:r>
      <w:r>
        <w:tab/>
      </w:r>
      <w:r>
        <w:rPr>
          <w:bCs/>
        </w:rPr>
        <w:t>Предложение по поправкам к пункту 7.3.7 добавления 2 к</w:t>
      </w:r>
      <w:r>
        <w:rPr>
          <w:bCs/>
          <w:lang w:val="en-US"/>
        </w:rPr>
        <w:t> </w:t>
      </w:r>
      <w:r>
        <w:rPr>
          <w:bCs/>
        </w:rPr>
        <w:t>приложению 1</w:t>
      </w:r>
    </w:p>
    <w:p w14:paraId="77A95D18" w14:textId="77777777" w:rsidR="005724A8" w:rsidRDefault="005724A8" w:rsidP="005724A8">
      <w:pPr>
        <w:pStyle w:val="H1G"/>
      </w:pPr>
      <w:r>
        <w:tab/>
      </w:r>
      <w:r>
        <w:tab/>
      </w:r>
      <w:r>
        <w:rPr>
          <w:bCs/>
        </w:rPr>
        <w:t>Представлено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5724A8" w14:paraId="43769A01" w14:textId="77777777" w:rsidTr="0014785D">
        <w:trPr>
          <w:jc w:val="center"/>
        </w:trPr>
        <w:tc>
          <w:tcPr>
            <w:tcW w:w="9628" w:type="dxa"/>
            <w:shd w:val="clear" w:color="auto" w:fill="auto"/>
          </w:tcPr>
          <w:p w14:paraId="3765478C" w14:textId="77777777" w:rsidR="005724A8" w:rsidRPr="005724A8" w:rsidRDefault="005724A8" w:rsidP="0014785D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5724A8">
              <w:rPr>
                <w:i/>
                <w:iCs/>
                <w:sz w:val="24"/>
                <w:szCs w:val="24"/>
              </w:rPr>
              <w:t>Резюме</w:t>
            </w:r>
            <w:r w:rsidRPr="005724A8">
              <w:rPr>
                <w:sz w:val="24"/>
                <w:szCs w:val="24"/>
              </w:rPr>
              <w:t xml:space="preserve"> </w:t>
            </w:r>
          </w:p>
        </w:tc>
      </w:tr>
      <w:tr w:rsidR="005724A8" w14:paraId="0E8DC4CB" w14:textId="77777777" w:rsidTr="0014785D">
        <w:trPr>
          <w:jc w:val="center"/>
        </w:trPr>
        <w:tc>
          <w:tcPr>
            <w:tcW w:w="9628" w:type="dxa"/>
            <w:shd w:val="clear" w:color="auto" w:fill="auto"/>
          </w:tcPr>
          <w:p w14:paraId="37FEF187" w14:textId="6D57025C" w:rsidR="005724A8" w:rsidRDefault="005724A8" w:rsidP="005724A8">
            <w:pPr>
              <w:pStyle w:val="SingleTxtG"/>
              <w:tabs>
                <w:tab w:val="left" w:pos="3967"/>
              </w:tabs>
              <w:ind w:left="3967" w:hanging="2833"/>
            </w:pPr>
            <w:r w:rsidRPr="004556CB">
              <w:rPr>
                <w:b/>
                <w:bCs/>
              </w:rPr>
              <w:t>Существо предложения:</w:t>
            </w:r>
            <w:r>
              <w:tab/>
              <w:t xml:space="preserve">Предлагается дополнить пункт 7.3.7 добавления 2 </w:t>
            </w:r>
            <w:r>
              <w:br/>
            </w:r>
            <w:r>
              <w:t>к приложению 1, включив в него критерии приемлемости в отношении покрытия разделительных стенок</w:t>
            </w:r>
          </w:p>
          <w:p w14:paraId="4A84A7BA" w14:textId="77777777" w:rsidR="005724A8" w:rsidRDefault="005724A8" w:rsidP="005724A8">
            <w:pPr>
              <w:pStyle w:val="SingleTxtG"/>
              <w:tabs>
                <w:tab w:val="left" w:pos="3967"/>
              </w:tabs>
              <w:ind w:left="3967" w:hanging="2833"/>
            </w:pPr>
            <w:r w:rsidRPr="004556CB">
              <w:rPr>
                <w:b/>
                <w:bCs/>
              </w:rPr>
              <w:t>Предлагаемое решение:</w:t>
            </w:r>
            <w:r>
              <w:tab/>
              <w:t>Дополнить пункт 7.3.7 добавления 2 к приложению 1</w:t>
            </w:r>
          </w:p>
          <w:p w14:paraId="5E2362AF" w14:textId="77777777" w:rsidR="005724A8" w:rsidRDefault="005724A8" w:rsidP="005724A8">
            <w:pPr>
              <w:pStyle w:val="SingleTxtG"/>
              <w:tabs>
                <w:tab w:val="left" w:pos="3967"/>
              </w:tabs>
              <w:ind w:left="3967" w:hanging="2833"/>
            </w:pPr>
            <w:r w:rsidRPr="004556CB">
              <w:rPr>
                <w:b/>
                <w:bCs/>
              </w:rPr>
              <w:t>Справочные документы:</w:t>
            </w:r>
            <w:r>
              <w:tab/>
              <w:t>Отсутствуют</w:t>
            </w:r>
          </w:p>
        </w:tc>
      </w:tr>
      <w:tr w:rsidR="005724A8" w14:paraId="360004FD" w14:textId="77777777" w:rsidTr="0014785D">
        <w:trPr>
          <w:jc w:val="center"/>
        </w:trPr>
        <w:tc>
          <w:tcPr>
            <w:tcW w:w="9628" w:type="dxa"/>
            <w:shd w:val="clear" w:color="auto" w:fill="auto"/>
          </w:tcPr>
          <w:p w14:paraId="6FC364D4" w14:textId="77777777" w:rsidR="005724A8" w:rsidRDefault="005724A8" w:rsidP="0014785D"/>
        </w:tc>
      </w:tr>
    </w:tbl>
    <w:p w14:paraId="39CC2E02" w14:textId="77777777" w:rsidR="005724A8" w:rsidRDefault="005724A8" w:rsidP="005724A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90DE33B" w14:textId="77777777" w:rsidR="005724A8" w:rsidRPr="000001DB" w:rsidRDefault="005724A8" w:rsidP="005724A8">
      <w:pPr>
        <w:pStyle w:val="SingleTxtG"/>
      </w:pPr>
      <w:r>
        <w:t>1.</w:t>
      </w:r>
      <w:r>
        <w:tab/>
        <w:t>Особенности оборудования, состояние технического обслуживания и загрузка транспортных средств, используемых для перевозки скоропортящихся пищевых продуктов, не должны создавать угрозу загрязнения, изменения или порчи этих пищевых продуктов.</w:t>
      </w:r>
    </w:p>
    <w:p w14:paraId="54D34CD6" w14:textId="77777777" w:rsidR="005724A8" w:rsidRPr="000001DB" w:rsidRDefault="005724A8" w:rsidP="005724A8">
      <w:pPr>
        <w:pStyle w:val="SingleTxtG"/>
      </w:pPr>
      <w:r>
        <w:t>2.</w:t>
      </w:r>
      <w:r>
        <w:tab/>
        <w:t>В этой связи в Регламенте ЕС № 852/2014 содержатся следующие положения, применимые к таким транспортным средствам:</w:t>
      </w:r>
    </w:p>
    <w:p w14:paraId="493797FE" w14:textId="77777777" w:rsidR="005724A8" w:rsidRPr="000001DB" w:rsidRDefault="005724A8" w:rsidP="005724A8">
      <w:pPr>
        <w:pStyle w:val="SingleTxtG"/>
        <w:ind w:firstLine="567"/>
        <w:rPr>
          <w:iCs/>
        </w:rPr>
      </w:pPr>
      <w:r>
        <w:t>a)</w:t>
      </w:r>
      <w:r>
        <w:tab/>
        <w:t xml:space="preserve">В главе IV Регламента ЕС № 852/2014 указано: «Резервуары транспортных средств и/или контейнеры, используемые для перевозки пищевых продуктов, должны быть чистыми и поддерживаться в исправном состоянии, чтобы обеспечить защиту пищевых продуктов от любого загрязнения, и они должны </w:t>
      </w:r>
      <w:r>
        <w:rPr>
          <w:u w:val="single"/>
        </w:rPr>
        <w:t>проектироваться и изготавливаться таким образом, чтобы в случае необходимости их можно было надлежащим образом очистить и/или дезинфицировать</w:t>
      </w:r>
      <w:r>
        <w:t xml:space="preserve">». </w:t>
      </w:r>
    </w:p>
    <w:p w14:paraId="74CEB47A" w14:textId="77777777" w:rsidR="005724A8" w:rsidRPr="000001DB" w:rsidRDefault="005724A8" w:rsidP="005724A8">
      <w:pPr>
        <w:pStyle w:val="SingleTxtG"/>
        <w:ind w:firstLine="567"/>
      </w:pPr>
      <w:r>
        <w:lastRenderedPageBreak/>
        <w:t>b)</w:t>
      </w:r>
      <w:r>
        <w:tab/>
        <w:t xml:space="preserve">В главе V Регламента ЕС № 852/2014 указано: «Все изделия, установки и оборудование, с которыми контактируют пищевые продукты [...], </w:t>
      </w:r>
      <w:r>
        <w:rPr>
          <w:u w:val="single"/>
        </w:rPr>
        <w:t>должны проектироваться, изготавливаться</w:t>
      </w:r>
      <w:r>
        <w:t xml:space="preserve"> и обслуживаться таким образом, чтобы максимально снизить риск загрязнения».</w:t>
      </w:r>
    </w:p>
    <w:p w14:paraId="38EE97EB" w14:textId="77777777" w:rsidR="005724A8" w:rsidRPr="000001DB" w:rsidRDefault="005724A8" w:rsidP="005724A8">
      <w:pPr>
        <w:pStyle w:val="SingleTxtG"/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7F61C50" wp14:editId="57A8D798">
            <wp:simplePos x="0" y="0"/>
            <wp:positionH relativeFrom="page">
              <wp:posOffset>1448510</wp:posOffset>
            </wp:positionH>
            <wp:positionV relativeFrom="paragraph">
              <wp:posOffset>1487982</wp:posOffset>
            </wp:positionV>
            <wp:extent cx="2366802" cy="13298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802" cy="132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tab/>
        <w:t>Материалы, используемые в конструкции разделительных стенок, могут контактировать с перевозимыми пищевыми продуктами. Эти материалы не должны ухудшать состояние пищевых продуктов либо делать их опасными. При этом в разделительных стенках, где наружное покрытие не приклеено к сердцевинному термоизоляционному щиту, возникает обусловленный конструкционными особенностями риск накопления загрязнения между наружным покрытием и сердцевинным термоизоляционным материалом. Этот риск может усугубляться тем, что такие разделительные стенки могут храниться вне транспортного средства, подвергаясь таким образом воздействию всевозможных загрязнений.</w:t>
      </w:r>
    </w:p>
    <w:p w14:paraId="1EEF3028" w14:textId="3D475B66" w:rsidR="005724A8" w:rsidRPr="000001DB" w:rsidRDefault="005724A8" w:rsidP="005724A8">
      <w:pPr>
        <w:pStyle w:val="SingleTxtG"/>
        <w:spacing w:before="36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63B458" wp14:editId="230A4A72">
            <wp:simplePos x="0" y="0"/>
            <wp:positionH relativeFrom="margin">
              <wp:posOffset>3297110</wp:posOffset>
            </wp:positionH>
            <wp:positionV relativeFrom="margin">
              <wp:posOffset>2164230</wp:posOffset>
            </wp:positionV>
            <wp:extent cx="2118360" cy="13271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t="9880" r="7388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  <w:t>В пункте 7 добавления 2 к приложению 1 говорится о теплопотерях через разделительные стенки, причем в тексте упоминаются лишь два типа таких стенок, а</w:t>
      </w:r>
      <w:r>
        <w:rPr>
          <w:lang w:val="en-US"/>
        </w:rPr>
        <w:t> </w:t>
      </w:r>
      <w:r>
        <w:t>именно «продольные» и «поперечные».</w:t>
      </w:r>
      <w:r w:rsidRPr="00E22B2D">
        <w:rPr>
          <w:color w:val="333333"/>
          <w:sz w:val="26"/>
          <w:szCs w:val="26"/>
          <w:shd w:val="clear" w:color="auto" w:fill="FFFFFF"/>
        </w:rPr>
        <w:t xml:space="preserve"> </w:t>
      </w:r>
      <w:r w:rsidRPr="00E22B2D">
        <w:t xml:space="preserve">Таким образом, критерии приемлемости таких разделительных стенок сформулированы в СПС недостаточно четко, чтобы исключить технологические решения, не отвечающие цели сертификации, или исключить возможность разночтений между компетентными органами, в результате чего в одной стране транспортное средство может быть сертифицировано как транспортное средство с </w:t>
      </w:r>
      <w:proofErr w:type="spellStart"/>
      <w:r w:rsidRPr="00E22B2D">
        <w:t>мультитемпературным</w:t>
      </w:r>
      <w:proofErr w:type="spellEnd"/>
      <w:r w:rsidRPr="00E22B2D">
        <w:t xml:space="preserve"> режимом, а в другой стране получить отказ в сертификации в качестве такового.</w:t>
      </w:r>
    </w:p>
    <w:p w14:paraId="59172275" w14:textId="77777777" w:rsidR="005724A8" w:rsidRDefault="005724A8" w:rsidP="005724A8">
      <w:pPr>
        <w:pStyle w:val="SingleTxtG"/>
      </w:pPr>
      <w:r>
        <w:t>5.</w:t>
      </w:r>
      <w:r>
        <w:tab/>
        <w:t>Цель данного предложения заключается в том, чтобы дополнить предложения, касающиеся разделительных стенок, включив в пункт 7.3.7 добавления 2 к приложению 1 следующие положения:</w:t>
      </w:r>
    </w:p>
    <w:p w14:paraId="6791B79F" w14:textId="77777777" w:rsidR="005724A8" w:rsidRPr="000001DB" w:rsidRDefault="005724A8" w:rsidP="005724A8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Критерии приемлемости в отношении покрытия разделительных стенок.</w:t>
      </w:r>
    </w:p>
    <w:p w14:paraId="5C3E35C9" w14:textId="77777777" w:rsidR="005724A8" w:rsidRPr="000001DB" w:rsidRDefault="005724A8" w:rsidP="005724A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9A256DB" w14:textId="77777777" w:rsidR="005724A8" w:rsidRPr="000001DB" w:rsidRDefault="005724A8" w:rsidP="005724A8">
      <w:pPr>
        <w:pStyle w:val="SingleTxtG"/>
      </w:pPr>
      <w:r>
        <w:t>6.</w:t>
      </w:r>
      <w:r>
        <w:tab/>
        <w:t>В конце пункта 7.3.7 (Внутренние разделительные стенки) включить следующее предложение:</w:t>
      </w:r>
    </w:p>
    <w:p w14:paraId="43EAEC8B" w14:textId="77777777" w:rsidR="005724A8" w:rsidRPr="000001DB" w:rsidRDefault="005724A8" w:rsidP="005724A8">
      <w:pPr>
        <w:pStyle w:val="SingleTxtG"/>
        <w:ind w:left="1701"/>
      </w:pPr>
      <w:r>
        <w:t>«Разделительная(</w:t>
      </w:r>
      <w:proofErr w:type="spellStart"/>
      <w:r>
        <w:t>ые</w:t>
      </w:r>
      <w:proofErr w:type="spellEnd"/>
      <w:r>
        <w:t xml:space="preserve">) стенка(и) должна(ы) состоять из термоизоляционного щита с неотделимым от него покрытием». </w:t>
      </w:r>
    </w:p>
    <w:p w14:paraId="26817A4C" w14:textId="77777777" w:rsidR="005724A8" w:rsidRPr="000001DB" w:rsidRDefault="005724A8" w:rsidP="005724A8">
      <w:pPr>
        <w:pStyle w:val="SingleTxtG"/>
      </w:pPr>
      <w:r>
        <w:t>7.</w:t>
      </w:r>
      <w:r>
        <w:tab/>
        <w:t>В английском варианте французский термин «</w:t>
      </w:r>
      <w:proofErr w:type="spellStart"/>
      <w:r>
        <w:t>solidaire</w:t>
      </w:r>
      <w:proofErr w:type="spellEnd"/>
      <w:r>
        <w:t>» предлагается переводить словами «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».</w:t>
      </w:r>
    </w:p>
    <w:p w14:paraId="52A8C45A" w14:textId="77777777" w:rsidR="005724A8" w:rsidRDefault="005724A8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503D7B5E" w14:textId="758A388F" w:rsidR="005724A8" w:rsidRDefault="005724A8" w:rsidP="005724A8">
      <w:pPr>
        <w:pStyle w:val="HChG"/>
        <w:rPr>
          <w:bCs/>
        </w:rPr>
      </w:pPr>
      <w:r>
        <w:lastRenderedPageBreak/>
        <w:tab/>
      </w:r>
      <w:r>
        <w:tab/>
      </w:r>
      <w:r>
        <w:rPr>
          <w:bCs/>
        </w:rPr>
        <w:t>Последствия</w:t>
      </w:r>
    </w:p>
    <w:tbl>
      <w:tblPr>
        <w:tblStyle w:val="TableNormal1"/>
        <w:tblW w:w="7370" w:type="dxa"/>
        <w:tblInd w:w="11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5"/>
      </w:tblGrid>
      <w:tr w:rsidR="005724A8" w:rsidRPr="00696A28" w14:paraId="2B57EA82" w14:textId="77777777" w:rsidTr="005724A8">
        <w:tc>
          <w:tcPr>
            <w:tcW w:w="1985" w:type="dxa"/>
            <w:tcMar>
              <w:left w:w="57" w:type="dxa"/>
              <w:right w:w="57" w:type="dxa"/>
            </w:tcMar>
          </w:tcPr>
          <w:p w14:paraId="61B2A31B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Затраты:</w:t>
            </w:r>
          </w:p>
        </w:tc>
        <w:tc>
          <w:tcPr>
            <w:tcW w:w="5385" w:type="dxa"/>
            <w:tcMar>
              <w:left w:w="57" w:type="dxa"/>
              <w:right w:w="57" w:type="dxa"/>
            </w:tcMar>
          </w:tcPr>
          <w:p w14:paraId="1D283A79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Никаких последствий.</w:t>
            </w:r>
          </w:p>
        </w:tc>
      </w:tr>
      <w:tr w:rsidR="005724A8" w:rsidRPr="000001DB" w14:paraId="57695115" w14:textId="77777777" w:rsidTr="005724A8">
        <w:tc>
          <w:tcPr>
            <w:tcW w:w="1985" w:type="dxa"/>
            <w:tcMar>
              <w:left w:w="57" w:type="dxa"/>
              <w:right w:w="57" w:type="dxa"/>
            </w:tcMar>
          </w:tcPr>
          <w:p w14:paraId="66CC39B1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Экологическое воздействие:</w:t>
            </w:r>
          </w:p>
        </w:tc>
        <w:tc>
          <w:tcPr>
            <w:tcW w:w="5385" w:type="dxa"/>
            <w:tcMar>
              <w:left w:w="57" w:type="dxa"/>
              <w:right w:w="57" w:type="dxa"/>
            </w:tcMar>
          </w:tcPr>
          <w:p w14:paraId="43CE2B8B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E22B2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Улучшение санитарных условий внутри транспортн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ого</w:t>
            </w:r>
            <w:r w:rsidRPr="00E22B2D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средств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а, достигаемое</w:t>
            </w:r>
            <w:r w:rsidRPr="00E22B2D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благодаря избеганию хранения съемных разделительных стенок вне транспортн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ых</w:t>
            </w:r>
            <w:r w:rsidRPr="00E22B2D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средств</w:t>
            </w:r>
          </w:p>
        </w:tc>
      </w:tr>
      <w:tr w:rsidR="005724A8" w:rsidRPr="000001DB" w14:paraId="0C96FC3C" w14:textId="77777777" w:rsidTr="005724A8">
        <w:tc>
          <w:tcPr>
            <w:tcW w:w="1985" w:type="dxa"/>
            <w:tcMar>
              <w:left w:w="57" w:type="dxa"/>
              <w:right w:w="57" w:type="dxa"/>
            </w:tcMar>
          </w:tcPr>
          <w:p w14:paraId="7E586772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Осуществимость:</w:t>
            </w:r>
          </w:p>
        </w:tc>
        <w:tc>
          <w:tcPr>
            <w:tcW w:w="5385" w:type="dxa"/>
            <w:tcMar>
              <w:left w:w="57" w:type="dxa"/>
              <w:right w:w="57" w:type="dxa"/>
            </w:tcMar>
          </w:tcPr>
          <w:p w14:paraId="208571EF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Предлагаемая поправка может быть внесена в СПС без каких-либо затруднений. </w:t>
            </w:r>
          </w:p>
          <w:p w14:paraId="3A70987E" w14:textId="6BBEEB09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Предлагается переходный период продолжительностью один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 </w:t>
            </w: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год.</w:t>
            </w:r>
          </w:p>
        </w:tc>
      </w:tr>
      <w:tr w:rsidR="005724A8" w:rsidRPr="00696A28" w14:paraId="2521ACFD" w14:textId="77777777" w:rsidTr="005724A8">
        <w:tc>
          <w:tcPr>
            <w:tcW w:w="1985" w:type="dxa"/>
            <w:tcMar>
              <w:left w:w="57" w:type="dxa"/>
              <w:right w:w="57" w:type="dxa"/>
            </w:tcMar>
          </w:tcPr>
          <w:p w14:paraId="175730D6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Обеспечение применения:</w:t>
            </w:r>
          </w:p>
        </w:tc>
        <w:tc>
          <w:tcPr>
            <w:tcW w:w="5385" w:type="dxa"/>
            <w:tcMar>
              <w:left w:w="57" w:type="dxa"/>
              <w:right w:w="57" w:type="dxa"/>
            </w:tcMar>
          </w:tcPr>
          <w:p w14:paraId="06F94D93" w14:textId="77777777" w:rsidR="005724A8" w:rsidRPr="00696A28" w:rsidRDefault="005724A8" w:rsidP="005724A8">
            <w:pPr>
              <w:pStyle w:val="TableParagraph"/>
              <w:widowControl/>
              <w:spacing w:before="60" w:after="60" w:line="240" w:lineRule="atLeast"/>
              <w:ind w:left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696A2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Никаких трудностей не предвидится.</w:t>
            </w:r>
          </w:p>
        </w:tc>
      </w:tr>
    </w:tbl>
    <w:p w14:paraId="4BDC8A8E" w14:textId="28FB6FF5" w:rsidR="00E12C5F" w:rsidRPr="005724A8" w:rsidRDefault="005724A8" w:rsidP="005724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724A8" w:rsidSect="005724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FFD7" w14:textId="77777777" w:rsidR="004761D7" w:rsidRPr="00A312BC" w:rsidRDefault="004761D7" w:rsidP="00A312BC"/>
  </w:endnote>
  <w:endnote w:type="continuationSeparator" w:id="0">
    <w:p w14:paraId="41D7C744" w14:textId="77777777" w:rsidR="004761D7" w:rsidRPr="00A312BC" w:rsidRDefault="004761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8B1E" w14:textId="6D5D9F25" w:rsidR="005724A8" w:rsidRPr="005724A8" w:rsidRDefault="005724A8">
    <w:pPr>
      <w:pStyle w:val="a8"/>
    </w:pPr>
    <w:r w:rsidRPr="005724A8">
      <w:rPr>
        <w:b/>
        <w:sz w:val="18"/>
      </w:rPr>
      <w:fldChar w:fldCharType="begin"/>
    </w:r>
    <w:r w:rsidRPr="005724A8">
      <w:rPr>
        <w:b/>
        <w:sz w:val="18"/>
      </w:rPr>
      <w:instrText xml:space="preserve"> PAGE  \* MERGEFORMAT </w:instrText>
    </w:r>
    <w:r w:rsidRPr="005724A8">
      <w:rPr>
        <w:b/>
        <w:sz w:val="18"/>
      </w:rPr>
      <w:fldChar w:fldCharType="separate"/>
    </w:r>
    <w:r w:rsidRPr="005724A8">
      <w:rPr>
        <w:b/>
        <w:noProof/>
        <w:sz w:val="18"/>
      </w:rPr>
      <w:t>2</w:t>
    </w:r>
    <w:r w:rsidRPr="005724A8">
      <w:rPr>
        <w:b/>
        <w:sz w:val="18"/>
      </w:rPr>
      <w:fldChar w:fldCharType="end"/>
    </w:r>
    <w:r>
      <w:rPr>
        <w:b/>
        <w:sz w:val="18"/>
      </w:rPr>
      <w:tab/>
    </w:r>
    <w:r>
      <w:t>GE.23-15040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2D6F" w14:textId="59F1C2BC" w:rsidR="005724A8" w:rsidRPr="005724A8" w:rsidRDefault="005724A8" w:rsidP="005724A8">
    <w:pPr>
      <w:pStyle w:val="a8"/>
      <w:tabs>
        <w:tab w:val="clear" w:pos="9639"/>
        <w:tab w:val="right" w:pos="9638"/>
      </w:tabs>
      <w:rPr>
        <w:b/>
        <w:sz w:val="18"/>
      </w:rPr>
    </w:pPr>
    <w:r>
      <w:t>GE.23-15040</w:t>
    </w:r>
    <w:r>
      <w:tab/>
    </w:r>
    <w:r w:rsidRPr="005724A8">
      <w:rPr>
        <w:b/>
        <w:sz w:val="18"/>
      </w:rPr>
      <w:fldChar w:fldCharType="begin"/>
    </w:r>
    <w:r w:rsidRPr="005724A8">
      <w:rPr>
        <w:b/>
        <w:sz w:val="18"/>
      </w:rPr>
      <w:instrText xml:space="preserve"> PAGE  \* MERGEFORMAT </w:instrText>
    </w:r>
    <w:r w:rsidRPr="005724A8">
      <w:rPr>
        <w:b/>
        <w:sz w:val="18"/>
      </w:rPr>
      <w:fldChar w:fldCharType="separate"/>
    </w:r>
    <w:r w:rsidRPr="005724A8">
      <w:rPr>
        <w:b/>
        <w:noProof/>
        <w:sz w:val="18"/>
      </w:rPr>
      <w:t>3</w:t>
    </w:r>
    <w:r w:rsidRPr="005724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5DBA" w14:textId="4431B6B3" w:rsidR="00042B72" w:rsidRPr="00C313C7" w:rsidRDefault="005724A8" w:rsidP="005724A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067C1E" wp14:editId="094BC3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A75B2B" wp14:editId="3DF22C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3C7">
      <w:rPr>
        <w:lang w:val="en-US"/>
      </w:rPr>
      <w:t xml:space="preserve">   070823   150823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128E" w14:textId="77777777" w:rsidR="004761D7" w:rsidRPr="001075E9" w:rsidRDefault="004761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940D72" w14:textId="77777777" w:rsidR="004761D7" w:rsidRDefault="004761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9B7" w14:textId="7639E76A" w:rsidR="005724A8" w:rsidRPr="005724A8" w:rsidRDefault="005724A8">
    <w:pPr>
      <w:pStyle w:val="a5"/>
    </w:pPr>
    <w:fldSimple w:instr=" TITLE  \* MERGEFORMAT ">
      <w:r w:rsidR="00DB3FC5">
        <w:t>ECE/TRANS/WP.11/2023/5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16A3" w14:textId="25F501C0" w:rsidR="005724A8" w:rsidRPr="005724A8" w:rsidRDefault="005724A8" w:rsidP="005724A8">
    <w:pPr>
      <w:pStyle w:val="a5"/>
      <w:jc w:val="right"/>
    </w:pPr>
    <w:fldSimple w:instr=" TITLE  \* MERGEFORMAT ">
      <w:r w:rsidR="00DB3FC5">
        <w:t>ECE/TRANS/WP.11/2023/5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92028900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61D7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4A8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7C91"/>
    <w:rsid w:val="00BC18B2"/>
    <w:rsid w:val="00BD33EE"/>
    <w:rsid w:val="00BE1CC7"/>
    <w:rsid w:val="00C106D6"/>
    <w:rsid w:val="00C119AE"/>
    <w:rsid w:val="00C313C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3FC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96632"/>
  <w15:docId w15:val="{3A59662E-384C-41A1-90A9-193E730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724A8"/>
    <w:rPr>
      <w:lang w:val="ru-RU" w:eastAsia="en-US"/>
    </w:rPr>
  </w:style>
  <w:style w:type="character" w:customStyle="1" w:styleId="HChGChar">
    <w:name w:val="_ H _Ch_G Char"/>
    <w:link w:val="HChG"/>
    <w:rsid w:val="005724A8"/>
    <w:rPr>
      <w:b/>
      <w:sz w:val="28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724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24A8"/>
    <w:pPr>
      <w:widowControl w:val="0"/>
      <w:suppressAutoHyphens w:val="0"/>
      <w:autoSpaceDE w:val="0"/>
      <w:autoSpaceDN w:val="0"/>
      <w:spacing w:line="240" w:lineRule="auto"/>
      <w:ind w:left="200"/>
    </w:pPr>
    <w:rPr>
      <w:rFonts w:eastAsia="Times New Roman" w:cs="Times New Roma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0411B-62EB-41F4-B11D-4CDF00F55C97}"/>
</file>

<file path=customXml/itemProps2.xml><?xml version="1.0" encoding="utf-8"?>
<ds:datastoreItem xmlns:ds="http://schemas.openxmlformats.org/officeDocument/2006/customXml" ds:itemID="{6AC2762E-6908-4737-97B6-4C15A24404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505</Words>
  <Characters>3667</Characters>
  <Application>Microsoft Office Word</Application>
  <DocSecurity>0</DocSecurity>
  <Lines>94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ECE/TRANS/WP.11/2023/5</dc:title>
  <dc:subject/>
  <dc:creator>Larisa MAYKOVSKAYA</dc:creator>
  <cp:keywords/>
  <cp:lastModifiedBy>Larisa MAYKOVSKAYA</cp:lastModifiedBy>
  <cp:revision>3</cp:revision>
  <cp:lastPrinted>2023-08-15T08:32:00Z</cp:lastPrinted>
  <dcterms:created xsi:type="dcterms:W3CDTF">2023-08-15T08:32:00Z</dcterms:created>
  <dcterms:modified xsi:type="dcterms:W3CDTF">2023-08-15T08:32:00Z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