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2717B7" w14:textId="77777777" w:rsidTr="00B20551">
        <w:trPr>
          <w:cantSplit/>
          <w:trHeight w:hRule="exact" w:val="851"/>
        </w:trPr>
        <w:tc>
          <w:tcPr>
            <w:tcW w:w="1276" w:type="dxa"/>
            <w:tcBorders>
              <w:bottom w:val="single" w:sz="4" w:space="0" w:color="auto"/>
            </w:tcBorders>
            <w:vAlign w:val="bottom"/>
          </w:tcPr>
          <w:p w14:paraId="6051E785" w14:textId="77777777" w:rsidR="009E6CB7" w:rsidRDefault="009E6CB7" w:rsidP="00B20551">
            <w:pPr>
              <w:spacing w:after="80"/>
            </w:pPr>
          </w:p>
        </w:tc>
        <w:tc>
          <w:tcPr>
            <w:tcW w:w="2268" w:type="dxa"/>
            <w:tcBorders>
              <w:bottom w:val="single" w:sz="4" w:space="0" w:color="auto"/>
            </w:tcBorders>
            <w:vAlign w:val="bottom"/>
          </w:tcPr>
          <w:p w14:paraId="412BB2D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7957B8" w14:textId="33E3EF08" w:rsidR="009E6CB7" w:rsidRPr="00D47EEA" w:rsidRDefault="002F255E" w:rsidP="002F255E">
            <w:pPr>
              <w:jc w:val="right"/>
            </w:pPr>
            <w:r w:rsidRPr="002F255E">
              <w:rPr>
                <w:sz w:val="40"/>
              </w:rPr>
              <w:t>ECE</w:t>
            </w:r>
            <w:r>
              <w:t>/TRANS/WP.11/2023/9</w:t>
            </w:r>
          </w:p>
        </w:tc>
      </w:tr>
      <w:tr w:rsidR="009E6CB7" w14:paraId="121D068A" w14:textId="77777777" w:rsidTr="00B20551">
        <w:trPr>
          <w:cantSplit/>
          <w:trHeight w:hRule="exact" w:val="2835"/>
        </w:trPr>
        <w:tc>
          <w:tcPr>
            <w:tcW w:w="1276" w:type="dxa"/>
            <w:tcBorders>
              <w:top w:val="single" w:sz="4" w:space="0" w:color="auto"/>
              <w:bottom w:val="single" w:sz="12" w:space="0" w:color="auto"/>
            </w:tcBorders>
          </w:tcPr>
          <w:p w14:paraId="3CC5BA92" w14:textId="77777777" w:rsidR="009E6CB7" w:rsidRDefault="00686A48" w:rsidP="00B20551">
            <w:pPr>
              <w:spacing w:before="120"/>
            </w:pPr>
            <w:r>
              <w:rPr>
                <w:noProof/>
                <w:lang w:val="fr-CH" w:eastAsia="fr-CH"/>
              </w:rPr>
              <w:drawing>
                <wp:inline distT="0" distB="0" distL="0" distR="0" wp14:anchorId="09249965" wp14:editId="5C1D5D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34C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283C96E" w14:textId="77777777" w:rsidR="009E6CB7" w:rsidRDefault="002F255E" w:rsidP="002F255E">
            <w:pPr>
              <w:spacing w:before="240" w:line="240" w:lineRule="exact"/>
            </w:pPr>
            <w:r>
              <w:t>Distr.: General</w:t>
            </w:r>
          </w:p>
          <w:p w14:paraId="7A12574D" w14:textId="7A94BFFD" w:rsidR="002F255E" w:rsidRDefault="004C5044" w:rsidP="002F255E">
            <w:pPr>
              <w:spacing w:line="240" w:lineRule="exact"/>
            </w:pPr>
            <w:r>
              <w:t>3</w:t>
            </w:r>
            <w:r w:rsidR="009D193D">
              <w:t xml:space="preserve"> August</w:t>
            </w:r>
            <w:r w:rsidR="002F255E">
              <w:t xml:space="preserve"> 2023</w:t>
            </w:r>
          </w:p>
          <w:p w14:paraId="61F00E8B" w14:textId="77777777" w:rsidR="002F255E" w:rsidRDefault="002F255E" w:rsidP="002F255E">
            <w:pPr>
              <w:spacing w:line="240" w:lineRule="exact"/>
            </w:pPr>
          </w:p>
          <w:p w14:paraId="15F9256A" w14:textId="516AD172" w:rsidR="002F255E" w:rsidRDefault="002F255E" w:rsidP="002F255E">
            <w:pPr>
              <w:spacing w:line="240" w:lineRule="exact"/>
            </w:pPr>
            <w:r>
              <w:t>Original: English</w:t>
            </w:r>
          </w:p>
        </w:tc>
      </w:tr>
    </w:tbl>
    <w:p w14:paraId="612A80E6" w14:textId="77777777" w:rsidR="002F255E" w:rsidRDefault="002F255E" w:rsidP="00C411EB">
      <w:pPr>
        <w:spacing w:before="120"/>
        <w:rPr>
          <w:b/>
          <w:sz w:val="28"/>
          <w:szCs w:val="28"/>
        </w:rPr>
      </w:pPr>
      <w:r w:rsidRPr="007F5683">
        <w:rPr>
          <w:b/>
          <w:sz w:val="28"/>
          <w:szCs w:val="28"/>
        </w:rPr>
        <w:t>Economic Commission for Europe</w:t>
      </w:r>
    </w:p>
    <w:p w14:paraId="369FD5BE" w14:textId="77777777" w:rsidR="002F255E" w:rsidRDefault="002F255E" w:rsidP="00C411EB">
      <w:pPr>
        <w:spacing w:before="120"/>
        <w:rPr>
          <w:sz w:val="28"/>
          <w:szCs w:val="28"/>
        </w:rPr>
      </w:pPr>
      <w:r>
        <w:rPr>
          <w:sz w:val="28"/>
          <w:szCs w:val="28"/>
        </w:rPr>
        <w:t>Inland Transport Committee</w:t>
      </w:r>
    </w:p>
    <w:p w14:paraId="2CD799DD" w14:textId="77777777" w:rsidR="002F255E" w:rsidRDefault="002F255E" w:rsidP="00C411EB">
      <w:pPr>
        <w:spacing w:before="120"/>
        <w:rPr>
          <w:b/>
          <w:sz w:val="24"/>
          <w:szCs w:val="24"/>
        </w:rPr>
      </w:pPr>
      <w:r>
        <w:rPr>
          <w:b/>
          <w:sz w:val="24"/>
          <w:szCs w:val="24"/>
        </w:rPr>
        <w:t>Working Party on the Transport of Perishable Foodstuffs</w:t>
      </w:r>
    </w:p>
    <w:p w14:paraId="663683D5" w14:textId="5D36380F" w:rsidR="002F255E" w:rsidRPr="008D7010" w:rsidRDefault="002F255E" w:rsidP="00C411EB">
      <w:pPr>
        <w:spacing w:before="120"/>
        <w:rPr>
          <w:b/>
        </w:rPr>
      </w:pPr>
      <w:r>
        <w:rPr>
          <w:b/>
        </w:rPr>
        <w:t xml:space="preserve">Eightieth </w:t>
      </w:r>
      <w:r w:rsidRPr="008D7010">
        <w:rPr>
          <w:b/>
        </w:rPr>
        <w:t>session</w:t>
      </w:r>
    </w:p>
    <w:p w14:paraId="41F12E34" w14:textId="77777777" w:rsidR="002F255E" w:rsidRDefault="002F255E" w:rsidP="002F255E">
      <w:r w:rsidRPr="008D7010">
        <w:t xml:space="preserve">Geneva, </w:t>
      </w:r>
      <w:r>
        <w:t>24-27 October 2023</w:t>
      </w:r>
    </w:p>
    <w:p w14:paraId="5C865A94" w14:textId="33728CF4" w:rsidR="002F255E" w:rsidRDefault="002F255E" w:rsidP="002F255E">
      <w:pPr>
        <w:rPr>
          <w:lang w:val="en-US"/>
        </w:rPr>
      </w:pPr>
      <w:r>
        <w:rPr>
          <w:lang w:val="en-US"/>
        </w:rPr>
        <w:t>Item 4 (f) of the provisional agenda</w:t>
      </w:r>
    </w:p>
    <w:p w14:paraId="294DC9DE" w14:textId="6EABB194" w:rsidR="002F255E" w:rsidRPr="002F255E" w:rsidRDefault="002F255E" w:rsidP="002F255E">
      <w:pPr>
        <w:rPr>
          <w:b/>
          <w:bCs/>
        </w:rPr>
      </w:pPr>
      <w:r w:rsidRPr="002F255E">
        <w:rPr>
          <w:b/>
          <w:bCs/>
        </w:rPr>
        <w:t xml:space="preserve">Status and implementation of the Agreement on the </w:t>
      </w:r>
      <w:r w:rsidRPr="002F255E">
        <w:rPr>
          <w:b/>
          <w:bCs/>
        </w:rPr>
        <w:br/>
        <w:t xml:space="preserve">International Carriage of Perishable Foodstuffs and </w:t>
      </w:r>
      <w:r w:rsidRPr="002F255E">
        <w:rPr>
          <w:b/>
          <w:bCs/>
        </w:rPr>
        <w:br/>
        <w:t>on the Special Equipment to be Used for such Carriage (ATP):</w:t>
      </w:r>
    </w:p>
    <w:p w14:paraId="582F331B" w14:textId="4C96304D" w:rsidR="001C6663" w:rsidRDefault="002F255E" w:rsidP="00C411EB">
      <w:pPr>
        <w:rPr>
          <w:b/>
          <w:bCs/>
        </w:rPr>
      </w:pPr>
      <w:r w:rsidRPr="002F255E">
        <w:rPr>
          <w:b/>
          <w:bCs/>
        </w:rPr>
        <w:t>interpretation of ATP</w:t>
      </w:r>
    </w:p>
    <w:p w14:paraId="5C48358D" w14:textId="40591C47" w:rsidR="002F255E" w:rsidRDefault="002F255E" w:rsidP="002F255E">
      <w:pPr>
        <w:pStyle w:val="HChG"/>
      </w:pPr>
      <w:r>
        <w:tab/>
      </w:r>
      <w:r>
        <w:tab/>
        <w:t>Interpretation</w:t>
      </w:r>
      <w:r>
        <w:rPr>
          <w:spacing w:val="-11"/>
        </w:rPr>
        <w:t xml:space="preserve"> </w:t>
      </w:r>
      <w:r>
        <w:rPr>
          <w:spacing w:val="-2"/>
        </w:rPr>
        <w:t>questions</w:t>
      </w:r>
    </w:p>
    <w:p w14:paraId="593B4653" w14:textId="03A4A325" w:rsidR="002F255E" w:rsidRDefault="002F255E" w:rsidP="002F255E">
      <w:pPr>
        <w:pStyle w:val="H1G"/>
      </w:pPr>
      <w:r>
        <w:tab/>
      </w:r>
      <w:r>
        <w:tab/>
        <w:t>Transmitted</w:t>
      </w:r>
      <w:r>
        <w:rPr>
          <w:spacing w:val="-7"/>
        </w:rPr>
        <w:t xml:space="preserve"> </w:t>
      </w:r>
      <w:r>
        <w:t>by</w:t>
      </w:r>
      <w:r>
        <w:rPr>
          <w:spacing w:val="-9"/>
        </w:rPr>
        <w:t xml:space="preserve"> </w:t>
      </w:r>
      <w:r>
        <w:t>the</w:t>
      </w:r>
      <w:r>
        <w:rPr>
          <w:spacing w:val="-4"/>
        </w:rPr>
        <w:t xml:space="preserve"> </w:t>
      </w:r>
      <w:r>
        <w:t>Government</w:t>
      </w:r>
      <w:r>
        <w:rPr>
          <w:spacing w:val="-3"/>
        </w:rPr>
        <w:t xml:space="preserve"> </w:t>
      </w:r>
      <w:r>
        <w:t>of</w:t>
      </w:r>
      <w:r>
        <w:rPr>
          <w:spacing w:val="-5"/>
        </w:rPr>
        <w:t xml:space="preserve"> </w:t>
      </w:r>
      <w:r>
        <w:rPr>
          <w:spacing w:val="-2"/>
        </w:rPr>
        <w:t>Finland</w:t>
      </w:r>
    </w:p>
    <w:p w14:paraId="6048D3B1" w14:textId="0B309A5D" w:rsidR="002F255E" w:rsidRDefault="002F255E" w:rsidP="002F255E">
      <w:pPr>
        <w:pStyle w:val="SingleTxtG"/>
      </w:pPr>
      <w:r>
        <w:t>1.</w:t>
      </w:r>
      <w:r>
        <w:tab/>
        <w:t>Does</w:t>
      </w:r>
      <w:r>
        <w:rPr>
          <w:spacing w:val="-4"/>
        </w:rPr>
        <w:t xml:space="preserve"> </w:t>
      </w:r>
      <w:r>
        <w:t>the</w:t>
      </w:r>
      <w:r>
        <w:rPr>
          <w:spacing w:val="-4"/>
        </w:rPr>
        <w:t xml:space="preserve"> </w:t>
      </w:r>
      <w:r>
        <w:t>ATP</w:t>
      </w:r>
      <w:r>
        <w:rPr>
          <w:spacing w:val="-3"/>
        </w:rPr>
        <w:t xml:space="preserve"> </w:t>
      </w:r>
      <w:r>
        <w:t>Agreement</w:t>
      </w:r>
      <w:r>
        <w:rPr>
          <w:spacing w:val="-1"/>
        </w:rPr>
        <w:t xml:space="preserve"> </w:t>
      </w:r>
      <w:r>
        <w:t>apply</w:t>
      </w:r>
      <w:r>
        <w:rPr>
          <w:spacing w:val="-4"/>
        </w:rPr>
        <w:t xml:space="preserve"> </w:t>
      </w:r>
      <w:r>
        <w:t>to</w:t>
      </w:r>
      <w:r>
        <w:rPr>
          <w:spacing w:val="-4"/>
        </w:rPr>
        <w:t xml:space="preserve"> </w:t>
      </w:r>
      <w:r>
        <w:t>the</w:t>
      </w:r>
      <w:r>
        <w:rPr>
          <w:spacing w:val="-4"/>
        </w:rPr>
        <w:t xml:space="preserve"> </w:t>
      </w:r>
      <w:r>
        <w:t>transport</w:t>
      </w:r>
      <w:r>
        <w:rPr>
          <w:spacing w:val="-3"/>
        </w:rPr>
        <w:t xml:space="preserve"> </w:t>
      </w:r>
      <w:r>
        <w:t>of</w:t>
      </w:r>
      <w:r>
        <w:rPr>
          <w:spacing w:val="-3"/>
        </w:rPr>
        <w:t xml:space="preserve"> </w:t>
      </w:r>
      <w:r>
        <w:t>foodstuffs</w:t>
      </w:r>
      <w:r>
        <w:rPr>
          <w:spacing w:val="-4"/>
        </w:rPr>
        <w:t xml:space="preserve"> </w:t>
      </w:r>
      <w:r>
        <w:t>equivalent</w:t>
      </w:r>
      <w:r>
        <w:rPr>
          <w:spacing w:val="-1"/>
        </w:rPr>
        <w:t xml:space="preserve"> </w:t>
      </w:r>
      <w:r>
        <w:t>to</w:t>
      </w:r>
      <w:r>
        <w:rPr>
          <w:spacing w:val="-3"/>
        </w:rPr>
        <w:t xml:space="preserve"> </w:t>
      </w:r>
      <w:r>
        <w:t>private</w:t>
      </w:r>
      <w:r>
        <w:rPr>
          <w:spacing w:val="-2"/>
        </w:rPr>
        <w:t xml:space="preserve"> </w:t>
      </w:r>
      <w:r>
        <w:t>use,</w:t>
      </w:r>
      <w:r>
        <w:rPr>
          <w:spacing w:val="-3"/>
        </w:rPr>
        <w:t xml:space="preserve"> </w:t>
      </w:r>
      <w:r>
        <w:t>for</w:t>
      </w:r>
      <w:r>
        <w:rPr>
          <w:spacing w:val="-3"/>
        </w:rPr>
        <w:t xml:space="preserve"> </w:t>
      </w:r>
      <w:r>
        <w:t>example the transport of frozen and chilled foodstuffs for Rescue Services' or the Defense Forces' own use abroad in international exercises or in peacekeeping and crisis management operations?</w:t>
      </w:r>
    </w:p>
    <w:p w14:paraId="64EE0950" w14:textId="375D2179" w:rsidR="002F255E" w:rsidRPr="00EE5587" w:rsidRDefault="002F255E" w:rsidP="002F255E">
      <w:pPr>
        <w:pStyle w:val="SingleTxtG"/>
        <w:rPr>
          <w:iCs/>
        </w:rPr>
      </w:pPr>
      <w:r>
        <w:t>2.</w:t>
      </w:r>
      <w:r>
        <w:tab/>
        <w:t xml:space="preserve">The introductory clauses of the ATP Agreement state that </w:t>
      </w:r>
      <w:r w:rsidR="00EE5587">
        <w:t>“</w:t>
      </w:r>
      <w:r w:rsidRPr="00EE5587">
        <w:rPr>
          <w:iCs/>
        </w:rPr>
        <w:t>DESIROUS of improving the conditions of preservation</w:t>
      </w:r>
      <w:r w:rsidRPr="00EE5587">
        <w:rPr>
          <w:iCs/>
          <w:spacing w:val="-2"/>
        </w:rPr>
        <w:t xml:space="preserve"> </w:t>
      </w:r>
      <w:r w:rsidRPr="00EE5587">
        <w:rPr>
          <w:iCs/>
        </w:rPr>
        <w:t>of</w:t>
      </w:r>
      <w:r w:rsidRPr="00EE5587">
        <w:rPr>
          <w:iCs/>
          <w:spacing w:val="-3"/>
        </w:rPr>
        <w:t xml:space="preserve"> </w:t>
      </w:r>
      <w:r w:rsidRPr="00EE5587">
        <w:rPr>
          <w:iCs/>
        </w:rPr>
        <w:t>the</w:t>
      </w:r>
      <w:r w:rsidRPr="00EE5587">
        <w:rPr>
          <w:iCs/>
          <w:spacing w:val="-2"/>
        </w:rPr>
        <w:t xml:space="preserve"> </w:t>
      </w:r>
      <w:r w:rsidRPr="00EE5587">
        <w:rPr>
          <w:iCs/>
        </w:rPr>
        <w:t>quality of</w:t>
      </w:r>
      <w:r w:rsidRPr="00EE5587">
        <w:rPr>
          <w:iCs/>
          <w:spacing w:val="-3"/>
        </w:rPr>
        <w:t xml:space="preserve"> </w:t>
      </w:r>
      <w:r w:rsidRPr="00EE5587">
        <w:rPr>
          <w:iCs/>
        </w:rPr>
        <w:t>perishable</w:t>
      </w:r>
      <w:r w:rsidRPr="00EE5587">
        <w:rPr>
          <w:iCs/>
          <w:spacing w:val="-4"/>
        </w:rPr>
        <w:t xml:space="preserve"> </w:t>
      </w:r>
      <w:r w:rsidRPr="00EE5587">
        <w:rPr>
          <w:iCs/>
        </w:rPr>
        <w:t>foodstuffs</w:t>
      </w:r>
      <w:r w:rsidRPr="00EE5587">
        <w:rPr>
          <w:iCs/>
          <w:spacing w:val="-4"/>
        </w:rPr>
        <w:t xml:space="preserve"> </w:t>
      </w:r>
      <w:r w:rsidRPr="00EE5587">
        <w:rPr>
          <w:iCs/>
        </w:rPr>
        <w:t>during</w:t>
      </w:r>
      <w:r w:rsidRPr="00EE5587">
        <w:rPr>
          <w:iCs/>
          <w:spacing w:val="-4"/>
        </w:rPr>
        <w:t xml:space="preserve"> </w:t>
      </w:r>
      <w:r w:rsidRPr="00EE5587">
        <w:rPr>
          <w:iCs/>
        </w:rPr>
        <w:t>their</w:t>
      </w:r>
      <w:r w:rsidRPr="00EE5587">
        <w:rPr>
          <w:iCs/>
          <w:spacing w:val="-3"/>
        </w:rPr>
        <w:t xml:space="preserve"> </w:t>
      </w:r>
      <w:r w:rsidRPr="00EE5587">
        <w:rPr>
          <w:iCs/>
        </w:rPr>
        <w:t>carriage,</w:t>
      </w:r>
      <w:r w:rsidRPr="00EE5587">
        <w:rPr>
          <w:iCs/>
          <w:spacing w:val="-1"/>
        </w:rPr>
        <w:t xml:space="preserve"> </w:t>
      </w:r>
      <w:r w:rsidRPr="00EE5587">
        <w:rPr>
          <w:iCs/>
        </w:rPr>
        <w:t>particularly</w:t>
      </w:r>
      <w:r w:rsidRPr="00EE5587">
        <w:rPr>
          <w:iCs/>
          <w:spacing w:val="-2"/>
        </w:rPr>
        <w:t xml:space="preserve"> </w:t>
      </w:r>
      <w:r w:rsidRPr="00EE5587">
        <w:rPr>
          <w:iCs/>
        </w:rPr>
        <w:t>in</w:t>
      </w:r>
      <w:r w:rsidRPr="00EE5587">
        <w:rPr>
          <w:iCs/>
          <w:spacing w:val="-2"/>
        </w:rPr>
        <w:t xml:space="preserve"> </w:t>
      </w:r>
      <w:r w:rsidRPr="00EE5587">
        <w:rPr>
          <w:iCs/>
        </w:rPr>
        <w:t>international</w:t>
      </w:r>
      <w:r w:rsidRPr="00EE5587">
        <w:rPr>
          <w:iCs/>
          <w:spacing w:val="-3"/>
        </w:rPr>
        <w:t xml:space="preserve"> </w:t>
      </w:r>
      <w:r w:rsidRPr="00EE5587">
        <w:rPr>
          <w:iCs/>
        </w:rPr>
        <w:t>trade</w:t>
      </w:r>
      <w:r w:rsidR="000F64B7">
        <w:rPr>
          <w:iCs/>
        </w:rPr>
        <w:t>”</w:t>
      </w:r>
      <w:r w:rsidRPr="00EE5587">
        <w:rPr>
          <w:iCs/>
        </w:rPr>
        <w:t xml:space="preserve"> and</w:t>
      </w:r>
      <w:r w:rsidRPr="00EE5587">
        <w:rPr>
          <w:iCs/>
          <w:spacing w:val="-2"/>
        </w:rPr>
        <w:t xml:space="preserve"> </w:t>
      </w:r>
      <w:r w:rsidR="000F64B7">
        <w:rPr>
          <w:iCs/>
          <w:spacing w:val="-2"/>
        </w:rPr>
        <w:t>“</w:t>
      </w:r>
      <w:r w:rsidRPr="00EE5587">
        <w:rPr>
          <w:iCs/>
        </w:rPr>
        <w:t>CONSIDERING</w:t>
      </w:r>
      <w:r w:rsidRPr="00EE5587">
        <w:rPr>
          <w:iCs/>
          <w:spacing w:val="-3"/>
        </w:rPr>
        <w:t xml:space="preserve"> </w:t>
      </w:r>
      <w:r w:rsidRPr="00EE5587">
        <w:rPr>
          <w:iCs/>
        </w:rPr>
        <w:t>that</w:t>
      </w:r>
      <w:r w:rsidRPr="00EE5587">
        <w:rPr>
          <w:iCs/>
          <w:spacing w:val="-3"/>
        </w:rPr>
        <w:t xml:space="preserve"> </w:t>
      </w:r>
      <w:r w:rsidRPr="00EE5587">
        <w:rPr>
          <w:iCs/>
        </w:rPr>
        <w:t>the</w:t>
      </w:r>
      <w:r w:rsidRPr="00EE5587">
        <w:rPr>
          <w:iCs/>
          <w:spacing w:val="-4"/>
        </w:rPr>
        <w:t xml:space="preserve"> </w:t>
      </w:r>
      <w:r w:rsidRPr="00EE5587">
        <w:rPr>
          <w:iCs/>
        </w:rPr>
        <w:t>improvement of</w:t>
      </w:r>
      <w:r w:rsidRPr="00EE5587">
        <w:rPr>
          <w:iCs/>
          <w:spacing w:val="-3"/>
        </w:rPr>
        <w:t xml:space="preserve"> </w:t>
      </w:r>
      <w:r w:rsidRPr="00EE5587">
        <w:rPr>
          <w:iCs/>
        </w:rPr>
        <w:t>those</w:t>
      </w:r>
      <w:r w:rsidRPr="00EE5587">
        <w:rPr>
          <w:iCs/>
          <w:spacing w:val="-2"/>
        </w:rPr>
        <w:t xml:space="preserve"> </w:t>
      </w:r>
      <w:r w:rsidRPr="00EE5587">
        <w:rPr>
          <w:iCs/>
        </w:rPr>
        <w:t>conditions</w:t>
      </w:r>
      <w:r w:rsidRPr="00EE5587">
        <w:rPr>
          <w:iCs/>
          <w:spacing w:val="-1"/>
        </w:rPr>
        <w:t xml:space="preserve"> </w:t>
      </w:r>
      <w:r w:rsidRPr="00EE5587">
        <w:rPr>
          <w:iCs/>
        </w:rPr>
        <w:t>is</w:t>
      </w:r>
      <w:r w:rsidRPr="00EE5587">
        <w:rPr>
          <w:iCs/>
          <w:spacing w:val="-4"/>
        </w:rPr>
        <w:t xml:space="preserve"> </w:t>
      </w:r>
      <w:r w:rsidRPr="00EE5587">
        <w:rPr>
          <w:iCs/>
        </w:rPr>
        <w:t>likely</w:t>
      </w:r>
      <w:r w:rsidRPr="00EE5587">
        <w:rPr>
          <w:iCs/>
          <w:spacing w:val="-1"/>
        </w:rPr>
        <w:t xml:space="preserve"> </w:t>
      </w:r>
      <w:r w:rsidRPr="00EE5587">
        <w:rPr>
          <w:iCs/>
        </w:rPr>
        <w:t>to</w:t>
      </w:r>
      <w:r w:rsidRPr="00EE5587">
        <w:rPr>
          <w:iCs/>
          <w:spacing w:val="-2"/>
        </w:rPr>
        <w:t xml:space="preserve"> </w:t>
      </w:r>
      <w:r w:rsidRPr="00EE5587">
        <w:rPr>
          <w:iCs/>
        </w:rPr>
        <w:t>promote</w:t>
      </w:r>
      <w:r w:rsidRPr="00EE5587">
        <w:rPr>
          <w:iCs/>
          <w:spacing w:val="-4"/>
        </w:rPr>
        <w:t xml:space="preserve"> </w:t>
      </w:r>
      <w:r w:rsidRPr="00EE5587">
        <w:rPr>
          <w:iCs/>
        </w:rPr>
        <w:t>the</w:t>
      </w:r>
      <w:r w:rsidRPr="00EE5587">
        <w:rPr>
          <w:iCs/>
          <w:spacing w:val="-4"/>
        </w:rPr>
        <w:t xml:space="preserve"> </w:t>
      </w:r>
      <w:r w:rsidRPr="00EE5587">
        <w:rPr>
          <w:iCs/>
        </w:rPr>
        <w:t>expansion</w:t>
      </w:r>
      <w:r w:rsidRPr="00EE5587">
        <w:rPr>
          <w:iCs/>
          <w:spacing w:val="-2"/>
        </w:rPr>
        <w:t xml:space="preserve"> </w:t>
      </w:r>
      <w:r w:rsidRPr="00EE5587">
        <w:rPr>
          <w:iCs/>
        </w:rPr>
        <w:t>of</w:t>
      </w:r>
      <w:r w:rsidRPr="00EE5587">
        <w:rPr>
          <w:iCs/>
          <w:spacing w:val="-3"/>
        </w:rPr>
        <w:t xml:space="preserve"> </w:t>
      </w:r>
      <w:r w:rsidRPr="00EE5587">
        <w:rPr>
          <w:iCs/>
        </w:rPr>
        <w:t>trade in perishable foodstuffs.</w:t>
      </w:r>
      <w:r w:rsidR="00EE5587" w:rsidRPr="00EE5587">
        <w:rPr>
          <w:iCs/>
        </w:rPr>
        <w:t>”</w:t>
      </w:r>
    </w:p>
    <w:p w14:paraId="1AE81E01" w14:textId="6D26AD03" w:rsidR="002F255E" w:rsidRDefault="002F255E" w:rsidP="002F255E">
      <w:pPr>
        <w:pStyle w:val="SingleTxtG"/>
      </w:pPr>
      <w:r>
        <w:t>3.</w:t>
      </w:r>
      <w:r>
        <w:tab/>
        <w:t>However,</w:t>
      </w:r>
      <w:r>
        <w:rPr>
          <w:spacing w:val="-1"/>
        </w:rPr>
        <w:t xml:space="preserve"> </w:t>
      </w:r>
      <w:r>
        <w:t>Article</w:t>
      </w:r>
      <w:r>
        <w:rPr>
          <w:spacing w:val="-3"/>
        </w:rPr>
        <w:t xml:space="preserve"> </w:t>
      </w:r>
      <w:r>
        <w:t>3</w:t>
      </w:r>
      <w:r>
        <w:rPr>
          <w:spacing w:val="-5"/>
        </w:rPr>
        <w:t xml:space="preserve"> </w:t>
      </w:r>
      <w:r>
        <w:t>states</w:t>
      </w:r>
      <w:r>
        <w:rPr>
          <w:spacing w:val="-3"/>
        </w:rPr>
        <w:t xml:space="preserve"> </w:t>
      </w:r>
      <w:r>
        <w:t xml:space="preserve">that </w:t>
      </w:r>
      <w:r w:rsidR="00EE5587" w:rsidRPr="00EE5587">
        <w:t>“</w:t>
      </w:r>
      <w:r w:rsidRPr="00731DBD">
        <w:t>The</w:t>
      </w:r>
      <w:r w:rsidRPr="00731DBD">
        <w:rPr>
          <w:spacing w:val="-5"/>
        </w:rPr>
        <w:t xml:space="preserve"> </w:t>
      </w:r>
      <w:r w:rsidRPr="00731DBD">
        <w:t>provisions</w:t>
      </w:r>
      <w:r w:rsidRPr="00731DBD">
        <w:rPr>
          <w:spacing w:val="-2"/>
        </w:rPr>
        <w:t xml:space="preserve"> </w:t>
      </w:r>
      <w:r w:rsidRPr="00731DBD">
        <w:t>of</w:t>
      </w:r>
      <w:r w:rsidRPr="00731DBD">
        <w:rPr>
          <w:spacing w:val="-4"/>
        </w:rPr>
        <w:t xml:space="preserve"> </w:t>
      </w:r>
      <w:r w:rsidRPr="00731DBD">
        <w:t>article</w:t>
      </w:r>
      <w:r w:rsidRPr="00731DBD">
        <w:rPr>
          <w:spacing w:val="-3"/>
        </w:rPr>
        <w:t xml:space="preserve"> </w:t>
      </w:r>
      <w:r w:rsidRPr="00731DBD">
        <w:t>4</w:t>
      </w:r>
      <w:r w:rsidRPr="00731DBD">
        <w:rPr>
          <w:spacing w:val="-2"/>
        </w:rPr>
        <w:t xml:space="preserve"> </w:t>
      </w:r>
      <w:r w:rsidRPr="00731DBD">
        <w:t>of</w:t>
      </w:r>
      <w:r w:rsidRPr="00731DBD">
        <w:rPr>
          <w:spacing w:val="-4"/>
        </w:rPr>
        <w:t xml:space="preserve"> </w:t>
      </w:r>
      <w:r w:rsidRPr="00731DBD">
        <w:t>this</w:t>
      </w:r>
      <w:r w:rsidRPr="00731DBD">
        <w:rPr>
          <w:spacing w:val="-2"/>
        </w:rPr>
        <w:t xml:space="preserve"> </w:t>
      </w:r>
      <w:r w:rsidRPr="00731DBD">
        <w:t>Agreement</w:t>
      </w:r>
      <w:r w:rsidRPr="00731DBD">
        <w:rPr>
          <w:spacing w:val="-2"/>
        </w:rPr>
        <w:t xml:space="preserve"> </w:t>
      </w:r>
      <w:r w:rsidRPr="00731DBD">
        <w:t>shall</w:t>
      </w:r>
      <w:r w:rsidRPr="00731DBD">
        <w:rPr>
          <w:spacing w:val="-3"/>
        </w:rPr>
        <w:t xml:space="preserve"> </w:t>
      </w:r>
      <w:r w:rsidRPr="00731DBD">
        <w:t>apply</w:t>
      </w:r>
      <w:r w:rsidRPr="00731DBD">
        <w:rPr>
          <w:spacing w:val="-5"/>
        </w:rPr>
        <w:t xml:space="preserve"> </w:t>
      </w:r>
      <w:r w:rsidRPr="00731DBD">
        <w:t>to</w:t>
      </w:r>
      <w:r w:rsidRPr="00731DBD">
        <w:rPr>
          <w:spacing w:val="-5"/>
        </w:rPr>
        <w:t xml:space="preserve"> </w:t>
      </w:r>
      <w:r w:rsidRPr="00731DBD">
        <w:t>all</w:t>
      </w:r>
      <w:r w:rsidRPr="00731DBD">
        <w:rPr>
          <w:spacing w:val="-3"/>
        </w:rPr>
        <w:t xml:space="preserve"> </w:t>
      </w:r>
      <w:r w:rsidRPr="00731DBD">
        <w:t>carriage, whether for hire or reward or for own account … of foodstuffs</w:t>
      </w:r>
      <w:r w:rsidRPr="00EE5587">
        <w:t>.</w:t>
      </w:r>
      <w:r w:rsidR="00EE5587" w:rsidRPr="00EE5587">
        <w:t>”</w:t>
      </w:r>
      <w:r>
        <w:t xml:space="preserve"> This leaves unclear, whether there is a level of commerce where equipment must be approved in accordance with the ATP Agreement.</w:t>
      </w:r>
    </w:p>
    <w:p w14:paraId="55D3BAF8" w14:textId="248468AE" w:rsidR="002F255E" w:rsidRDefault="002F255E" w:rsidP="002F255E">
      <w:pPr>
        <w:pStyle w:val="SingleTxtG"/>
      </w:pPr>
      <w:r>
        <w:t>4.</w:t>
      </w:r>
      <w:r>
        <w:tab/>
        <w:t>The</w:t>
      </w:r>
      <w:r>
        <w:rPr>
          <w:spacing w:val="-4"/>
        </w:rPr>
        <w:t xml:space="preserve"> </w:t>
      </w:r>
      <w:r>
        <w:t>purpose</w:t>
      </w:r>
      <w:r>
        <w:rPr>
          <w:spacing w:val="-4"/>
        </w:rPr>
        <w:t xml:space="preserve"> </w:t>
      </w:r>
      <w:r>
        <w:t>of the</w:t>
      </w:r>
      <w:r>
        <w:rPr>
          <w:spacing w:val="-4"/>
        </w:rPr>
        <w:t xml:space="preserve"> </w:t>
      </w:r>
      <w:r>
        <w:t>treaty</w:t>
      </w:r>
      <w:r>
        <w:rPr>
          <w:spacing w:val="-3"/>
        </w:rPr>
        <w:t xml:space="preserve"> </w:t>
      </w:r>
      <w:r>
        <w:t>is</w:t>
      </w:r>
      <w:r>
        <w:rPr>
          <w:spacing w:val="-1"/>
        </w:rPr>
        <w:t xml:space="preserve"> </w:t>
      </w:r>
      <w:r>
        <w:t>described</w:t>
      </w:r>
      <w:r>
        <w:rPr>
          <w:spacing w:val="-4"/>
        </w:rPr>
        <w:t xml:space="preserve"> </w:t>
      </w:r>
      <w:r>
        <w:t>in</w:t>
      </w:r>
      <w:r>
        <w:rPr>
          <w:spacing w:val="-2"/>
        </w:rPr>
        <w:t xml:space="preserve"> </w:t>
      </w:r>
      <w:r>
        <w:t>the</w:t>
      </w:r>
      <w:r>
        <w:rPr>
          <w:spacing w:val="-4"/>
        </w:rPr>
        <w:t xml:space="preserve"> </w:t>
      </w:r>
      <w:r>
        <w:t>introductory</w:t>
      </w:r>
      <w:r>
        <w:rPr>
          <w:spacing w:val="-4"/>
        </w:rPr>
        <w:t xml:space="preserve"> </w:t>
      </w:r>
      <w:r>
        <w:t>clauses</w:t>
      </w:r>
      <w:r>
        <w:rPr>
          <w:spacing w:val="-2"/>
        </w:rPr>
        <w:t xml:space="preserve"> </w:t>
      </w:r>
      <w:r>
        <w:t>of</w:t>
      </w:r>
      <w:r>
        <w:rPr>
          <w:spacing w:val="-3"/>
        </w:rPr>
        <w:t xml:space="preserve"> </w:t>
      </w:r>
      <w:r>
        <w:t>the</w:t>
      </w:r>
      <w:r>
        <w:rPr>
          <w:spacing w:val="-4"/>
        </w:rPr>
        <w:t xml:space="preserve"> </w:t>
      </w:r>
      <w:r>
        <w:t>treaty</w:t>
      </w:r>
      <w:r>
        <w:rPr>
          <w:spacing w:val="-4"/>
        </w:rPr>
        <w:t xml:space="preserve"> </w:t>
      </w:r>
      <w:r>
        <w:t>and</w:t>
      </w:r>
      <w:r>
        <w:rPr>
          <w:spacing w:val="-2"/>
        </w:rPr>
        <w:t xml:space="preserve"> </w:t>
      </w:r>
      <w:r>
        <w:t>the</w:t>
      </w:r>
      <w:r>
        <w:rPr>
          <w:spacing w:val="-4"/>
        </w:rPr>
        <w:t xml:space="preserve"> </w:t>
      </w:r>
      <w:r>
        <w:t>clauses</w:t>
      </w:r>
      <w:r>
        <w:rPr>
          <w:spacing w:val="-4"/>
        </w:rPr>
        <w:t xml:space="preserve"> </w:t>
      </w:r>
      <w:r>
        <w:t>indicate the treaty to be meant for commercial transport. Foodstuffs transported by Rescue Services or the Defence Forces are meant to be consumed by their own personnel and not be made subject to trade or in other ways available for the public. Finland interprets that the agreement does not apply in these cases and transport of foodstuffs by Rescue Services or the Defence Forces are excluded from the treaty.</w:t>
      </w:r>
    </w:p>
    <w:p w14:paraId="36B8952F" w14:textId="747FDF30" w:rsidR="002F255E" w:rsidRDefault="002F255E" w:rsidP="002F255E">
      <w:pPr>
        <w:pStyle w:val="SingleTxtG"/>
      </w:pPr>
      <w:r>
        <w:t>5.</w:t>
      </w:r>
      <w:r>
        <w:tab/>
        <w:t>As</w:t>
      </w:r>
      <w:r>
        <w:rPr>
          <w:spacing w:val="-4"/>
        </w:rPr>
        <w:t xml:space="preserve"> </w:t>
      </w:r>
      <w:r>
        <w:t>the</w:t>
      </w:r>
      <w:r>
        <w:rPr>
          <w:spacing w:val="-4"/>
        </w:rPr>
        <w:t xml:space="preserve"> </w:t>
      </w:r>
      <w:r>
        <w:t>interpretation</w:t>
      </w:r>
      <w:r>
        <w:rPr>
          <w:spacing w:val="-2"/>
        </w:rPr>
        <w:t xml:space="preserve"> </w:t>
      </w:r>
      <w:r>
        <w:t>still</w:t>
      </w:r>
      <w:r>
        <w:rPr>
          <w:spacing w:val="-2"/>
        </w:rPr>
        <w:t xml:space="preserve"> </w:t>
      </w:r>
      <w:r>
        <w:t>seems</w:t>
      </w:r>
      <w:r>
        <w:rPr>
          <w:spacing w:val="-1"/>
        </w:rPr>
        <w:t xml:space="preserve"> </w:t>
      </w:r>
      <w:r>
        <w:t>unclear,</w:t>
      </w:r>
      <w:r>
        <w:rPr>
          <w:spacing w:val="-3"/>
        </w:rPr>
        <w:t xml:space="preserve"> </w:t>
      </w:r>
      <w:r>
        <w:t>the</w:t>
      </w:r>
      <w:r>
        <w:rPr>
          <w:spacing w:val="-4"/>
        </w:rPr>
        <w:t xml:space="preserve"> </w:t>
      </w:r>
      <w:r>
        <w:t>scope</w:t>
      </w:r>
      <w:r>
        <w:rPr>
          <w:spacing w:val="-2"/>
        </w:rPr>
        <w:t xml:space="preserve"> </w:t>
      </w:r>
      <w:r>
        <w:t>of application</w:t>
      </w:r>
      <w:r>
        <w:rPr>
          <w:spacing w:val="-2"/>
        </w:rPr>
        <w:t xml:space="preserve"> </w:t>
      </w:r>
      <w:r>
        <w:t>in</w:t>
      </w:r>
      <w:r>
        <w:rPr>
          <w:spacing w:val="-2"/>
        </w:rPr>
        <w:t xml:space="preserve"> </w:t>
      </w:r>
      <w:r>
        <w:t>Articles</w:t>
      </w:r>
      <w:r>
        <w:rPr>
          <w:spacing w:val="-2"/>
        </w:rPr>
        <w:t xml:space="preserve"> </w:t>
      </w:r>
      <w:r>
        <w:t>3</w:t>
      </w:r>
      <w:r>
        <w:rPr>
          <w:spacing w:val="-1"/>
        </w:rPr>
        <w:t xml:space="preserve"> </w:t>
      </w:r>
      <w:r>
        <w:t>and</w:t>
      </w:r>
      <w:r>
        <w:rPr>
          <w:spacing w:val="-4"/>
        </w:rPr>
        <w:t xml:space="preserve"> </w:t>
      </w:r>
      <w:r>
        <w:t>4</w:t>
      </w:r>
      <w:r>
        <w:rPr>
          <w:spacing w:val="-2"/>
        </w:rPr>
        <w:t xml:space="preserve"> </w:t>
      </w:r>
      <w:r>
        <w:t>of</w:t>
      </w:r>
      <w:r>
        <w:rPr>
          <w:spacing w:val="-3"/>
        </w:rPr>
        <w:t xml:space="preserve"> </w:t>
      </w:r>
      <w:r>
        <w:t>the</w:t>
      </w:r>
      <w:r>
        <w:rPr>
          <w:spacing w:val="-4"/>
        </w:rPr>
        <w:t xml:space="preserve"> </w:t>
      </w:r>
      <w:r>
        <w:t>Treaty should be made subject to clarification</w:t>
      </w:r>
    </w:p>
    <w:p w14:paraId="4D04959E" w14:textId="75977842" w:rsidR="002F255E" w:rsidRDefault="002F255E" w:rsidP="002F255E">
      <w:pPr>
        <w:pStyle w:val="SingleTxtG"/>
      </w:pPr>
    </w:p>
    <w:p w14:paraId="4EED694C" w14:textId="7CF82381" w:rsidR="00EE5587" w:rsidRPr="00EE5587" w:rsidRDefault="00EE5587" w:rsidP="00EE5587">
      <w:pPr>
        <w:spacing w:before="240"/>
        <w:jc w:val="center"/>
        <w:rPr>
          <w:u w:val="single"/>
        </w:rPr>
      </w:pPr>
      <w:r>
        <w:rPr>
          <w:u w:val="single"/>
        </w:rPr>
        <w:tab/>
      </w:r>
      <w:r>
        <w:rPr>
          <w:u w:val="single"/>
        </w:rPr>
        <w:tab/>
      </w:r>
      <w:r>
        <w:rPr>
          <w:u w:val="single"/>
        </w:rPr>
        <w:tab/>
      </w:r>
    </w:p>
    <w:sectPr w:rsidR="00EE5587" w:rsidRPr="00EE5587" w:rsidSect="002F255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98D6" w14:textId="77777777" w:rsidR="003C4219" w:rsidRDefault="003C4219"/>
  </w:endnote>
  <w:endnote w:type="continuationSeparator" w:id="0">
    <w:p w14:paraId="04C12FCD" w14:textId="77777777" w:rsidR="003C4219" w:rsidRDefault="003C4219"/>
  </w:endnote>
  <w:endnote w:type="continuationNotice" w:id="1">
    <w:p w14:paraId="55F55C12" w14:textId="77777777" w:rsidR="003C4219" w:rsidRDefault="003C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AAEE" w14:textId="2BF7CA95" w:rsidR="002F255E" w:rsidRPr="002F255E" w:rsidRDefault="002F255E" w:rsidP="002F255E">
    <w:pPr>
      <w:pStyle w:val="Footer"/>
      <w:tabs>
        <w:tab w:val="right" w:pos="9638"/>
      </w:tabs>
      <w:rPr>
        <w:sz w:val="18"/>
      </w:rPr>
    </w:pPr>
    <w:r w:rsidRPr="002F255E">
      <w:rPr>
        <w:b/>
        <w:sz w:val="18"/>
      </w:rPr>
      <w:fldChar w:fldCharType="begin"/>
    </w:r>
    <w:r w:rsidRPr="002F255E">
      <w:rPr>
        <w:b/>
        <w:sz w:val="18"/>
      </w:rPr>
      <w:instrText xml:space="preserve"> PAGE  \* MERGEFORMAT </w:instrText>
    </w:r>
    <w:r w:rsidRPr="002F255E">
      <w:rPr>
        <w:b/>
        <w:sz w:val="18"/>
      </w:rPr>
      <w:fldChar w:fldCharType="separate"/>
    </w:r>
    <w:r w:rsidRPr="002F255E">
      <w:rPr>
        <w:b/>
        <w:noProof/>
        <w:sz w:val="18"/>
      </w:rPr>
      <w:t>2</w:t>
    </w:r>
    <w:r w:rsidRPr="002F25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055D" w14:textId="25F9A7C3" w:rsidR="002F255E" w:rsidRPr="002F255E" w:rsidRDefault="002F255E" w:rsidP="002F255E">
    <w:pPr>
      <w:pStyle w:val="Footer"/>
      <w:tabs>
        <w:tab w:val="right" w:pos="9638"/>
      </w:tabs>
      <w:rPr>
        <w:b/>
        <w:sz w:val="18"/>
      </w:rPr>
    </w:pPr>
    <w:r>
      <w:tab/>
    </w:r>
    <w:r w:rsidRPr="002F255E">
      <w:rPr>
        <w:b/>
        <w:sz w:val="18"/>
      </w:rPr>
      <w:fldChar w:fldCharType="begin"/>
    </w:r>
    <w:r w:rsidRPr="002F255E">
      <w:rPr>
        <w:b/>
        <w:sz w:val="18"/>
      </w:rPr>
      <w:instrText xml:space="preserve"> PAGE  \* MERGEFORMAT </w:instrText>
    </w:r>
    <w:r w:rsidRPr="002F255E">
      <w:rPr>
        <w:b/>
        <w:sz w:val="18"/>
      </w:rPr>
      <w:fldChar w:fldCharType="separate"/>
    </w:r>
    <w:r w:rsidRPr="002F255E">
      <w:rPr>
        <w:b/>
        <w:noProof/>
        <w:sz w:val="18"/>
      </w:rPr>
      <w:t>3</w:t>
    </w:r>
    <w:r w:rsidRPr="002F25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29CF" w14:textId="63888322" w:rsidR="0035223F" w:rsidRDefault="00F11339" w:rsidP="00F11339">
    <w:pPr>
      <w:pStyle w:val="Footer"/>
      <w:rPr>
        <w:sz w:val="20"/>
      </w:rPr>
    </w:pPr>
    <w:r w:rsidRPr="00F11339">
      <w:rPr>
        <w:noProof/>
        <w:sz w:val="20"/>
        <w:lang w:val="en-US"/>
      </w:rPr>
      <w:drawing>
        <wp:anchor distT="0" distB="0" distL="114300" distR="114300" simplePos="0" relativeHeight="251659776" behindDoc="0" locked="1" layoutInCell="1" allowOverlap="1" wp14:anchorId="1F27D889" wp14:editId="56AAB54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9EF764" w14:textId="2A62BC96" w:rsidR="00F11339" w:rsidRPr="00F11339" w:rsidRDefault="00F11339" w:rsidP="00F11339">
    <w:pPr>
      <w:pStyle w:val="Footer"/>
      <w:ind w:right="1134"/>
      <w:rPr>
        <w:sz w:val="20"/>
      </w:rPr>
    </w:pPr>
    <w:r>
      <w:rPr>
        <w:sz w:val="20"/>
      </w:rPr>
      <w:t>GE.23-15045(E)</w:t>
    </w:r>
    <w:r>
      <w:rPr>
        <w:noProof/>
        <w:sz w:val="20"/>
      </w:rPr>
      <w:drawing>
        <wp:anchor distT="0" distB="0" distL="114300" distR="114300" simplePos="0" relativeHeight="251660800" behindDoc="0" locked="0" layoutInCell="1" allowOverlap="1" wp14:anchorId="7643E28D" wp14:editId="20255BD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84E2" w14:textId="77777777" w:rsidR="003C4219" w:rsidRPr="000B175B" w:rsidRDefault="003C4219" w:rsidP="000B175B">
      <w:pPr>
        <w:tabs>
          <w:tab w:val="right" w:pos="2155"/>
        </w:tabs>
        <w:spacing w:after="80"/>
        <w:ind w:left="680"/>
        <w:rPr>
          <w:u w:val="single"/>
        </w:rPr>
      </w:pPr>
      <w:r>
        <w:rPr>
          <w:u w:val="single"/>
        </w:rPr>
        <w:tab/>
      </w:r>
    </w:p>
  </w:footnote>
  <w:footnote w:type="continuationSeparator" w:id="0">
    <w:p w14:paraId="143137B9" w14:textId="77777777" w:rsidR="003C4219" w:rsidRPr="00FC68B7" w:rsidRDefault="003C4219" w:rsidP="00FC68B7">
      <w:pPr>
        <w:tabs>
          <w:tab w:val="left" w:pos="2155"/>
        </w:tabs>
        <w:spacing w:after="80"/>
        <w:ind w:left="680"/>
        <w:rPr>
          <w:u w:val="single"/>
        </w:rPr>
      </w:pPr>
      <w:r>
        <w:rPr>
          <w:u w:val="single"/>
        </w:rPr>
        <w:tab/>
      </w:r>
    </w:p>
  </w:footnote>
  <w:footnote w:type="continuationNotice" w:id="1">
    <w:p w14:paraId="33D26297" w14:textId="77777777" w:rsidR="003C4219" w:rsidRDefault="003C4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DCA5" w14:textId="37EB6E66" w:rsidR="002F255E" w:rsidRPr="002F255E" w:rsidRDefault="00292346">
    <w:pPr>
      <w:pStyle w:val="Header"/>
    </w:pPr>
    <w:r>
      <w:fldChar w:fldCharType="begin"/>
    </w:r>
    <w:r>
      <w:instrText xml:space="preserve"> TITLE  \* MERGEFORMAT </w:instrText>
    </w:r>
    <w:r>
      <w:fldChar w:fldCharType="separate"/>
    </w:r>
    <w:r>
      <w:t>ECE/TRANS/WP.11/2023/9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C278" w14:textId="679A87DE" w:rsidR="002F255E" w:rsidRPr="002F255E" w:rsidRDefault="00292346" w:rsidP="002F255E">
    <w:pPr>
      <w:pStyle w:val="Header"/>
      <w:jc w:val="right"/>
    </w:pPr>
    <w:r>
      <w:fldChar w:fldCharType="begin"/>
    </w:r>
    <w:r>
      <w:instrText xml:space="preserve"> TITLE  \* MERGEFORMAT </w:instrText>
    </w:r>
    <w:r>
      <w:fldChar w:fldCharType="separate"/>
    </w:r>
    <w:r>
      <w:t>ECE/TRANS/WP.11/2023/9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3665E"/>
    <w:multiLevelType w:val="hybridMultilevel"/>
    <w:tmpl w:val="C11848E8"/>
    <w:lvl w:ilvl="0" w:tplc="7E309BE2">
      <w:start w:val="1"/>
      <w:numFmt w:val="decimal"/>
      <w:lvlText w:val="%1."/>
      <w:lvlJc w:val="left"/>
      <w:pPr>
        <w:ind w:left="152" w:hanging="248"/>
      </w:pPr>
      <w:rPr>
        <w:rFonts w:ascii="Arial" w:eastAsia="Arial" w:hAnsi="Arial" w:cs="Arial" w:hint="default"/>
        <w:b w:val="0"/>
        <w:bCs w:val="0"/>
        <w:i w:val="0"/>
        <w:iCs w:val="0"/>
        <w:w w:val="100"/>
        <w:sz w:val="22"/>
        <w:szCs w:val="22"/>
        <w:lang w:val="en-US" w:eastAsia="en-US" w:bidi="ar-SA"/>
      </w:rPr>
    </w:lvl>
    <w:lvl w:ilvl="1" w:tplc="BFFE180C">
      <w:numFmt w:val="bullet"/>
      <w:lvlText w:val="•"/>
      <w:lvlJc w:val="left"/>
      <w:pPr>
        <w:ind w:left="1190" w:hanging="248"/>
      </w:pPr>
      <w:rPr>
        <w:rFonts w:hint="default"/>
        <w:lang w:val="en-US" w:eastAsia="en-US" w:bidi="ar-SA"/>
      </w:rPr>
    </w:lvl>
    <w:lvl w:ilvl="2" w:tplc="DF0A02CA">
      <w:numFmt w:val="bullet"/>
      <w:lvlText w:val="•"/>
      <w:lvlJc w:val="left"/>
      <w:pPr>
        <w:ind w:left="2221" w:hanging="248"/>
      </w:pPr>
      <w:rPr>
        <w:rFonts w:hint="default"/>
        <w:lang w:val="en-US" w:eastAsia="en-US" w:bidi="ar-SA"/>
      </w:rPr>
    </w:lvl>
    <w:lvl w:ilvl="3" w:tplc="62805FB0">
      <w:numFmt w:val="bullet"/>
      <w:lvlText w:val="•"/>
      <w:lvlJc w:val="left"/>
      <w:pPr>
        <w:ind w:left="3251" w:hanging="248"/>
      </w:pPr>
      <w:rPr>
        <w:rFonts w:hint="default"/>
        <w:lang w:val="en-US" w:eastAsia="en-US" w:bidi="ar-SA"/>
      </w:rPr>
    </w:lvl>
    <w:lvl w:ilvl="4" w:tplc="521A1026">
      <w:numFmt w:val="bullet"/>
      <w:lvlText w:val="•"/>
      <w:lvlJc w:val="left"/>
      <w:pPr>
        <w:ind w:left="4282" w:hanging="248"/>
      </w:pPr>
      <w:rPr>
        <w:rFonts w:hint="default"/>
        <w:lang w:val="en-US" w:eastAsia="en-US" w:bidi="ar-SA"/>
      </w:rPr>
    </w:lvl>
    <w:lvl w:ilvl="5" w:tplc="E1E00B04">
      <w:numFmt w:val="bullet"/>
      <w:lvlText w:val="•"/>
      <w:lvlJc w:val="left"/>
      <w:pPr>
        <w:ind w:left="5313" w:hanging="248"/>
      </w:pPr>
      <w:rPr>
        <w:rFonts w:hint="default"/>
        <w:lang w:val="en-US" w:eastAsia="en-US" w:bidi="ar-SA"/>
      </w:rPr>
    </w:lvl>
    <w:lvl w:ilvl="6" w:tplc="E98C6230">
      <w:numFmt w:val="bullet"/>
      <w:lvlText w:val="•"/>
      <w:lvlJc w:val="left"/>
      <w:pPr>
        <w:ind w:left="6343" w:hanging="248"/>
      </w:pPr>
      <w:rPr>
        <w:rFonts w:hint="default"/>
        <w:lang w:val="en-US" w:eastAsia="en-US" w:bidi="ar-SA"/>
      </w:rPr>
    </w:lvl>
    <w:lvl w:ilvl="7" w:tplc="32FC5C20">
      <w:numFmt w:val="bullet"/>
      <w:lvlText w:val="•"/>
      <w:lvlJc w:val="left"/>
      <w:pPr>
        <w:ind w:left="7374" w:hanging="248"/>
      </w:pPr>
      <w:rPr>
        <w:rFonts w:hint="default"/>
        <w:lang w:val="en-US" w:eastAsia="en-US" w:bidi="ar-SA"/>
      </w:rPr>
    </w:lvl>
    <w:lvl w:ilvl="8" w:tplc="95765C2E">
      <w:numFmt w:val="bullet"/>
      <w:lvlText w:val="•"/>
      <w:lvlJc w:val="left"/>
      <w:pPr>
        <w:ind w:left="8405" w:hanging="248"/>
      </w:pPr>
      <w:rPr>
        <w:rFonts w:hint="default"/>
        <w:lang w:val="en-US" w:eastAsia="en-US" w:bidi="ar-SA"/>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90908352">
    <w:abstractNumId w:val="1"/>
  </w:num>
  <w:num w:numId="2" w16cid:durableId="2140495305">
    <w:abstractNumId w:val="0"/>
  </w:num>
  <w:num w:numId="3" w16cid:durableId="2069380353">
    <w:abstractNumId w:val="2"/>
  </w:num>
  <w:num w:numId="4" w16cid:durableId="1000621385">
    <w:abstractNumId w:val="3"/>
  </w:num>
  <w:num w:numId="5" w16cid:durableId="936209499">
    <w:abstractNumId w:val="8"/>
  </w:num>
  <w:num w:numId="6" w16cid:durableId="131139961">
    <w:abstractNumId w:val="9"/>
  </w:num>
  <w:num w:numId="7" w16cid:durableId="1917937871">
    <w:abstractNumId w:val="7"/>
  </w:num>
  <w:num w:numId="8" w16cid:durableId="507523122">
    <w:abstractNumId w:val="6"/>
  </w:num>
  <w:num w:numId="9" w16cid:durableId="1404141331">
    <w:abstractNumId w:val="5"/>
  </w:num>
  <w:num w:numId="10" w16cid:durableId="1564944273">
    <w:abstractNumId w:val="4"/>
  </w:num>
  <w:num w:numId="11" w16cid:durableId="663707388">
    <w:abstractNumId w:val="16"/>
  </w:num>
  <w:num w:numId="12" w16cid:durableId="1255552935">
    <w:abstractNumId w:val="14"/>
  </w:num>
  <w:num w:numId="13" w16cid:durableId="739602273">
    <w:abstractNumId w:val="10"/>
  </w:num>
  <w:num w:numId="14" w16cid:durableId="494495766">
    <w:abstractNumId w:val="12"/>
  </w:num>
  <w:num w:numId="15" w16cid:durableId="937711948">
    <w:abstractNumId w:val="17"/>
  </w:num>
  <w:num w:numId="16" w16cid:durableId="513963180">
    <w:abstractNumId w:val="13"/>
  </w:num>
  <w:num w:numId="17" w16cid:durableId="904069681">
    <w:abstractNumId w:val="18"/>
  </w:num>
  <w:num w:numId="18" w16cid:durableId="160244096">
    <w:abstractNumId w:val="19"/>
  </w:num>
  <w:num w:numId="19" w16cid:durableId="151220123">
    <w:abstractNumId w:val="11"/>
  </w:num>
  <w:num w:numId="20" w16cid:durableId="1814758538">
    <w:abstractNumId w:val="11"/>
  </w:num>
  <w:num w:numId="21" w16cid:durableId="93035887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5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64B7"/>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2346"/>
    <w:rsid w:val="002974E9"/>
    <w:rsid w:val="002A7F94"/>
    <w:rsid w:val="002B109A"/>
    <w:rsid w:val="002C6D45"/>
    <w:rsid w:val="002D6E53"/>
    <w:rsid w:val="002F046D"/>
    <w:rsid w:val="002F255E"/>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4219"/>
    <w:rsid w:val="003D2D3D"/>
    <w:rsid w:val="003D4B23"/>
    <w:rsid w:val="003E278A"/>
    <w:rsid w:val="00413520"/>
    <w:rsid w:val="004325CB"/>
    <w:rsid w:val="00440A07"/>
    <w:rsid w:val="00462880"/>
    <w:rsid w:val="00476F24"/>
    <w:rsid w:val="004C5044"/>
    <w:rsid w:val="004C55B0"/>
    <w:rsid w:val="004F6BA0"/>
    <w:rsid w:val="00503BEA"/>
    <w:rsid w:val="0052513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1DBD"/>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5ED0"/>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2D86"/>
    <w:rsid w:val="00926E47"/>
    <w:rsid w:val="00947162"/>
    <w:rsid w:val="009610D0"/>
    <w:rsid w:val="0096375C"/>
    <w:rsid w:val="009662E6"/>
    <w:rsid w:val="0097095E"/>
    <w:rsid w:val="0098592B"/>
    <w:rsid w:val="00985FC4"/>
    <w:rsid w:val="00990766"/>
    <w:rsid w:val="00991261"/>
    <w:rsid w:val="009964C4"/>
    <w:rsid w:val="009A7B81"/>
    <w:rsid w:val="009D01C0"/>
    <w:rsid w:val="009D193D"/>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0597C"/>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67760"/>
    <w:rsid w:val="00E7260F"/>
    <w:rsid w:val="00E8702D"/>
    <w:rsid w:val="00E905F4"/>
    <w:rsid w:val="00E916A9"/>
    <w:rsid w:val="00E916DE"/>
    <w:rsid w:val="00E925AD"/>
    <w:rsid w:val="00E96630"/>
    <w:rsid w:val="00ED18DC"/>
    <w:rsid w:val="00ED6201"/>
    <w:rsid w:val="00ED7A2A"/>
    <w:rsid w:val="00EE5587"/>
    <w:rsid w:val="00EF1D7F"/>
    <w:rsid w:val="00F0137E"/>
    <w:rsid w:val="00F11339"/>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A60EF"/>
  <w15:docId w15:val="{C891B7BE-09B9-415C-B332-320D18F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BodyText">
    <w:name w:val="Body Text"/>
    <w:basedOn w:val="Normal"/>
    <w:link w:val="BodyTextChar"/>
    <w:uiPriority w:val="1"/>
    <w:qFormat/>
    <w:rsid w:val="002F255E"/>
    <w:pPr>
      <w:widowControl w:val="0"/>
      <w:suppressAutoHyphens w:val="0"/>
      <w:autoSpaceDE w:val="0"/>
      <w:autoSpaceDN w:val="0"/>
      <w:spacing w:line="240" w:lineRule="auto"/>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F255E"/>
    <w:rPr>
      <w:rFonts w:ascii="Arial" w:eastAsia="Arial" w:hAnsi="Arial" w:cs="Arial"/>
      <w:sz w:val="22"/>
      <w:szCs w:val="22"/>
      <w:lang w:val="en-US" w:eastAsia="en-US"/>
    </w:rPr>
  </w:style>
  <w:style w:type="paragraph" w:styleId="Title">
    <w:name w:val="Title"/>
    <w:basedOn w:val="Normal"/>
    <w:link w:val="TitleChar"/>
    <w:uiPriority w:val="10"/>
    <w:qFormat/>
    <w:rsid w:val="002F255E"/>
    <w:pPr>
      <w:widowControl w:val="0"/>
      <w:suppressAutoHyphens w:val="0"/>
      <w:autoSpaceDE w:val="0"/>
      <w:autoSpaceDN w:val="0"/>
      <w:spacing w:line="240" w:lineRule="auto"/>
      <w:ind w:left="152"/>
    </w:pPr>
    <w:rPr>
      <w:rFonts w:ascii="Arial" w:eastAsia="Arial" w:hAnsi="Arial" w:cs="Arial"/>
      <w:b/>
      <w:bCs/>
      <w:sz w:val="22"/>
      <w:szCs w:val="22"/>
      <w:lang w:val="en-US" w:eastAsia="en-US"/>
    </w:rPr>
  </w:style>
  <w:style w:type="character" w:customStyle="1" w:styleId="TitleChar">
    <w:name w:val="Title Char"/>
    <w:basedOn w:val="DefaultParagraphFont"/>
    <w:link w:val="Title"/>
    <w:uiPriority w:val="10"/>
    <w:rsid w:val="002F255E"/>
    <w:rPr>
      <w:rFonts w:ascii="Arial" w:eastAsia="Arial" w:hAnsi="Arial" w:cs="Arial"/>
      <w:b/>
      <w:bCs/>
      <w:sz w:val="22"/>
      <w:szCs w:val="22"/>
      <w:lang w:val="en-US" w:eastAsia="en-US"/>
    </w:rPr>
  </w:style>
  <w:style w:type="paragraph" w:styleId="ListParagraph">
    <w:name w:val="List Paragraph"/>
    <w:basedOn w:val="Normal"/>
    <w:uiPriority w:val="1"/>
    <w:qFormat/>
    <w:rsid w:val="002F255E"/>
    <w:pPr>
      <w:widowControl w:val="0"/>
      <w:suppressAutoHyphens w:val="0"/>
      <w:autoSpaceDE w:val="0"/>
      <w:autoSpaceDN w:val="0"/>
      <w:spacing w:before="160" w:line="240" w:lineRule="auto"/>
      <w:ind w:left="152" w:right="113"/>
    </w:pPr>
    <w:rPr>
      <w:rFonts w:ascii="Arial" w:eastAsia="Arial" w:hAnsi="Arial" w:cs="Arial"/>
      <w:sz w:val="22"/>
      <w:szCs w:val="22"/>
      <w:lang w:val="en-US" w:eastAsia="en-US"/>
    </w:rPr>
  </w:style>
  <w:style w:type="paragraph" w:styleId="Revision">
    <w:name w:val="Revision"/>
    <w:hidden/>
    <w:uiPriority w:val="99"/>
    <w:semiHidden/>
    <w:rsid w:val="00EE5587"/>
    <w:rPr>
      <w:lang w:val="en-GB"/>
    </w:rPr>
  </w:style>
  <w:style w:type="paragraph" w:customStyle="1" w:styleId="TableParagraph">
    <w:name w:val="Table Paragraph"/>
    <w:basedOn w:val="Normal"/>
    <w:uiPriority w:val="1"/>
    <w:qFormat/>
    <w:rsid w:val="00EE5587"/>
    <w:pPr>
      <w:widowControl w:val="0"/>
      <w:suppressAutoHyphens w:val="0"/>
      <w:autoSpaceDE w:val="0"/>
      <w:autoSpaceDN w:val="0"/>
      <w:spacing w:line="168" w:lineRule="exact"/>
    </w:pPr>
    <w:rPr>
      <w:rFonts w:ascii="Arial" w:eastAsia="Arial" w:hAnsi="Arial" w:cs="Arial"/>
      <w:sz w:val="22"/>
      <w:szCs w:val="22"/>
      <w:lang w:val="en-US" w:eastAsia="en-US"/>
    </w:rPr>
  </w:style>
  <w:style w:type="character" w:styleId="CommentReference">
    <w:name w:val="annotation reference"/>
    <w:basedOn w:val="DefaultParagraphFont"/>
    <w:semiHidden/>
    <w:unhideWhenUsed/>
    <w:rsid w:val="00EE5587"/>
    <w:rPr>
      <w:sz w:val="16"/>
      <w:szCs w:val="16"/>
    </w:rPr>
  </w:style>
  <w:style w:type="paragraph" w:styleId="CommentText">
    <w:name w:val="annotation text"/>
    <w:basedOn w:val="Normal"/>
    <w:link w:val="CommentTextChar"/>
    <w:unhideWhenUsed/>
    <w:rsid w:val="00EE5587"/>
    <w:pPr>
      <w:spacing w:line="240" w:lineRule="auto"/>
    </w:pPr>
  </w:style>
  <w:style w:type="character" w:customStyle="1" w:styleId="CommentTextChar">
    <w:name w:val="Comment Text Char"/>
    <w:basedOn w:val="DefaultParagraphFont"/>
    <w:link w:val="CommentText"/>
    <w:rsid w:val="00EE5587"/>
    <w:rPr>
      <w:lang w:val="en-GB"/>
    </w:rPr>
  </w:style>
  <w:style w:type="paragraph" w:styleId="CommentSubject">
    <w:name w:val="annotation subject"/>
    <w:basedOn w:val="CommentText"/>
    <w:next w:val="CommentText"/>
    <w:link w:val="CommentSubjectChar"/>
    <w:semiHidden/>
    <w:unhideWhenUsed/>
    <w:rsid w:val="00EE5587"/>
    <w:rPr>
      <w:b/>
      <w:bCs/>
    </w:rPr>
  </w:style>
  <w:style w:type="character" w:customStyle="1" w:styleId="CommentSubjectChar">
    <w:name w:val="Comment Subject Char"/>
    <w:basedOn w:val="CommentTextChar"/>
    <w:link w:val="CommentSubject"/>
    <w:semiHidden/>
    <w:rsid w:val="00EE558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FEBCD-46D5-49BF-95E6-59321330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54379DF7-D574-4D6B-8243-B32E0D90CD8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0536B61-7426-430D-8549-540CB02B6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1818</Characters>
  <Application>Microsoft Office Word</Application>
  <DocSecurity>0</DocSecurity>
  <Lines>43</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ECE/TRANS/WP.11/2023/9</vt:lpstr>
      <vt:lpstr/>
    </vt:vector>
  </TitlesOfParts>
  <Company>CSD</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ECE/TRANS/WP.11/2023/9</dc:title>
  <dc:subject>2315045</dc:subject>
  <dc:creator>Una Giltsoff</dc:creator>
  <cp:keywords/>
  <dc:description/>
  <cp:lastModifiedBy>Una Giltsoff</cp:lastModifiedBy>
  <cp:revision>3</cp:revision>
  <cp:lastPrinted>2023-08-03T08:32:00Z</cp:lastPrinted>
  <dcterms:created xsi:type="dcterms:W3CDTF">2023-08-03T08:32:00Z</dcterms:created>
  <dcterms:modified xsi:type="dcterms:W3CDTF">2023-08-03T08:33:00Z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