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BDA4723" w14:textId="77777777" w:rsidTr="00B20551">
        <w:trPr>
          <w:cantSplit/>
          <w:trHeight w:hRule="exact" w:val="851"/>
        </w:trPr>
        <w:tc>
          <w:tcPr>
            <w:tcW w:w="1276" w:type="dxa"/>
            <w:tcBorders>
              <w:bottom w:val="single" w:sz="4" w:space="0" w:color="auto"/>
            </w:tcBorders>
            <w:vAlign w:val="bottom"/>
          </w:tcPr>
          <w:p w14:paraId="7EF5D34A" w14:textId="77777777" w:rsidR="009E6CB7" w:rsidRDefault="009E6CB7" w:rsidP="00B20551">
            <w:pPr>
              <w:spacing w:after="80"/>
            </w:pPr>
          </w:p>
        </w:tc>
        <w:tc>
          <w:tcPr>
            <w:tcW w:w="2268" w:type="dxa"/>
            <w:tcBorders>
              <w:bottom w:val="single" w:sz="4" w:space="0" w:color="auto"/>
            </w:tcBorders>
            <w:vAlign w:val="bottom"/>
          </w:tcPr>
          <w:p w14:paraId="37B7B51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DAB3343" w14:textId="1DA7B2A6" w:rsidR="009E6CB7" w:rsidRPr="00D47EEA" w:rsidRDefault="00515EF4" w:rsidP="00515EF4">
            <w:pPr>
              <w:jc w:val="right"/>
            </w:pPr>
            <w:r w:rsidRPr="00515EF4">
              <w:rPr>
                <w:sz w:val="40"/>
              </w:rPr>
              <w:t>ECE</w:t>
            </w:r>
            <w:r>
              <w:t>/TRANS/WP.11/2023/15</w:t>
            </w:r>
          </w:p>
        </w:tc>
      </w:tr>
      <w:tr w:rsidR="009E6CB7" w14:paraId="4750A8C4" w14:textId="77777777" w:rsidTr="00B20551">
        <w:trPr>
          <w:cantSplit/>
          <w:trHeight w:hRule="exact" w:val="2835"/>
        </w:trPr>
        <w:tc>
          <w:tcPr>
            <w:tcW w:w="1276" w:type="dxa"/>
            <w:tcBorders>
              <w:top w:val="single" w:sz="4" w:space="0" w:color="auto"/>
              <w:bottom w:val="single" w:sz="12" w:space="0" w:color="auto"/>
            </w:tcBorders>
          </w:tcPr>
          <w:p w14:paraId="0FE7F397" w14:textId="77777777" w:rsidR="009E6CB7" w:rsidRDefault="00686A48" w:rsidP="00B20551">
            <w:pPr>
              <w:spacing w:before="120"/>
            </w:pPr>
            <w:r>
              <w:rPr>
                <w:noProof/>
                <w:lang w:val="fr-CH" w:eastAsia="fr-CH"/>
              </w:rPr>
              <w:drawing>
                <wp:inline distT="0" distB="0" distL="0" distR="0" wp14:anchorId="2025D572" wp14:editId="667A422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078B495"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7711F91" w14:textId="77777777" w:rsidR="009E6CB7" w:rsidRDefault="00515EF4" w:rsidP="00515EF4">
            <w:pPr>
              <w:spacing w:before="240" w:line="240" w:lineRule="exact"/>
            </w:pPr>
            <w:r>
              <w:t>Distr.: General</w:t>
            </w:r>
          </w:p>
          <w:p w14:paraId="365E00D0" w14:textId="77777777" w:rsidR="00515EF4" w:rsidRDefault="00515EF4" w:rsidP="00515EF4">
            <w:pPr>
              <w:spacing w:line="240" w:lineRule="exact"/>
            </w:pPr>
            <w:r>
              <w:t>7 August 2023</w:t>
            </w:r>
          </w:p>
          <w:p w14:paraId="19528A55" w14:textId="77777777" w:rsidR="00515EF4" w:rsidRDefault="00515EF4" w:rsidP="00515EF4">
            <w:pPr>
              <w:spacing w:line="240" w:lineRule="exact"/>
            </w:pPr>
          </w:p>
          <w:p w14:paraId="41B491F8" w14:textId="0E91A730" w:rsidR="00515EF4" w:rsidRDefault="00515EF4" w:rsidP="00515EF4">
            <w:pPr>
              <w:spacing w:line="240" w:lineRule="exact"/>
            </w:pPr>
            <w:r>
              <w:t>Original: English</w:t>
            </w:r>
          </w:p>
        </w:tc>
      </w:tr>
    </w:tbl>
    <w:p w14:paraId="51A4C6D6" w14:textId="77777777" w:rsidR="00515EF4" w:rsidRDefault="00515EF4" w:rsidP="00C411EB">
      <w:pPr>
        <w:spacing w:before="120"/>
        <w:rPr>
          <w:b/>
          <w:sz w:val="28"/>
          <w:szCs w:val="28"/>
        </w:rPr>
      </w:pPr>
      <w:r w:rsidRPr="007F5683">
        <w:rPr>
          <w:b/>
          <w:sz w:val="28"/>
          <w:szCs w:val="28"/>
        </w:rPr>
        <w:t>Economic Commission for Europe</w:t>
      </w:r>
    </w:p>
    <w:p w14:paraId="396CD0AB" w14:textId="77777777" w:rsidR="00515EF4" w:rsidRDefault="00515EF4" w:rsidP="00C411EB">
      <w:pPr>
        <w:spacing w:before="120"/>
        <w:rPr>
          <w:sz w:val="28"/>
          <w:szCs w:val="28"/>
        </w:rPr>
      </w:pPr>
      <w:r>
        <w:rPr>
          <w:sz w:val="28"/>
          <w:szCs w:val="28"/>
        </w:rPr>
        <w:t>Inland Transport Committee</w:t>
      </w:r>
    </w:p>
    <w:p w14:paraId="1E8DF5A8" w14:textId="77777777" w:rsidR="00515EF4" w:rsidRDefault="00515EF4" w:rsidP="00C411EB">
      <w:pPr>
        <w:spacing w:before="120"/>
        <w:rPr>
          <w:b/>
          <w:sz w:val="24"/>
          <w:szCs w:val="24"/>
        </w:rPr>
      </w:pPr>
      <w:r>
        <w:rPr>
          <w:b/>
          <w:sz w:val="24"/>
          <w:szCs w:val="24"/>
        </w:rPr>
        <w:t>Working Party on the Transport of Perishable Foodstuffs</w:t>
      </w:r>
    </w:p>
    <w:p w14:paraId="711C48C7" w14:textId="77777777" w:rsidR="00515EF4" w:rsidRPr="008D7010" w:rsidRDefault="00515EF4" w:rsidP="00515EF4">
      <w:pPr>
        <w:spacing w:before="120"/>
        <w:rPr>
          <w:b/>
        </w:rPr>
      </w:pPr>
      <w:r>
        <w:rPr>
          <w:b/>
        </w:rPr>
        <w:t xml:space="preserve">Eightieth </w:t>
      </w:r>
      <w:r w:rsidRPr="008D7010">
        <w:rPr>
          <w:b/>
        </w:rPr>
        <w:t>session</w:t>
      </w:r>
    </w:p>
    <w:p w14:paraId="6520DED8" w14:textId="77777777" w:rsidR="00515EF4" w:rsidRDefault="00515EF4" w:rsidP="00515EF4">
      <w:r w:rsidRPr="008D7010">
        <w:t xml:space="preserve">Geneva, </w:t>
      </w:r>
      <w:r>
        <w:t>24-27 October 2023</w:t>
      </w:r>
    </w:p>
    <w:p w14:paraId="3911FBAE" w14:textId="77777777" w:rsidR="00515EF4" w:rsidRPr="00425F1F" w:rsidRDefault="00515EF4" w:rsidP="00515EF4">
      <w:pPr>
        <w:rPr>
          <w:lang w:val="en-US"/>
        </w:rPr>
      </w:pPr>
      <w:r w:rsidRPr="00425F1F">
        <w:rPr>
          <w:lang w:val="en-US"/>
        </w:rPr>
        <w:t>Item 5 (</w:t>
      </w:r>
      <w:r>
        <w:rPr>
          <w:lang w:val="en-US"/>
        </w:rPr>
        <w:t>b</w:t>
      </w:r>
      <w:r w:rsidRPr="00425F1F">
        <w:rPr>
          <w:lang w:val="en-US"/>
        </w:rPr>
        <w:t>) of the provisional agenda</w:t>
      </w:r>
    </w:p>
    <w:p w14:paraId="01F11BAE" w14:textId="77777777" w:rsidR="00515EF4" w:rsidRPr="00425F1F" w:rsidRDefault="00515EF4" w:rsidP="00515EF4">
      <w:pPr>
        <w:rPr>
          <w:b/>
          <w:bCs/>
          <w:lang w:val="en-US"/>
        </w:rPr>
      </w:pPr>
      <w:r w:rsidRPr="00425F1F">
        <w:rPr>
          <w:b/>
          <w:bCs/>
        </w:rPr>
        <w:t>Proposals of amendments to ATP</w:t>
      </w:r>
      <w:r w:rsidRPr="00425F1F">
        <w:rPr>
          <w:b/>
          <w:bCs/>
          <w:lang w:val="en-US"/>
        </w:rPr>
        <w:t>:</w:t>
      </w:r>
    </w:p>
    <w:p w14:paraId="19BF910B" w14:textId="77777777" w:rsidR="00515EF4" w:rsidRPr="00425F1F" w:rsidRDefault="00515EF4" w:rsidP="00515EF4">
      <w:pPr>
        <w:rPr>
          <w:b/>
          <w:bCs/>
        </w:rPr>
      </w:pPr>
      <w:r>
        <w:rPr>
          <w:b/>
          <w:bCs/>
        </w:rPr>
        <w:t xml:space="preserve">new </w:t>
      </w:r>
      <w:r w:rsidRPr="00425F1F">
        <w:rPr>
          <w:b/>
          <w:bCs/>
        </w:rPr>
        <w:t>proposals</w:t>
      </w:r>
    </w:p>
    <w:p w14:paraId="44A91336" w14:textId="78A731AD" w:rsidR="00515EF4" w:rsidRDefault="00515EF4" w:rsidP="00515EF4">
      <w:pPr>
        <w:pStyle w:val="HChG"/>
      </w:pPr>
      <w:r>
        <w:tab/>
      </w:r>
      <w:r>
        <w:tab/>
        <w:t>Requirements for fitting mechanically refrigerated units on equipment.</w:t>
      </w:r>
    </w:p>
    <w:p w14:paraId="2552E4AC" w14:textId="77777777" w:rsidR="00515EF4" w:rsidRDefault="00515EF4" w:rsidP="00515EF4">
      <w:pPr>
        <w:pStyle w:val="H1G"/>
      </w:pPr>
      <w:r>
        <w:tab/>
      </w:r>
      <w:r>
        <w:tab/>
        <w:t>Transmitted by the Government of the Netherlands</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6E51D1" w14:paraId="4BD0DC57" w14:textId="77777777" w:rsidTr="006E5E26">
        <w:trPr>
          <w:jc w:val="center"/>
        </w:trPr>
        <w:tc>
          <w:tcPr>
            <w:tcW w:w="9637" w:type="dxa"/>
            <w:shd w:val="clear" w:color="auto" w:fill="auto"/>
          </w:tcPr>
          <w:p w14:paraId="0A7BD617" w14:textId="77777777" w:rsidR="006E51D1" w:rsidRPr="00C6263E" w:rsidRDefault="006E51D1" w:rsidP="006E5E26">
            <w:pPr>
              <w:spacing w:before="240" w:after="120"/>
              <w:ind w:left="255"/>
              <w:rPr>
                <w:i/>
                <w:sz w:val="24"/>
              </w:rPr>
            </w:pPr>
            <w:r w:rsidRPr="00C6263E">
              <w:rPr>
                <w:i/>
                <w:sz w:val="24"/>
              </w:rPr>
              <w:t>Summary</w:t>
            </w:r>
          </w:p>
        </w:tc>
      </w:tr>
      <w:tr w:rsidR="006E51D1" w14:paraId="2675530C" w14:textId="77777777" w:rsidTr="006E5E26">
        <w:trPr>
          <w:jc w:val="center"/>
        </w:trPr>
        <w:tc>
          <w:tcPr>
            <w:tcW w:w="9637" w:type="dxa"/>
            <w:shd w:val="clear" w:color="auto" w:fill="auto"/>
          </w:tcPr>
          <w:p w14:paraId="2E6F73DD" w14:textId="77777777" w:rsidR="006E51D1" w:rsidRDefault="00710F8D" w:rsidP="00C95E1B">
            <w:pPr>
              <w:pStyle w:val="SingleTxtG"/>
              <w:ind w:left="3109" w:hanging="1975"/>
            </w:pPr>
            <w:r w:rsidRPr="0026588E">
              <w:rPr>
                <w:b/>
                <w:iCs/>
              </w:rPr>
              <w:t>Executive summary</w:t>
            </w:r>
            <w:r w:rsidRPr="0026588E">
              <w:rPr>
                <w:bCs/>
              </w:rPr>
              <w:t>:</w:t>
            </w:r>
            <w:r w:rsidR="00BA038D">
              <w:rPr>
                <w:bCs/>
              </w:rPr>
              <w:tab/>
            </w:r>
            <w:r w:rsidR="00C95E1B">
              <w:rPr>
                <w:bCs/>
              </w:rPr>
              <w:t xml:space="preserve">It is </w:t>
            </w:r>
            <w:r w:rsidR="00C95E1B">
              <w:t xml:space="preserve">proposed to include a legal base for competent authorities to refuse particular constructions in which the expected performance of the thermal unit is limited. In addition it is proposed to develop a Guideline document to be available on the UNECE website to give more details on fitting of thermal appliance.   </w:t>
            </w:r>
          </w:p>
          <w:p w14:paraId="3F95AF2C" w14:textId="5EF8902E" w:rsidR="00C95E1B" w:rsidRDefault="006C27B6" w:rsidP="00DF2005">
            <w:pPr>
              <w:pStyle w:val="SingleTxtG"/>
              <w:tabs>
                <w:tab w:val="clear" w:pos="2835"/>
              </w:tabs>
              <w:ind w:left="3109" w:hanging="1975"/>
            </w:pPr>
            <w:r w:rsidRPr="0026588E">
              <w:rPr>
                <w:b/>
                <w:iCs/>
              </w:rPr>
              <w:t>Action to be taken</w:t>
            </w:r>
            <w:r w:rsidRPr="0026588E">
              <w:rPr>
                <w:b/>
              </w:rPr>
              <w:t>:</w:t>
            </w:r>
            <w:r>
              <w:rPr>
                <w:b/>
              </w:rPr>
              <w:tab/>
            </w:r>
            <w:r w:rsidR="00DF2005">
              <w:t>Introduce a new paragraph at the end of Article 6 (c), (iii), (b), and Article 6 (c), (v), (b) of Annex 1, Appendix 1</w:t>
            </w:r>
          </w:p>
          <w:p w14:paraId="26A1C0FC" w14:textId="0CE0D197" w:rsidR="00F800E5" w:rsidRDefault="00A82916" w:rsidP="00DF2005">
            <w:pPr>
              <w:pStyle w:val="SingleTxtG"/>
              <w:tabs>
                <w:tab w:val="clear" w:pos="2835"/>
              </w:tabs>
              <w:ind w:left="3109" w:hanging="1975"/>
            </w:pPr>
            <w:r w:rsidRPr="0026588E">
              <w:rPr>
                <w:b/>
                <w:iCs/>
              </w:rPr>
              <w:t>Related documents</w:t>
            </w:r>
            <w:r w:rsidRPr="0026588E">
              <w:rPr>
                <w:bCs/>
              </w:rPr>
              <w:t>:</w:t>
            </w:r>
            <w:r>
              <w:rPr>
                <w:bCs/>
              </w:rPr>
              <w:tab/>
            </w:r>
            <w:r w:rsidR="00DE1F0F">
              <w:t>ECE/TRANS/WP.11/2021/12</w:t>
            </w:r>
            <w:r w:rsidR="00D3110C">
              <w:t>/</w:t>
            </w:r>
            <w:r w:rsidR="00DE1F0F">
              <w:t>Rev2</w:t>
            </w:r>
          </w:p>
        </w:tc>
      </w:tr>
      <w:tr w:rsidR="006E51D1" w14:paraId="57D4E1B1" w14:textId="77777777" w:rsidTr="006E5E26">
        <w:trPr>
          <w:jc w:val="center"/>
        </w:trPr>
        <w:tc>
          <w:tcPr>
            <w:tcW w:w="9637" w:type="dxa"/>
            <w:shd w:val="clear" w:color="auto" w:fill="auto"/>
          </w:tcPr>
          <w:p w14:paraId="7DFFC27B" w14:textId="77777777" w:rsidR="006E51D1" w:rsidRDefault="006E51D1" w:rsidP="006E5E26"/>
        </w:tc>
      </w:tr>
    </w:tbl>
    <w:p w14:paraId="13DB7954" w14:textId="77777777" w:rsidR="001C6663" w:rsidRDefault="001C6663" w:rsidP="006E51D1"/>
    <w:p w14:paraId="1E2710AC" w14:textId="77777777" w:rsidR="008F1329" w:rsidRDefault="008F1329" w:rsidP="008F1329">
      <w:pPr>
        <w:pStyle w:val="SingleTxtG"/>
        <w:spacing w:before="120"/>
      </w:pPr>
      <w:r w:rsidRPr="00E03281">
        <w:rPr>
          <w:rStyle w:val="HChGChar"/>
        </w:rPr>
        <w:t>Introduction</w:t>
      </w:r>
    </w:p>
    <w:p w14:paraId="5BB76A7A" w14:textId="32751EDD" w:rsidR="008F1329" w:rsidRPr="008F6882" w:rsidRDefault="008F6882" w:rsidP="008F6882">
      <w:pPr>
        <w:pStyle w:val="SingleTxtG"/>
      </w:pPr>
      <w:r>
        <w:t>1.</w:t>
      </w:r>
      <w:r>
        <w:tab/>
      </w:r>
      <w:r w:rsidR="008F1329" w:rsidRPr="008F6882">
        <w:t xml:space="preserve">It is felt that insufficient tools are given to competent authorities to stop improper fitted (mechanical) refrigerated appliances. In previous sessions of WP.11 examples of correct and incorrect fitting </w:t>
      </w:r>
      <w:r w:rsidR="00BD28B8">
        <w:t>were</w:t>
      </w:r>
      <w:r w:rsidR="00BD28B8" w:rsidRPr="008F6882">
        <w:t xml:space="preserve"> </w:t>
      </w:r>
      <w:r w:rsidR="008F1329" w:rsidRPr="008F6882">
        <w:t>given in document ECE/TRANS/WP.11/2021/12</w:t>
      </w:r>
      <w:r w:rsidR="00D049F0">
        <w:t>/Rev.2</w:t>
      </w:r>
      <w:r w:rsidR="008F1329" w:rsidRPr="008F6882">
        <w:t>.</w:t>
      </w:r>
    </w:p>
    <w:p w14:paraId="11865B00" w14:textId="77777777" w:rsidR="00B96A38" w:rsidRDefault="008F6882" w:rsidP="008F6882">
      <w:pPr>
        <w:pStyle w:val="SingleTxtG"/>
      </w:pPr>
      <w:r>
        <w:t>2.</w:t>
      </w:r>
      <w:r>
        <w:tab/>
      </w:r>
      <w:r w:rsidR="008F1329" w:rsidRPr="008F6882">
        <w:t xml:space="preserve">Although valuable, including such detailed and non-exhaustive information is felt not to be appropriate for introduction in the ATP itself or the ATP handbook. It is proposed to develop a Guideline document to contain this kind of detailed information. Examples of Guideline documents can be found here: </w:t>
      </w:r>
    </w:p>
    <w:p w14:paraId="267CBBEA" w14:textId="4E258C5B" w:rsidR="008F1329" w:rsidRPr="008F6882" w:rsidRDefault="00786A2C" w:rsidP="008F6882">
      <w:pPr>
        <w:pStyle w:val="SingleTxtG"/>
      </w:pPr>
      <w:hyperlink r:id="rId12" w:history="1">
        <w:r w:rsidR="008F1329" w:rsidRPr="008F6882">
          <w:rPr>
            <w:rStyle w:val="Hyperlink"/>
            <w:color w:val="auto"/>
          </w:rPr>
          <w:t>https://unece.org/guidelines-telematics-application-standards-construction-and-approval-vehicles-calculation-risks</w:t>
        </w:r>
      </w:hyperlink>
      <w:r w:rsidR="008F1329" w:rsidRPr="008F6882">
        <w:t xml:space="preserve">.  </w:t>
      </w:r>
    </w:p>
    <w:p w14:paraId="1A41C193" w14:textId="77777777" w:rsidR="008F1329" w:rsidRDefault="008F1329" w:rsidP="008F1329">
      <w:pPr>
        <w:pStyle w:val="HChG"/>
      </w:pPr>
      <w:r>
        <w:lastRenderedPageBreak/>
        <w:tab/>
      </w:r>
      <w:r>
        <w:tab/>
        <w:t>Proposal</w:t>
      </w:r>
    </w:p>
    <w:p w14:paraId="67ABD567" w14:textId="0C32A0C2" w:rsidR="008F1329" w:rsidRPr="008C786E" w:rsidRDefault="00E807E9" w:rsidP="00E807E9">
      <w:pPr>
        <w:pStyle w:val="H4G"/>
      </w:pPr>
      <w:r>
        <w:tab/>
      </w:r>
      <w:r>
        <w:tab/>
      </w:r>
      <w:r w:rsidR="008F1329" w:rsidRPr="008C786E">
        <w:t>Proposal 1:</w:t>
      </w:r>
    </w:p>
    <w:p w14:paraId="4626C8AE" w14:textId="018F82F8" w:rsidR="008F1329" w:rsidRPr="00E807E9" w:rsidRDefault="00E807E9" w:rsidP="00E807E9">
      <w:pPr>
        <w:pStyle w:val="SingleTxtG"/>
      </w:pPr>
      <w:r>
        <w:t>3.</w:t>
      </w:r>
      <w:r>
        <w:tab/>
      </w:r>
      <w:r w:rsidR="00E667B9">
        <w:t xml:space="preserve">In annex 1 appendix 1, </w:t>
      </w:r>
      <w:r w:rsidR="004F3373">
        <w:t xml:space="preserve">insert </w:t>
      </w:r>
      <w:r w:rsidR="008F1329" w:rsidRPr="00E807E9">
        <w:t xml:space="preserve">a new paragraph at the end of </w:t>
      </w:r>
      <w:r w:rsidR="0053775F">
        <w:t>6</w:t>
      </w:r>
      <w:r w:rsidR="008F1329" w:rsidRPr="00E807E9">
        <w:t>(c)(iii)(b), and 6(c)(v)(b), to read:</w:t>
      </w:r>
    </w:p>
    <w:p w14:paraId="58ED8324" w14:textId="77777777" w:rsidR="008F1329" w:rsidRPr="00E807E9" w:rsidRDefault="008F1329" w:rsidP="00E807E9">
      <w:pPr>
        <w:pStyle w:val="SingleTxtG"/>
        <w:ind w:left="1701"/>
      </w:pPr>
      <w:r w:rsidRPr="00E807E9">
        <w:t>“Mechanical refrigerating units shall be fitted on the equipment taking into account the manufacturer recommendations and in such a way that their performance, due to air flow, is not impaired.”</w:t>
      </w:r>
    </w:p>
    <w:p w14:paraId="2ACCE44E" w14:textId="73F6E8E3" w:rsidR="008F1329" w:rsidRPr="008C786E" w:rsidRDefault="006B36AE" w:rsidP="006B36AE">
      <w:pPr>
        <w:pStyle w:val="H4G"/>
      </w:pPr>
      <w:r>
        <w:tab/>
      </w:r>
      <w:r>
        <w:tab/>
      </w:r>
      <w:r w:rsidR="008F1329" w:rsidRPr="008C786E">
        <w:t>Proposal 2</w:t>
      </w:r>
    </w:p>
    <w:p w14:paraId="115F5137" w14:textId="44AA0866" w:rsidR="008F1329" w:rsidRDefault="00CC1D55" w:rsidP="008F1329">
      <w:pPr>
        <w:pStyle w:val="SingleTxtG"/>
      </w:pPr>
      <w:r>
        <w:t>4.</w:t>
      </w:r>
      <w:r>
        <w:tab/>
      </w:r>
      <w:r w:rsidR="008F1329" w:rsidRPr="00ED6543">
        <w:t>Introduce a Guideline document on the UNECE website</w:t>
      </w:r>
      <w:r w:rsidR="008F1329">
        <w:t xml:space="preserve"> with the title:</w:t>
      </w:r>
    </w:p>
    <w:p w14:paraId="10BB6C65" w14:textId="328B7F6E" w:rsidR="008F1329" w:rsidRPr="003F2A0C" w:rsidRDefault="008F1329" w:rsidP="00A62DF0">
      <w:pPr>
        <w:pStyle w:val="SingleTxtG"/>
        <w:ind w:left="1701"/>
      </w:pPr>
      <w:r w:rsidRPr="003F2A0C">
        <w:t>“Guideline on the fitting of mechanical refrigerated and mechanical refrigerated and heated equipment appliances on equipment.</w:t>
      </w:r>
    </w:p>
    <w:p w14:paraId="013A2820" w14:textId="77777777" w:rsidR="008F1329" w:rsidRPr="003F2A0C" w:rsidRDefault="008F1329" w:rsidP="00A62DF0">
      <w:pPr>
        <w:pStyle w:val="SingleTxtG"/>
        <w:ind w:left="1701"/>
      </w:pPr>
      <w:r w:rsidRPr="003F2A0C">
        <w:t xml:space="preserve">Fitting of mechanical refrigerated and mechanically refrigerated and heated appliances shall be in accordance with the appliance manufacturer instructions. If such instruction </w:t>
      </w:r>
      <w:proofErr w:type="gramStart"/>
      <w:r w:rsidRPr="003F2A0C">
        <w:t>do</w:t>
      </w:r>
      <w:proofErr w:type="gramEnd"/>
      <w:r w:rsidRPr="003F2A0C">
        <w:t xml:space="preserve"> not exist, the manufacturer may no longer exist or a deviation fitting is required, at least the following examples shall be taken into account.”</w:t>
      </w:r>
    </w:p>
    <w:p w14:paraId="2F220767" w14:textId="0ECBE12C" w:rsidR="008F1329" w:rsidRPr="003F2A0C" w:rsidRDefault="008F1329" w:rsidP="003F2A0C">
      <w:pPr>
        <w:pStyle w:val="SingleTxtG"/>
      </w:pPr>
      <w:r w:rsidRPr="00F82D4C">
        <w:rPr>
          <w:b/>
          <w:bCs/>
        </w:rPr>
        <w:t>Further:</w:t>
      </w:r>
      <w:r w:rsidRPr="003F2A0C">
        <w:t xml:space="preserve"> </w:t>
      </w:r>
      <w:r w:rsidR="00433458">
        <w:t>Insert</w:t>
      </w:r>
      <w:r w:rsidRPr="003F2A0C">
        <w:t xml:space="preserve"> the proposed examples </w:t>
      </w:r>
      <w:r w:rsidR="007B678C">
        <w:t xml:space="preserve">given </w:t>
      </w:r>
      <w:r w:rsidRPr="003F2A0C">
        <w:t>in document ECE/TRANS/WP.11/2021/12</w:t>
      </w:r>
      <w:r w:rsidR="00F82D4C">
        <w:t>/</w:t>
      </w:r>
      <w:r w:rsidRPr="003F2A0C">
        <w:t>Rev2.</w:t>
      </w:r>
    </w:p>
    <w:p w14:paraId="4782C19A" w14:textId="0C019B5C" w:rsidR="008F1329" w:rsidRPr="003F2A0C" w:rsidRDefault="003F2A0C" w:rsidP="003F2A0C">
      <w:pPr>
        <w:pStyle w:val="H4G"/>
      </w:pPr>
      <w:r>
        <w:tab/>
      </w:r>
      <w:r>
        <w:tab/>
      </w:r>
      <w:r w:rsidR="008F1329" w:rsidRPr="003F2A0C">
        <w:t>Proposal 3 (optional):</w:t>
      </w:r>
    </w:p>
    <w:p w14:paraId="7E4A0559" w14:textId="64EEA70D" w:rsidR="008F1329" w:rsidRPr="00EC5DEC" w:rsidRDefault="001F24E5" w:rsidP="00EC5DEC">
      <w:pPr>
        <w:pStyle w:val="SingleTxtG"/>
      </w:pPr>
      <w:r>
        <w:t>5.</w:t>
      </w:r>
      <w:r>
        <w:tab/>
      </w:r>
      <w:r w:rsidR="008F1329" w:rsidRPr="00EC5DEC">
        <w:t>Introduce a new transitional measure 6.2 in Annex 1 to read:</w:t>
      </w:r>
    </w:p>
    <w:p w14:paraId="78BC2C1A" w14:textId="77777777" w:rsidR="008F1329" w:rsidRPr="00EC5DEC" w:rsidRDefault="008F1329" w:rsidP="00A62DF0">
      <w:pPr>
        <w:pStyle w:val="SingleTxtG"/>
        <w:ind w:left="1701"/>
      </w:pPr>
      <w:r w:rsidRPr="00EC5DEC">
        <w:t>“Mechanical refrigerated and mechanically refrigerated and heated appliances fitted before xx-</w:t>
      </w:r>
      <w:proofErr w:type="spellStart"/>
      <w:r w:rsidRPr="00EC5DEC">
        <w:t>yy</w:t>
      </w:r>
      <w:proofErr w:type="spellEnd"/>
      <w:r w:rsidRPr="00EC5DEC">
        <w:t>-zzzz not in compliance with requirements of Annex 1, Appendix1, article 6  (c), (iii), (b), and article 6 (c), (v), (b),  concerning the fitting of the appliance may continue to be used.”</w:t>
      </w:r>
    </w:p>
    <w:p w14:paraId="65F4DC8D" w14:textId="77777777" w:rsidR="008F1329" w:rsidRDefault="008F1329" w:rsidP="008F1329">
      <w:pPr>
        <w:pStyle w:val="HChG"/>
      </w:pPr>
      <w:r>
        <w:tab/>
      </w:r>
      <w:r>
        <w:tab/>
        <w:t>Justification</w:t>
      </w:r>
    </w:p>
    <w:p w14:paraId="7DBDF7D8" w14:textId="08B31EDF" w:rsidR="008F1329" w:rsidRDefault="00841121" w:rsidP="00EC5DEC">
      <w:pPr>
        <w:pStyle w:val="SingleTxtG"/>
      </w:pPr>
      <w:r>
        <w:t>6.</w:t>
      </w:r>
      <w:r>
        <w:tab/>
      </w:r>
      <w:r w:rsidR="008F1329">
        <w:t xml:space="preserve">The introduction of a new provision will improve the ability of competent authorities to act. In all cases the appliance manufactures recommendation should be followed as far as possible to take care that the performance guaranteed by the test is not impaired. </w:t>
      </w:r>
    </w:p>
    <w:p w14:paraId="76127017" w14:textId="3E8A0384" w:rsidR="008F1329" w:rsidRDefault="00841121" w:rsidP="00EC5DEC">
      <w:pPr>
        <w:pStyle w:val="SingleTxtG"/>
      </w:pPr>
      <w:r>
        <w:t>7.</w:t>
      </w:r>
      <w:r>
        <w:tab/>
      </w:r>
      <w:r w:rsidR="008F1329">
        <w:t>The adoption of the proposal for introducing the new provision in Annex 1, Appendix</w:t>
      </w:r>
      <w:r w:rsidR="003C015C">
        <w:t> </w:t>
      </w:r>
      <w:r w:rsidR="008F1329">
        <w:t xml:space="preserve">1, may be done in combination with the introduction of the Guideline document or without. As a Guideline document is not required to follow the approval procedures for amendments to the agreement and annexes it may be based on an informal document. </w:t>
      </w:r>
    </w:p>
    <w:p w14:paraId="3C632C26" w14:textId="77777777" w:rsidR="008F1329" w:rsidRPr="00E60BED" w:rsidRDefault="008F1329" w:rsidP="008F1329">
      <w:pPr>
        <w:ind w:left="1134"/>
      </w:pPr>
    </w:p>
    <w:tbl>
      <w:tblPr>
        <w:tblW w:w="0" w:type="auto"/>
        <w:tblInd w:w="1134" w:type="dxa"/>
        <w:tblLayout w:type="fixed"/>
        <w:tblCellMar>
          <w:left w:w="0" w:type="dxa"/>
          <w:right w:w="0" w:type="dxa"/>
        </w:tblCellMar>
        <w:tblLook w:val="01E0" w:firstRow="1" w:lastRow="1" w:firstColumn="1" w:lastColumn="1" w:noHBand="0" w:noVBand="0"/>
      </w:tblPr>
      <w:tblGrid>
        <w:gridCol w:w="1421"/>
        <w:gridCol w:w="5809"/>
      </w:tblGrid>
      <w:tr w:rsidR="008F1329" w14:paraId="3B68243D" w14:textId="77777777" w:rsidTr="00970564">
        <w:tc>
          <w:tcPr>
            <w:tcW w:w="1421" w:type="dxa"/>
            <w:shd w:val="clear" w:color="auto" w:fill="auto"/>
          </w:tcPr>
          <w:p w14:paraId="43A18924" w14:textId="77777777" w:rsidR="008F1329" w:rsidRDefault="008F1329" w:rsidP="00284394">
            <w:pPr>
              <w:spacing w:after="120"/>
            </w:pPr>
            <w:r>
              <w:t>Cost</w:t>
            </w:r>
            <w:r w:rsidRPr="00204779">
              <w:t>:</w:t>
            </w:r>
          </w:p>
        </w:tc>
        <w:tc>
          <w:tcPr>
            <w:tcW w:w="5809" w:type="dxa"/>
            <w:shd w:val="clear" w:color="auto" w:fill="auto"/>
          </w:tcPr>
          <w:p w14:paraId="27171407" w14:textId="77777777" w:rsidR="008F1329" w:rsidRDefault="008F1329" w:rsidP="00970564">
            <w:pPr>
              <w:spacing w:after="120"/>
              <w:jc w:val="both"/>
            </w:pPr>
            <w:r>
              <w:t xml:space="preserve">No additional cost </w:t>
            </w:r>
            <w:proofErr w:type="gramStart"/>
            <w:r>
              <w:t>are</w:t>
            </w:r>
            <w:proofErr w:type="gramEnd"/>
            <w:r>
              <w:t xml:space="preserve"> foreseen.</w:t>
            </w:r>
          </w:p>
        </w:tc>
      </w:tr>
      <w:tr w:rsidR="008F1329" w14:paraId="17275A73" w14:textId="77777777" w:rsidTr="00970564">
        <w:tc>
          <w:tcPr>
            <w:tcW w:w="1421" w:type="dxa"/>
            <w:shd w:val="clear" w:color="auto" w:fill="auto"/>
          </w:tcPr>
          <w:p w14:paraId="25430DE1" w14:textId="77777777" w:rsidR="008F1329" w:rsidRDefault="008F1329" w:rsidP="00284394">
            <w:pPr>
              <w:spacing w:after="120"/>
            </w:pPr>
            <w:r>
              <w:t>Feasibility:</w:t>
            </w:r>
          </w:p>
        </w:tc>
        <w:tc>
          <w:tcPr>
            <w:tcW w:w="5809" w:type="dxa"/>
            <w:shd w:val="clear" w:color="auto" w:fill="auto"/>
          </w:tcPr>
          <w:p w14:paraId="187842CA" w14:textId="77777777" w:rsidR="008F1329" w:rsidRDefault="008F1329" w:rsidP="00970564">
            <w:pPr>
              <w:spacing w:after="120"/>
              <w:jc w:val="both"/>
            </w:pPr>
            <w:r>
              <w:t xml:space="preserve">Appliance manufacturers will already provide information how to fit equipment or can advise in particular cases. Competent authorities may see improvement on controlling deviating constructions, and users will be delivered correct functioning equipment. </w:t>
            </w:r>
          </w:p>
          <w:p w14:paraId="58A6EEE3" w14:textId="77777777" w:rsidR="008F1329" w:rsidRDefault="008F1329" w:rsidP="00970564">
            <w:pPr>
              <w:spacing w:after="120"/>
              <w:jc w:val="both"/>
            </w:pPr>
            <w:r>
              <w:t>There are no problems foreseen with the introduction of the new provision.</w:t>
            </w:r>
          </w:p>
        </w:tc>
      </w:tr>
      <w:tr w:rsidR="008F1329" w14:paraId="368A81C0" w14:textId="77777777" w:rsidTr="00970564">
        <w:tc>
          <w:tcPr>
            <w:tcW w:w="1421" w:type="dxa"/>
            <w:shd w:val="clear" w:color="auto" w:fill="auto"/>
          </w:tcPr>
          <w:p w14:paraId="5BC5BB67" w14:textId="77777777" w:rsidR="008F1329" w:rsidRDefault="008F1329" w:rsidP="00284394">
            <w:pPr>
              <w:spacing w:after="120"/>
            </w:pPr>
          </w:p>
        </w:tc>
        <w:tc>
          <w:tcPr>
            <w:tcW w:w="5809" w:type="dxa"/>
            <w:shd w:val="clear" w:color="auto" w:fill="auto"/>
          </w:tcPr>
          <w:p w14:paraId="4BB33F26" w14:textId="77777777" w:rsidR="008F1329" w:rsidRDefault="008F1329" w:rsidP="00970564">
            <w:pPr>
              <w:spacing w:after="120"/>
              <w:jc w:val="both"/>
            </w:pPr>
            <w:r>
              <w:t>A transitional measure is foreseen for equipment constructed before the entry into force.</w:t>
            </w:r>
          </w:p>
        </w:tc>
      </w:tr>
      <w:tr w:rsidR="008F1329" w14:paraId="44553087" w14:textId="77777777" w:rsidTr="00970564">
        <w:tc>
          <w:tcPr>
            <w:tcW w:w="1421" w:type="dxa"/>
            <w:shd w:val="clear" w:color="auto" w:fill="auto"/>
          </w:tcPr>
          <w:p w14:paraId="7AA080A2" w14:textId="77777777" w:rsidR="008F1329" w:rsidRDefault="008F1329" w:rsidP="00284394">
            <w:pPr>
              <w:spacing w:after="120"/>
            </w:pPr>
            <w:r>
              <w:t>Impact:</w:t>
            </w:r>
          </w:p>
        </w:tc>
        <w:tc>
          <w:tcPr>
            <w:tcW w:w="5809" w:type="dxa"/>
            <w:shd w:val="clear" w:color="auto" w:fill="auto"/>
          </w:tcPr>
          <w:p w14:paraId="7A73B78A" w14:textId="77777777" w:rsidR="008F1329" w:rsidRDefault="008F1329" w:rsidP="00970564">
            <w:pPr>
              <w:spacing w:after="120"/>
              <w:jc w:val="both"/>
            </w:pPr>
            <w:r>
              <w:rPr>
                <w:lang w:val="en-US"/>
              </w:rPr>
              <w:t>It will improve the correct functioning of equipment.</w:t>
            </w:r>
          </w:p>
        </w:tc>
      </w:tr>
      <w:tr w:rsidR="008F1329" w14:paraId="78E8B7A2" w14:textId="77777777" w:rsidTr="00970564">
        <w:tc>
          <w:tcPr>
            <w:tcW w:w="1421" w:type="dxa"/>
            <w:shd w:val="clear" w:color="auto" w:fill="auto"/>
          </w:tcPr>
          <w:p w14:paraId="13338D94" w14:textId="77777777" w:rsidR="008F1329" w:rsidRDefault="008F1329" w:rsidP="00284394">
            <w:pPr>
              <w:spacing w:after="120"/>
            </w:pPr>
            <w:r>
              <w:t>Enforceability:</w:t>
            </w:r>
          </w:p>
        </w:tc>
        <w:tc>
          <w:tcPr>
            <w:tcW w:w="5809" w:type="dxa"/>
            <w:shd w:val="clear" w:color="auto" w:fill="auto"/>
          </w:tcPr>
          <w:p w14:paraId="3BCB14C6" w14:textId="77777777" w:rsidR="008F1329" w:rsidRDefault="008F1329" w:rsidP="00970564">
            <w:pPr>
              <w:spacing w:after="120"/>
              <w:jc w:val="both"/>
            </w:pPr>
            <w:r>
              <w:t>Information will be available on the construction.</w:t>
            </w:r>
          </w:p>
        </w:tc>
      </w:tr>
    </w:tbl>
    <w:p w14:paraId="37746D51" w14:textId="1BE20F84" w:rsidR="006A7D8F" w:rsidRPr="008F1329" w:rsidRDefault="008F1329" w:rsidP="008F1329">
      <w:pPr>
        <w:spacing w:before="240"/>
        <w:jc w:val="center"/>
        <w:rPr>
          <w:u w:val="single"/>
        </w:rPr>
      </w:pPr>
      <w:r>
        <w:rPr>
          <w:u w:val="single"/>
        </w:rPr>
        <w:tab/>
      </w:r>
      <w:r>
        <w:rPr>
          <w:u w:val="single"/>
        </w:rPr>
        <w:tab/>
      </w:r>
      <w:r>
        <w:rPr>
          <w:u w:val="single"/>
        </w:rPr>
        <w:tab/>
      </w:r>
    </w:p>
    <w:sectPr w:rsidR="006A7D8F" w:rsidRPr="008F1329" w:rsidSect="00515EF4">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6AF45" w14:textId="77777777" w:rsidR="00A6185B" w:rsidRDefault="00A6185B"/>
  </w:endnote>
  <w:endnote w:type="continuationSeparator" w:id="0">
    <w:p w14:paraId="3A1984DD" w14:textId="77777777" w:rsidR="00A6185B" w:rsidRDefault="00A6185B"/>
  </w:endnote>
  <w:endnote w:type="continuationNotice" w:id="1">
    <w:p w14:paraId="3C456DFD" w14:textId="77777777" w:rsidR="00A6185B" w:rsidRDefault="00A618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CCC7" w14:textId="5088C75B" w:rsidR="00515EF4" w:rsidRPr="00515EF4" w:rsidRDefault="00515EF4" w:rsidP="00515EF4">
    <w:pPr>
      <w:pStyle w:val="Footer"/>
      <w:tabs>
        <w:tab w:val="right" w:pos="9638"/>
      </w:tabs>
      <w:rPr>
        <w:sz w:val="18"/>
      </w:rPr>
    </w:pPr>
    <w:r w:rsidRPr="00515EF4">
      <w:rPr>
        <w:b/>
        <w:sz w:val="18"/>
      </w:rPr>
      <w:fldChar w:fldCharType="begin"/>
    </w:r>
    <w:r w:rsidRPr="00515EF4">
      <w:rPr>
        <w:b/>
        <w:sz w:val="18"/>
      </w:rPr>
      <w:instrText xml:space="preserve"> PAGE  \* MERGEFORMAT </w:instrText>
    </w:r>
    <w:r w:rsidRPr="00515EF4">
      <w:rPr>
        <w:b/>
        <w:sz w:val="18"/>
      </w:rPr>
      <w:fldChar w:fldCharType="separate"/>
    </w:r>
    <w:r w:rsidRPr="00515EF4">
      <w:rPr>
        <w:b/>
        <w:noProof/>
        <w:sz w:val="18"/>
      </w:rPr>
      <w:t>2</w:t>
    </w:r>
    <w:r w:rsidRPr="00515EF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74193" w14:textId="2D9F6D88" w:rsidR="00515EF4" w:rsidRPr="00515EF4" w:rsidRDefault="00515EF4" w:rsidP="00515EF4">
    <w:pPr>
      <w:pStyle w:val="Footer"/>
      <w:tabs>
        <w:tab w:val="right" w:pos="9638"/>
      </w:tabs>
      <w:rPr>
        <w:b/>
        <w:sz w:val="18"/>
      </w:rPr>
    </w:pPr>
    <w:r>
      <w:tab/>
    </w:r>
    <w:r w:rsidRPr="00515EF4">
      <w:rPr>
        <w:b/>
        <w:sz w:val="18"/>
      </w:rPr>
      <w:fldChar w:fldCharType="begin"/>
    </w:r>
    <w:r w:rsidRPr="00515EF4">
      <w:rPr>
        <w:b/>
        <w:sz w:val="18"/>
      </w:rPr>
      <w:instrText xml:space="preserve"> PAGE  \* MERGEFORMAT </w:instrText>
    </w:r>
    <w:r w:rsidRPr="00515EF4">
      <w:rPr>
        <w:b/>
        <w:sz w:val="18"/>
      </w:rPr>
      <w:fldChar w:fldCharType="separate"/>
    </w:r>
    <w:r w:rsidRPr="00515EF4">
      <w:rPr>
        <w:b/>
        <w:noProof/>
        <w:sz w:val="18"/>
      </w:rPr>
      <w:t>3</w:t>
    </w:r>
    <w:r w:rsidRPr="00515EF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FCCE3" w14:textId="1B67E57E" w:rsidR="00786A2C" w:rsidRDefault="00786A2C" w:rsidP="00786A2C">
    <w:pPr>
      <w:pStyle w:val="Footer"/>
    </w:pPr>
    <w:r w:rsidRPr="0027112F">
      <w:rPr>
        <w:noProof/>
        <w:lang w:val="en-US"/>
      </w:rPr>
      <w:drawing>
        <wp:anchor distT="0" distB="0" distL="114300" distR="114300" simplePos="0" relativeHeight="251659264" behindDoc="0" locked="1" layoutInCell="1" allowOverlap="1" wp14:anchorId="7129F7B8" wp14:editId="721143E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BDBD921" w14:textId="03E3DF95" w:rsidR="00786A2C" w:rsidRPr="00786A2C" w:rsidRDefault="00786A2C" w:rsidP="00786A2C">
    <w:pPr>
      <w:pStyle w:val="Footer"/>
      <w:ind w:right="1134"/>
      <w:rPr>
        <w:sz w:val="20"/>
      </w:rPr>
    </w:pPr>
    <w:r>
      <w:rPr>
        <w:sz w:val="20"/>
      </w:rPr>
      <w:t>GE.23-15293(E)</w:t>
    </w:r>
    <w:r>
      <w:rPr>
        <w:noProof/>
        <w:sz w:val="20"/>
      </w:rPr>
      <w:drawing>
        <wp:anchor distT="0" distB="0" distL="114300" distR="114300" simplePos="0" relativeHeight="251660288" behindDoc="0" locked="0" layoutInCell="1" allowOverlap="1" wp14:anchorId="0A4C3A29" wp14:editId="62A1B6CD">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6E7AA" w14:textId="77777777" w:rsidR="00A6185B" w:rsidRPr="000B175B" w:rsidRDefault="00A6185B" w:rsidP="000B175B">
      <w:pPr>
        <w:tabs>
          <w:tab w:val="right" w:pos="2155"/>
        </w:tabs>
        <w:spacing w:after="80"/>
        <w:ind w:left="680"/>
        <w:rPr>
          <w:u w:val="single"/>
        </w:rPr>
      </w:pPr>
      <w:r>
        <w:rPr>
          <w:u w:val="single"/>
        </w:rPr>
        <w:tab/>
      </w:r>
    </w:p>
  </w:footnote>
  <w:footnote w:type="continuationSeparator" w:id="0">
    <w:p w14:paraId="506FD57A" w14:textId="77777777" w:rsidR="00A6185B" w:rsidRPr="00FC68B7" w:rsidRDefault="00A6185B" w:rsidP="00FC68B7">
      <w:pPr>
        <w:tabs>
          <w:tab w:val="left" w:pos="2155"/>
        </w:tabs>
        <w:spacing w:after="80"/>
        <w:ind w:left="680"/>
        <w:rPr>
          <w:u w:val="single"/>
        </w:rPr>
      </w:pPr>
      <w:r>
        <w:rPr>
          <w:u w:val="single"/>
        </w:rPr>
        <w:tab/>
      </w:r>
    </w:p>
  </w:footnote>
  <w:footnote w:type="continuationNotice" w:id="1">
    <w:p w14:paraId="39ED5181" w14:textId="77777777" w:rsidR="00A6185B" w:rsidRDefault="00A618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30DE" w14:textId="3607106F" w:rsidR="00515EF4" w:rsidRPr="00515EF4" w:rsidRDefault="00515EF4">
    <w:pPr>
      <w:pStyle w:val="Header"/>
    </w:pPr>
    <w:r>
      <w:t>ECE/TRANS/WP.11/2023/15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FD45" w14:textId="4C57158B" w:rsidR="00515EF4" w:rsidRPr="00515EF4" w:rsidRDefault="00786A2C" w:rsidP="00515EF4">
    <w:pPr>
      <w:pStyle w:val="Header"/>
      <w:jc w:val="right"/>
    </w:pPr>
    <w:r>
      <w:fldChar w:fldCharType="begin"/>
    </w:r>
    <w:r>
      <w:instrText xml:space="preserve"> TITLE  \* MERGEFORMAT </w:instrText>
    </w:r>
    <w:r>
      <w:fldChar w:fldCharType="separate"/>
    </w:r>
    <w:r w:rsidR="00515EF4">
      <w:t>ECE/TRANS/WP.11/2023/15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8A93B61"/>
    <w:multiLevelType w:val="hybridMultilevel"/>
    <w:tmpl w:val="222C3276"/>
    <w:lvl w:ilvl="0" w:tplc="ED68462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09933270">
    <w:abstractNumId w:val="1"/>
  </w:num>
  <w:num w:numId="2" w16cid:durableId="1929777419">
    <w:abstractNumId w:val="0"/>
  </w:num>
  <w:num w:numId="3" w16cid:durableId="163278265">
    <w:abstractNumId w:val="2"/>
  </w:num>
  <w:num w:numId="4" w16cid:durableId="1228615759">
    <w:abstractNumId w:val="3"/>
  </w:num>
  <w:num w:numId="5" w16cid:durableId="82537494">
    <w:abstractNumId w:val="8"/>
  </w:num>
  <w:num w:numId="6" w16cid:durableId="1313025446">
    <w:abstractNumId w:val="9"/>
  </w:num>
  <w:num w:numId="7" w16cid:durableId="1278833972">
    <w:abstractNumId w:val="7"/>
  </w:num>
  <w:num w:numId="8" w16cid:durableId="537931827">
    <w:abstractNumId w:val="6"/>
  </w:num>
  <w:num w:numId="9" w16cid:durableId="1280527593">
    <w:abstractNumId w:val="5"/>
  </w:num>
  <w:num w:numId="10" w16cid:durableId="2040668302">
    <w:abstractNumId w:val="4"/>
  </w:num>
  <w:num w:numId="11" w16cid:durableId="1097754245">
    <w:abstractNumId w:val="16"/>
  </w:num>
  <w:num w:numId="12" w16cid:durableId="1150828274">
    <w:abstractNumId w:val="15"/>
  </w:num>
  <w:num w:numId="13" w16cid:durableId="1891839220">
    <w:abstractNumId w:val="10"/>
  </w:num>
  <w:num w:numId="14" w16cid:durableId="512108950">
    <w:abstractNumId w:val="13"/>
  </w:num>
  <w:num w:numId="15" w16cid:durableId="1748455246">
    <w:abstractNumId w:val="17"/>
  </w:num>
  <w:num w:numId="16" w16cid:durableId="1318650442">
    <w:abstractNumId w:val="14"/>
  </w:num>
  <w:num w:numId="17" w16cid:durableId="735251068">
    <w:abstractNumId w:val="18"/>
  </w:num>
  <w:num w:numId="18" w16cid:durableId="430276595">
    <w:abstractNumId w:val="19"/>
  </w:num>
  <w:num w:numId="19" w16cid:durableId="2004969673">
    <w:abstractNumId w:val="11"/>
  </w:num>
  <w:num w:numId="20" w16cid:durableId="1046370329">
    <w:abstractNumId w:val="11"/>
  </w:num>
  <w:num w:numId="21" w16cid:durableId="23475223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EF4"/>
    <w:rsid w:val="00002A7D"/>
    <w:rsid w:val="000038A8"/>
    <w:rsid w:val="00006790"/>
    <w:rsid w:val="00027624"/>
    <w:rsid w:val="00050F6B"/>
    <w:rsid w:val="0006774E"/>
    <w:rsid w:val="000678CD"/>
    <w:rsid w:val="00072C8C"/>
    <w:rsid w:val="00081CE0"/>
    <w:rsid w:val="00084D30"/>
    <w:rsid w:val="00090320"/>
    <w:rsid w:val="000931C0"/>
    <w:rsid w:val="0009732C"/>
    <w:rsid w:val="000A01F9"/>
    <w:rsid w:val="000A2E09"/>
    <w:rsid w:val="000B175B"/>
    <w:rsid w:val="000B3A0F"/>
    <w:rsid w:val="000D22E5"/>
    <w:rsid w:val="000E0415"/>
    <w:rsid w:val="000E73D1"/>
    <w:rsid w:val="000F7715"/>
    <w:rsid w:val="00156B99"/>
    <w:rsid w:val="0016409E"/>
    <w:rsid w:val="00166124"/>
    <w:rsid w:val="00184DDA"/>
    <w:rsid w:val="001900CD"/>
    <w:rsid w:val="001A0452"/>
    <w:rsid w:val="001B4B04"/>
    <w:rsid w:val="001B5875"/>
    <w:rsid w:val="001C4B9C"/>
    <w:rsid w:val="001C6663"/>
    <w:rsid w:val="001C7895"/>
    <w:rsid w:val="001D26DF"/>
    <w:rsid w:val="001E555D"/>
    <w:rsid w:val="001F1599"/>
    <w:rsid w:val="001F19C4"/>
    <w:rsid w:val="001F24E5"/>
    <w:rsid w:val="002043F0"/>
    <w:rsid w:val="00211E0B"/>
    <w:rsid w:val="00232575"/>
    <w:rsid w:val="00247258"/>
    <w:rsid w:val="00257CAC"/>
    <w:rsid w:val="00264441"/>
    <w:rsid w:val="0027237A"/>
    <w:rsid w:val="00284394"/>
    <w:rsid w:val="002974E9"/>
    <w:rsid w:val="002A7F94"/>
    <w:rsid w:val="002B109A"/>
    <w:rsid w:val="002C6D45"/>
    <w:rsid w:val="002D6E53"/>
    <w:rsid w:val="002F046D"/>
    <w:rsid w:val="002F3023"/>
    <w:rsid w:val="002F5912"/>
    <w:rsid w:val="00301764"/>
    <w:rsid w:val="003229D8"/>
    <w:rsid w:val="00336C97"/>
    <w:rsid w:val="00337F88"/>
    <w:rsid w:val="00342432"/>
    <w:rsid w:val="0035223F"/>
    <w:rsid w:val="003522E2"/>
    <w:rsid w:val="00352D4B"/>
    <w:rsid w:val="0035638C"/>
    <w:rsid w:val="003A46BB"/>
    <w:rsid w:val="003A4EC7"/>
    <w:rsid w:val="003A7295"/>
    <w:rsid w:val="003B1F60"/>
    <w:rsid w:val="003C015C"/>
    <w:rsid w:val="003C2CC4"/>
    <w:rsid w:val="003D4B23"/>
    <w:rsid w:val="003E278A"/>
    <w:rsid w:val="003F2A0C"/>
    <w:rsid w:val="00413520"/>
    <w:rsid w:val="00430D57"/>
    <w:rsid w:val="004325CB"/>
    <w:rsid w:val="00433458"/>
    <w:rsid w:val="00440A07"/>
    <w:rsid w:val="00462880"/>
    <w:rsid w:val="00476F24"/>
    <w:rsid w:val="004C55B0"/>
    <w:rsid w:val="004F3373"/>
    <w:rsid w:val="004F6BA0"/>
    <w:rsid w:val="00503BEA"/>
    <w:rsid w:val="00515EF4"/>
    <w:rsid w:val="00533616"/>
    <w:rsid w:val="00535ABA"/>
    <w:rsid w:val="0053768B"/>
    <w:rsid w:val="0053775F"/>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50CA"/>
    <w:rsid w:val="006770B2"/>
    <w:rsid w:val="00686A48"/>
    <w:rsid w:val="006940E1"/>
    <w:rsid w:val="006A3C72"/>
    <w:rsid w:val="006A7392"/>
    <w:rsid w:val="006A7D8F"/>
    <w:rsid w:val="006B03A1"/>
    <w:rsid w:val="006B36AE"/>
    <w:rsid w:val="006B67D9"/>
    <w:rsid w:val="006C27B6"/>
    <w:rsid w:val="006C5535"/>
    <w:rsid w:val="006D0589"/>
    <w:rsid w:val="006E51D1"/>
    <w:rsid w:val="006E564B"/>
    <w:rsid w:val="006E7154"/>
    <w:rsid w:val="007003CD"/>
    <w:rsid w:val="0070701E"/>
    <w:rsid w:val="00710F8D"/>
    <w:rsid w:val="007173E0"/>
    <w:rsid w:val="0072632A"/>
    <w:rsid w:val="007358E8"/>
    <w:rsid w:val="00736ECE"/>
    <w:rsid w:val="0074533B"/>
    <w:rsid w:val="007643BC"/>
    <w:rsid w:val="007801C5"/>
    <w:rsid w:val="00780C68"/>
    <w:rsid w:val="00786A2C"/>
    <w:rsid w:val="007959FE"/>
    <w:rsid w:val="00797028"/>
    <w:rsid w:val="007A0CF1"/>
    <w:rsid w:val="007A478E"/>
    <w:rsid w:val="007B678C"/>
    <w:rsid w:val="007B6BA5"/>
    <w:rsid w:val="007C3390"/>
    <w:rsid w:val="007C42D8"/>
    <w:rsid w:val="007C4F4B"/>
    <w:rsid w:val="007D7362"/>
    <w:rsid w:val="007F5CE2"/>
    <w:rsid w:val="007F6611"/>
    <w:rsid w:val="00800522"/>
    <w:rsid w:val="00810BAC"/>
    <w:rsid w:val="008175E9"/>
    <w:rsid w:val="008242D7"/>
    <w:rsid w:val="0082577B"/>
    <w:rsid w:val="008272DD"/>
    <w:rsid w:val="00841121"/>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329"/>
    <w:rsid w:val="008F143B"/>
    <w:rsid w:val="008F3882"/>
    <w:rsid w:val="008F4B7C"/>
    <w:rsid w:val="008F6882"/>
    <w:rsid w:val="00926E47"/>
    <w:rsid w:val="00947162"/>
    <w:rsid w:val="009610D0"/>
    <w:rsid w:val="0096375C"/>
    <w:rsid w:val="009662E6"/>
    <w:rsid w:val="00970564"/>
    <w:rsid w:val="0097095E"/>
    <w:rsid w:val="0098592B"/>
    <w:rsid w:val="00985FC4"/>
    <w:rsid w:val="00990766"/>
    <w:rsid w:val="00991261"/>
    <w:rsid w:val="009964C4"/>
    <w:rsid w:val="009A7035"/>
    <w:rsid w:val="009A7B81"/>
    <w:rsid w:val="009D01C0"/>
    <w:rsid w:val="009D6A08"/>
    <w:rsid w:val="009E0A16"/>
    <w:rsid w:val="009E6CB7"/>
    <w:rsid w:val="009E7970"/>
    <w:rsid w:val="009F2EAC"/>
    <w:rsid w:val="009F57E3"/>
    <w:rsid w:val="00A10F4F"/>
    <w:rsid w:val="00A11067"/>
    <w:rsid w:val="00A1704A"/>
    <w:rsid w:val="00A27712"/>
    <w:rsid w:val="00A425EB"/>
    <w:rsid w:val="00A6185B"/>
    <w:rsid w:val="00A62DF0"/>
    <w:rsid w:val="00A72F22"/>
    <w:rsid w:val="00A733BC"/>
    <w:rsid w:val="00A748A6"/>
    <w:rsid w:val="00A76A69"/>
    <w:rsid w:val="00A82916"/>
    <w:rsid w:val="00A879A4"/>
    <w:rsid w:val="00AA0FF8"/>
    <w:rsid w:val="00AC0F2C"/>
    <w:rsid w:val="00AC502A"/>
    <w:rsid w:val="00AF58C1"/>
    <w:rsid w:val="00B04A3F"/>
    <w:rsid w:val="00B06643"/>
    <w:rsid w:val="00B15055"/>
    <w:rsid w:val="00B20551"/>
    <w:rsid w:val="00B23D55"/>
    <w:rsid w:val="00B30179"/>
    <w:rsid w:val="00B33FC7"/>
    <w:rsid w:val="00B37B15"/>
    <w:rsid w:val="00B45C02"/>
    <w:rsid w:val="00B51D8E"/>
    <w:rsid w:val="00B70B63"/>
    <w:rsid w:val="00B72A1E"/>
    <w:rsid w:val="00B81E12"/>
    <w:rsid w:val="00B96A38"/>
    <w:rsid w:val="00BA038D"/>
    <w:rsid w:val="00BA339B"/>
    <w:rsid w:val="00BB23CC"/>
    <w:rsid w:val="00BC1E7E"/>
    <w:rsid w:val="00BC74E9"/>
    <w:rsid w:val="00BD28B8"/>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5E1B"/>
    <w:rsid w:val="00C978F5"/>
    <w:rsid w:val="00CA24A4"/>
    <w:rsid w:val="00CB348D"/>
    <w:rsid w:val="00CC1D55"/>
    <w:rsid w:val="00CD46F5"/>
    <w:rsid w:val="00CE4A8F"/>
    <w:rsid w:val="00CE78F6"/>
    <w:rsid w:val="00CF071D"/>
    <w:rsid w:val="00D0123D"/>
    <w:rsid w:val="00D049F0"/>
    <w:rsid w:val="00D15B04"/>
    <w:rsid w:val="00D2031B"/>
    <w:rsid w:val="00D25FE2"/>
    <w:rsid w:val="00D3110C"/>
    <w:rsid w:val="00D368BE"/>
    <w:rsid w:val="00D37DA9"/>
    <w:rsid w:val="00D406A7"/>
    <w:rsid w:val="00D40765"/>
    <w:rsid w:val="00D43252"/>
    <w:rsid w:val="00D44D86"/>
    <w:rsid w:val="00D50B7D"/>
    <w:rsid w:val="00D52012"/>
    <w:rsid w:val="00D704E5"/>
    <w:rsid w:val="00D72727"/>
    <w:rsid w:val="00D73E11"/>
    <w:rsid w:val="00D978C6"/>
    <w:rsid w:val="00DA0956"/>
    <w:rsid w:val="00DA357F"/>
    <w:rsid w:val="00DA3E12"/>
    <w:rsid w:val="00DB6908"/>
    <w:rsid w:val="00DC18AD"/>
    <w:rsid w:val="00DE1F0F"/>
    <w:rsid w:val="00DF2005"/>
    <w:rsid w:val="00DF7CAE"/>
    <w:rsid w:val="00E423C0"/>
    <w:rsid w:val="00E6414C"/>
    <w:rsid w:val="00E667B9"/>
    <w:rsid w:val="00E7260F"/>
    <w:rsid w:val="00E73DE9"/>
    <w:rsid w:val="00E807E9"/>
    <w:rsid w:val="00E8702D"/>
    <w:rsid w:val="00E905F4"/>
    <w:rsid w:val="00E916A9"/>
    <w:rsid w:val="00E916DE"/>
    <w:rsid w:val="00E925AD"/>
    <w:rsid w:val="00E96630"/>
    <w:rsid w:val="00EC5DEC"/>
    <w:rsid w:val="00ED18DC"/>
    <w:rsid w:val="00ED6201"/>
    <w:rsid w:val="00ED7A2A"/>
    <w:rsid w:val="00EF1D7F"/>
    <w:rsid w:val="00F0137E"/>
    <w:rsid w:val="00F21786"/>
    <w:rsid w:val="00F3742B"/>
    <w:rsid w:val="00F41FDB"/>
    <w:rsid w:val="00F50596"/>
    <w:rsid w:val="00F56D63"/>
    <w:rsid w:val="00F609A9"/>
    <w:rsid w:val="00F800E5"/>
    <w:rsid w:val="00F80C99"/>
    <w:rsid w:val="00F82D4C"/>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5E86"/>
  <w15:docId w15:val="{4B74EF6B-9765-45BC-86C9-2436C89E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paragraph" w:styleId="Revision">
    <w:name w:val="Revision"/>
    <w:hidden/>
    <w:uiPriority w:val="99"/>
    <w:semiHidden/>
    <w:rsid w:val="006A7D8F"/>
    <w:pPr>
      <w:spacing w:line="240" w:lineRule="auto"/>
    </w:pPr>
    <w:rPr>
      <w:lang w:val="en-GB"/>
    </w:rPr>
  </w:style>
  <w:style w:type="character" w:customStyle="1" w:styleId="HChGChar">
    <w:name w:val="_ H _Ch_G Char"/>
    <w:link w:val="HChG"/>
    <w:rsid w:val="008F1329"/>
    <w:rPr>
      <w:b/>
      <w:sz w:val="28"/>
      <w:lang w:val="en-GB"/>
    </w:rPr>
  </w:style>
  <w:style w:type="character" w:styleId="CommentReference">
    <w:name w:val="annotation reference"/>
    <w:basedOn w:val="DefaultParagraphFont"/>
    <w:semiHidden/>
    <w:unhideWhenUsed/>
    <w:rsid w:val="00D73E11"/>
    <w:rPr>
      <w:sz w:val="16"/>
      <w:szCs w:val="16"/>
    </w:rPr>
  </w:style>
  <w:style w:type="paragraph" w:styleId="CommentText">
    <w:name w:val="annotation text"/>
    <w:basedOn w:val="Normal"/>
    <w:link w:val="CommentTextChar"/>
    <w:unhideWhenUsed/>
    <w:rsid w:val="00D73E11"/>
    <w:pPr>
      <w:spacing w:line="240" w:lineRule="auto"/>
    </w:pPr>
  </w:style>
  <w:style w:type="character" w:customStyle="1" w:styleId="CommentTextChar">
    <w:name w:val="Comment Text Char"/>
    <w:basedOn w:val="DefaultParagraphFont"/>
    <w:link w:val="CommentText"/>
    <w:rsid w:val="00D73E11"/>
    <w:rPr>
      <w:lang w:val="en-GB"/>
    </w:rPr>
  </w:style>
  <w:style w:type="paragraph" w:styleId="CommentSubject">
    <w:name w:val="annotation subject"/>
    <w:basedOn w:val="CommentText"/>
    <w:next w:val="CommentText"/>
    <w:link w:val="CommentSubjectChar"/>
    <w:semiHidden/>
    <w:unhideWhenUsed/>
    <w:rsid w:val="00D73E11"/>
    <w:rPr>
      <w:b/>
      <w:bCs/>
    </w:rPr>
  </w:style>
  <w:style w:type="character" w:customStyle="1" w:styleId="CommentSubjectChar">
    <w:name w:val="Comment Subject Char"/>
    <w:basedOn w:val="CommentTextChar"/>
    <w:link w:val="CommentSubject"/>
    <w:semiHidden/>
    <w:rsid w:val="00D73E11"/>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guidelines-telematics-application-standards-construction-and-approval-vehicles-calculation-risk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2.xml><?xml version="1.0" encoding="utf-8"?>
<ds:datastoreItem xmlns:ds="http://schemas.openxmlformats.org/officeDocument/2006/customXml" ds:itemID="{4045D19C-A6F0-4268-B544-F08F4E2CA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4.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2</Pages>
  <Words>613</Words>
  <Characters>3612</Characters>
  <Application>Microsoft Office Word</Application>
  <DocSecurity>0</DocSecurity>
  <Lines>90</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ECE/TRANS/WP.11/2023/15</dc:title>
  <dc:subject>2315293</dc:subject>
  <dc:creator>ND</dc:creator>
  <cp:keywords/>
  <dc:description/>
  <cp:lastModifiedBy>Ma. Cristina Brigoli</cp:lastModifiedBy>
  <cp:revision>2</cp:revision>
  <cp:lastPrinted>2009-02-18T09:36:00Z</cp:lastPrinted>
  <dcterms:created xsi:type="dcterms:W3CDTF">2023-08-07T12:22:00Z</dcterms:created>
  <dcterms:modified xsi:type="dcterms:W3CDTF">2023-08-07T12:22:00Z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