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19CAB83" w14:textId="77777777" w:rsidTr="00C97039">
        <w:trPr>
          <w:trHeight w:hRule="exact" w:val="851"/>
        </w:trPr>
        <w:tc>
          <w:tcPr>
            <w:tcW w:w="1276" w:type="dxa"/>
            <w:tcBorders>
              <w:bottom w:val="single" w:sz="4" w:space="0" w:color="auto"/>
            </w:tcBorders>
          </w:tcPr>
          <w:p w14:paraId="3A003A94" w14:textId="77777777" w:rsidR="00F35BAF" w:rsidRPr="00DB58B5" w:rsidRDefault="00F35BAF" w:rsidP="00B358DA"/>
        </w:tc>
        <w:tc>
          <w:tcPr>
            <w:tcW w:w="2268" w:type="dxa"/>
            <w:tcBorders>
              <w:bottom w:val="single" w:sz="4" w:space="0" w:color="auto"/>
            </w:tcBorders>
            <w:vAlign w:val="bottom"/>
          </w:tcPr>
          <w:p w14:paraId="35D41BB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5379D5C" w14:textId="437DE8B8" w:rsidR="00F35BAF" w:rsidRPr="00DB58B5" w:rsidRDefault="00B358DA" w:rsidP="00B358DA">
            <w:pPr>
              <w:jc w:val="right"/>
            </w:pPr>
            <w:r w:rsidRPr="00B358DA">
              <w:rPr>
                <w:sz w:val="40"/>
              </w:rPr>
              <w:t>ECE</w:t>
            </w:r>
            <w:r>
              <w:t>/TRANS/WP.11/2023/15</w:t>
            </w:r>
          </w:p>
        </w:tc>
      </w:tr>
      <w:tr w:rsidR="00F35BAF" w:rsidRPr="00DB58B5" w14:paraId="0A237CB6" w14:textId="77777777" w:rsidTr="00C97039">
        <w:trPr>
          <w:trHeight w:hRule="exact" w:val="2835"/>
        </w:trPr>
        <w:tc>
          <w:tcPr>
            <w:tcW w:w="1276" w:type="dxa"/>
            <w:tcBorders>
              <w:top w:val="single" w:sz="4" w:space="0" w:color="auto"/>
              <w:bottom w:val="single" w:sz="12" w:space="0" w:color="auto"/>
            </w:tcBorders>
          </w:tcPr>
          <w:p w14:paraId="526C994E" w14:textId="77777777" w:rsidR="00F35BAF" w:rsidRPr="00DB58B5" w:rsidRDefault="00F35BAF" w:rsidP="00C97039">
            <w:pPr>
              <w:spacing w:before="120"/>
              <w:jc w:val="center"/>
            </w:pPr>
            <w:r>
              <w:rPr>
                <w:noProof/>
                <w:lang w:eastAsia="fr-CH"/>
              </w:rPr>
              <w:drawing>
                <wp:inline distT="0" distB="0" distL="0" distR="0" wp14:anchorId="0F95A896" wp14:editId="7B713C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42219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1B69EB5" w14:textId="77777777" w:rsidR="00F35BAF" w:rsidRDefault="00B358DA" w:rsidP="00C97039">
            <w:pPr>
              <w:spacing w:before="240"/>
            </w:pPr>
            <w:r>
              <w:t>Distr. générale</w:t>
            </w:r>
          </w:p>
          <w:p w14:paraId="182EF886" w14:textId="77777777" w:rsidR="00B358DA" w:rsidRDefault="00B358DA" w:rsidP="00B358DA">
            <w:pPr>
              <w:spacing w:line="240" w:lineRule="exact"/>
            </w:pPr>
            <w:r>
              <w:t>7 août 2023</w:t>
            </w:r>
          </w:p>
          <w:p w14:paraId="302109CC" w14:textId="77777777" w:rsidR="00B358DA" w:rsidRDefault="00B358DA" w:rsidP="00B358DA">
            <w:pPr>
              <w:spacing w:line="240" w:lineRule="exact"/>
            </w:pPr>
            <w:r>
              <w:t>Français</w:t>
            </w:r>
          </w:p>
          <w:p w14:paraId="230ECEE2" w14:textId="50FDE57B" w:rsidR="00B358DA" w:rsidRPr="00DB58B5" w:rsidRDefault="00B358DA" w:rsidP="00B358DA">
            <w:pPr>
              <w:spacing w:line="240" w:lineRule="exact"/>
            </w:pPr>
            <w:r>
              <w:t>Original : anglais</w:t>
            </w:r>
          </w:p>
        </w:tc>
      </w:tr>
    </w:tbl>
    <w:p w14:paraId="0E7405F9" w14:textId="3BDC771F" w:rsidR="007F20FA" w:rsidRPr="000312C0" w:rsidRDefault="007F20FA" w:rsidP="007F20FA">
      <w:pPr>
        <w:spacing w:before="120"/>
        <w:rPr>
          <w:b/>
          <w:sz w:val="28"/>
          <w:szCs w:val="28"/>
        </w:rPr>
      </w:pPr>
      <w:r w:rsidRPr="000312C0">
        <w:rPr>
          <w:b/>
          <w:sz w:val="28"/>
          <w:szCs w:val="28"/>
        </w:rPr>
        <w:t>Commission économique pour l</w:t>
      </w:r>
      <w:r w:rsidR="000C3A00">
        <w:rPr>
          <w:b/>
          <w:sz w:val="28"/>
          <w:szCs w:val="28"/>
        </w:rPr>
        <w:t>’</w:t>
      </w:r>
      <w:r w:rsidRPr="000312C0">
        <w:rPr>
          <w:b/>
          <w:sz w:val="28"/>
          <w:szCs w:val="28"/>
        </w:rPr>
        <w:t>Europe</w:t>
      </w:r>
    </w:p>
    <w:p w14:paraId="1415C93F" w14:textId="77777777" w:rsidR="007F20FA" w:rsidRDefault="007F20FA" w:rsidP="007F20FA">
      <w:pPr>
        <w:spacing w:before="120"/>
        <w:rPr>
          <w:sz w:val="28"/>
          <w:szCs w:val="28"/>
        </w:rPr>
      </w:pPr>
      <w:r w:rsidRPr="00685843">
        <w:rPr>
          <w:sz w:val="28"/>
          <w:szCs w:val="28"/>
        </w:rPr>
        <w:t>Comité des transports intérieurs</w:t>
      </w:r>
    </w:p>
    <w:p w14:paraId="4A03DDC4" w14:textId="77777777" w:rsidR="00B358DA" w:rsidRPr="00685843" w:rsidRDefault="00B358DA" w:rsidP="00305801">
      <w:pPr>
        <w:spacing w:before="120"/>
        <w:rPr>
          <w:b/>
          <w:sz w:val="24"/>
          <w:szCs w:val="24"/>
        </w:rPr>
      </w:pPr>
      <w:r>
        <w:rPr>
          <w:b/>
          <w:sz w:val="24"/>
          <w:szCs w:val="24"/>
        </w:rPr>
        <w:t>Groupe de travail du transport des denrées périssables</w:t>
      </w:r>
    </w:p>
    <w:p w14:paraId="115F78FB" w14:textId="67E99C75" w:rsidR="00B358DA" w:rsidRPr="00F30D47" w:rsidRDefault="00B358DA" w:rsidP="00305801">
      <w:pPr>
        <w:spacing w:before="120"/>
        <w:rPr>
          <w:b/>
        </w:rPr>
      </w:pPr>
      <w:r>
        <w:rPr>
          <w:b/>
          <w:bCs/>
          <w:lang w:val="fr-FR"/>
        </w:rPr>
        <w:t>Quatre-vingtième</w:t>
      </w:r>
      <w:r>
        <w:rPr>
          <w:b/>
        </w:rPr>
        <w:t xml:space="preserve"> </w:t>
      </w:r>
      <w:r w:rsidRPr="00F30D47">
        <w:rPr>
          <w:b/>
        </w:rPr>
        <w:t>session</w:t>
      </w:r>
    </w:p>
    <w:p w14:paraId="16B0E152" w14:textId="3996F4DC" w:rsidR="00B358DA" w:rsidRDefault="00B358DA" w:rsidP="00305801">
      <w:r>
        <w:t xml:space="preserve">Genève, </w:t>
      </w:r>
      <w:r>
        <w:rPr>
          <w:lang w:val="fr-FR"/>
        </w:rPr>
        <w:t>24-27 octobre 2023</w:t>
      </w:r>
    </w:p>
    <w:p w14:paraId="1AC0B9BE" w14:textId="14A4FB5B" w:rsidR="00B358DA" w:rsidRDefault="00B358DA" w:rsidP="00305801">
      <w:r>
        <w:t>Point 5 b) de l</w:t>
      </w:r>
      <w:r w:rsidR="000C3A00">
        <w:t>’</w:t>
      </w:r>
      <w:r>
        <w:t>ordre du jour provisoire</w:t>
      </w:r>
    </w:p>
    <w:p w14:paraId="787ECFC1" w14:textId="76D6C378" w:rsidR="00B358DA" w:rsidRPr="006C1A2B" w:rsidRDefault="00B358DA" w:rsidP="00B358DA">
      <w:pPr>
        <w:rPr>
          <w:b/>
          <w:bCs/>
          <w:lang w:val="fr-FR"/>
        </w:rPr>
      </w:pPr>
      <w:r>
        <w:rPr>
          <w:b/>
          <w:bCs/>
          <w:lang w:val="fr-FR"/>
        </w:rPr>
        <w:t>Propositions d</w:t>
      </w:r>
      <w:r w:rsidR="000C3A00">
        <w:rPr>
          <w:b/>
          <w:bCs/>
          <w:lang w:val="fr-FR"/>
        </w:rPr>
        <w:t>’</w:t>
      </w:r>
      <w:r>
        <w:rPr>
          <w:b/>
          <w:bCs/>
          <w:lang w:val="fr-FR"/>
        </w:rPr>
        <w:t>amendements à l</w:t>
      </w:r>
      <w:r w:rsidR="000C3A00">
        <w:rPr>
          <w:b/>
          <w:bCs/>
          <w:lang w:val="fr-FR"/>
        </w:rPr>
        <w:t>’</w:t>
      </w:r>
      <w:r>
        <w:rPr>
          <w:b/>
          <w:bCs/>
          <w:lang w:val="fr-FR"/>
        </w:rPr>
        <w:t>ATP</w:t>
      </w:r>
      <w:r w:rsidR="00A82497">
        <w:rPr>
          <w:b/>
          <w:bCs/>
          <w:lang w:val="fr-FR"/>
        </w:rPr>
        <w:t> </w:t>
      </w:r>
      <w:r>
        <w:rPr>
          <w:b/>
          <w:bCs/>
          <w:lang w:val="fr-FR"/>
        </w:rPr>
        <w:t>:</w:t>
      </w:r>
    </w:p>
    <w:p w14:paraId="33F51FEB" w14:textId="77777777" w:rsidR="00B358DA" w:rsidRPr="006C1A2B" w:rsidRDefault="00B358DA" w:rsidP="00B358DA">
      <w:pPr>
        <w:rPr>
          <w:b/>
          <w:bCs/>
          <w:lang w:val="fr-FR"/>
        </w:rPr>
      </w:pPr>
      <w:r>
        <w:rPr>
          <w:b/>
          <w:bCs/>
          <w:lang w:val="fr-FR"/>
        </w:rPr>
        <w:t>Nouvelles propositions</w:t>
      </w:r>
    </w:p>
    <w:p w14:paraId="5DD63723" w14:textId="61053961" w:rsidR="00B358DA" w:rsidRPr="006C1A2B" w:rsidRDefault="00B358DA" w:rsidP="00B358DA">
      <w:pPr>
        <w:pStyle w:val="HChG"/>
        <w:rPr>
          <w:lang w:val="fr-FR"/>
        </w:rPr>
      </w:pPr>
      <w:r>
        <w:rPr>
          <w:lang w:val="fr-FR"/>
        </w:rPr>
        <w:tab/>
      </w:r>
      <w:r>
        <w:rPr>
          <w:lang w:val="fr-FR"/>
        </w:rPr>
        <w:tab/>
        <w:t>Prescriptions relatives à l</w:t>
      </w:r>
      <w:r w:rsidR="000C3A00">
        <w:rPr>
          <w:lang w:val="fr-FR"/>
        </w:rPr>
        <w:t>’</w:t>
      </w:r>
      <w:r>
        <w:rPr>
          <w:lang w:val="fr-FR"/>
        </w:rPr>
        <w:t>installation de groupes frigorifiques sur les engins</w:t>
      </w:r>
    </w:p>
    <w:p w14:paraId="5B1889A7" w14:textId="7E0E1F77" w:rsidR="00F9573C" w:rsidRDefault="00B358DA" w:rsidP="00B358DA">
      <w:pPr>
        <w:pStyle w:val="H1G"/>
        <w:rPr>
          <w:lang w:val="fr-FR"/>
        </w:rPr>
      </w:pPr>
      <w:r>
        <w:rPr>
          <w:lang w:val="fr-FR"/>
        </w:rPr>
        <w:tab/>
      </w:r>
      <w:r>
        <w:rPr>
          <w:lang w:val="fr-FR"/>
        </w:rPr>
        <w:tab/>
        <w:t>Communication du Gouvernement néerlandais</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B358DA" w14:paraId="5C43743A" w14:textId="77777777" w:rsidTr="00B358DA">
        <w:trPr>
          <w:jc w:val="center"/>
        </w:trPr>
        <w:tc>
          <w:tcPr>
            <w:tcW w:w="9628" w:type="dxa"/>
            <w:shd w:val="clear" w:color="auto" w:fill="auto"/>
          </w:tcPr>
          <w:p w14:paraId="262E60C7" w14:textId="77777777" w:rsidR="00B358DA" w:rsidRDefault="00B358DA">
            <w:pPr>
              <w:spacing w:before="240" w:after="120"/>
              <w:ind w:left="255"/>
              <w:rPr>
                <w:i/>
                <w:sz w:val="24"/>
              </w:rPr>
            </w:pPr>
            <w:r>
              <w:rPr>
                <w:i/>
                <w:sz w:val="24"/>
              </w:rPr>
              <w:t>Résumé</w:t>
            </w:r>
          </w:p>
        </w:tc>
      </w:tr>
      <w:tr w:rsidR="00B358DA" w14:paraId="72F2BA72" w14:textId="77777777" w:rsidTr="00B358DA">
        <w:trPr>
          <w:jc w:val="center"/>
        </w:trPr>
        <w:tc>
          <w:tcPr>
            <w:tcW w:w="9628" w:type="dxa"/>
            <w:shd w:val="clear" w:color="auto" w:fill="auto"/>
          </w:tcPr>
          <w:p w14:paraId="22CECF48" w14:textId="18E4A4D4" w:rsidR="00B358DA" w:rsidRDefault="00B358DA" w:rsidP="00B358DA">
            <w:pPr>
              <w:pStyle w:val="SingleTxtG"/>
              <w:ind w:left="3402" w:hanging="2268"/>
            </w:pPr>
            <w:r w:rsidRPr="00311CAC">
              <w:rPr>
                <w:b/>
                <w:bCs/>
                <w:lang w:val="fr-FR"/>
              </w:rPr>
              <w:t>Résumé analytique :</w:t>
            </w:r>
            <w:r>
              <w:rPr>
                <w:lang w:val="fr-FR"/>
              </w:rPr>
              <w:tab/>
              <w:t>Dans le présent document, il est proposé d</w:t>
            </w:r>
            <w:r w:rsidR="000C3A00">
              <w:rPr>
                <w:lang w:val="fr-FR"/>
              </w:rPr>
              <w:t>’</w:t>
            </w:r>
            <w:r>
              <w:rPr>
                <w:lang w:val="fr-FR"/>
              </w:rPr>
              <w:t>inclure dans l</w:t>
            </w:r>
            <w:r w:rsidR="000C3A00">
              <w:rPr>
                <w:lang w:val="fr-FR"/>
              </w:rPr>
              <w:t>’</w:t>
            </w:r>
            <w:r>
              <w:rPr>
                <w:lang w:val="fr-FR"/>
              </w:rPr>
              <w:t>ATP une disposition qui permettrait aux autorités compétentes de refuser certaines constructions dans lesquelles les performances attendues du dispositif thermique sont limitées. Il est également proposé d</w:t>
            </w:r>
            <w:r w:rsidR="000C3A00">
              <w:rPr>
                <w:lang w:val="fr-FR"/>
              </w:rPr>
              <w:t>’</w:t>
            </w:r>
            <w:r>
              <w:rPr>
                <w:lang w:val="fr-FR"/>
              </w:rPr>
              <w:t>élaborer un document d</w:t>
            </w:r>
            <w:r w:rsidR="000C3A00">
              <w:rPr>
                <w:lang w:val="fr-FR"/>
              </w:rPr>
              <w:t>’</w:t>
            </w:r>
            <w:r>
              <w:rPr>
                <w:lang w:val="fr-FR"/>
              </w:rPr>
              <w:t>orientation qui serait mis en ligne sur le site Web de la CEE et donnerait des instructions détaillées sur l</w:t>
            </w:r>
            <w:r w:rsidR="000C3A00">
              <w:rPr>
                <w:lang w:val="fr-FR"/>
              </w:rPr>
              <w:t>’</w:t>
            </w:r>
            <w:r>
              <w:rPr>
                <w:lang w:val="fr-FR"/>
              </w:rPr>
              <w:t>installation de dispositifs thermiques.</w:t>
            </w:r>
          </w:p>
        </w:tc>
      </w:tr>
      <w:tr w:rsidR="00B358DA" w14:paraId="2E17F44E" w14:textId="77777777" w:rsidTr="00B358DA">
        <w:trPr>
          <w:jc w:val="center"/>
        </w:trPr>
        <w:tc>
          <w:tcPr>
            <w:tcW w:w="9628" w:type="dxa"/>
            <w:shd w:val="clear" w:color="auto" w:fill="auto"/>
          </w:tcPr>
          <w:p w14:paraId="259DB43B" w14:textId="51E3A3AA" w:rsidR="00B358DA" w:rsidRDefault="00B358DA" w:rsidP="00B358DA">
            <w:pPr>
              <w:pStyle w:val="SingleTxtG"/>
              <w:ind w:left="3402" w:hanging="2268"/>
            </w:pPr>
            <w:r>
              <w:rPr>
                <w:b/>
                <w:bCs/>
                <w:lang w:val="fr-FR"/>
              </w:rPr>
              <w:t>Mesures à prendre :</w:t>
            </w:r>
            <w:r>
              <w:rPr>
                <w:lang w:val="fr-FR"/>
              </w:rPr>
              <w:tab/>
              <w:t>Insérer un nouveau paragraphe à la fin des alinéas 6 c) iii) b) et 6 c) v) b) de l</w:t>
            </w:r>
            <w:r w:rsidR="000C3A00">
              <w:rPr>
                <w:lang w:val="fr-FR"/>
              </w:rPr>
              <w:t>’</w:t>
            </w:r>
            <w:r>
              <w:rPr>
                <w:lang w:val="fr-FR"/>
              </w:rPr>
              <w:t>appendice 1 de l</w:t>
            </w:r>
            <w:r w:rsidR="000C3A00">
              <w:rPr>
                <w:lang w:val="fr-FR"/>
              </w:rPr>
              <w:t>’</w:t>
            </w:r>
            <w:r>
              <w:rPr>
                <w:lang w:val="fr-FR"/>
              </w:rPr>
              <w:t>annexe 1</w:t>
            </w:r>
          </w:p>
        </w:tc>
      </w:tr>
      <w:tr w:rsidR="00B358DA" w14:paraId="78158554" w14:textId="77777777" w:rsidTr="00B358DA">
        <w:trPr>
          <w:jc w:val="center"/>
        </w:trPr>
        <w:tc>
          <w:tcPr>
            <w:tcW w:w="9628" w:type="dxa"/>
            <w:shd w:val="clear" w:color="auto" w:fill="auto"/>
          </w:tcPr>
          <w:p w14:paraId="0293B864" w14:textId="678CB622" w:rsidR="00B358DA" w:rsidRDefault="00B358DA" w:rsidP="00B358DA">
            <w:pPr>
              <w:pStyle w:val="SingleTxtG"/>
              <w:ind w:left="3402" w:hanging="2268"/>
            </w:pPr>
            <w:r w:rsidRPr="00311CAC">
              <w:rPr>
                <w:b/>
                <w:bCs/>
                <w:lang w:val="fr-FR"/>
              </w:rPr>
              <w:t>Documents connexes</w:t>
            </w:r>
            <w:r w:rsidR="00A82497">
              <w:rPr>
                <w:b/>
                <w:bCs/>
                <w:lang w:val="fr-FR"/>
              </w:rPr>
              <w:t> </w:t>
            </w:r>
            <w:r w:rsidRPr="00A82497">
              <w:rPr>
                <w:b/>
                <w:bCs/>
                <w:lang w:val="fr-FR"/>
              </w:rPr>
              <w:t>:</w:t>
            </w:r>
            <w:r>
              <w:rPr>
                <w:lang w:val="fr-FR"/>
              </w:rPr>
              <w:tab/>
              <w:t>ECE/TRANS/WP.11/2021/12/Rev.2</w:t>
            </w:r>
          </w:p>
        </w:tc>
      </w:tr>
      <w:tr w:rsidR="00B358DA" w14:paraId="23AF05D3" w14:textId="77777777" w:rsidTr="00B358DA">
        <w:trPr>
          <w:jc w:val="center"/>
        </w:trPr>
        <w:tc>
          <w:tcPr>
            <w:tcW w:w="9628" w:type="dxa"/>
            <w:shd w:val="clear" w:color="auto" w:fill="auto"/>
          </w:tcPr>
          <w:p w14:paraId="64E79794" w14:textId="77777777" w:rsidR="00B358DA" w:rsidRDefault="00B358DA"/>
        </w:tc>
      </w:tr>
    </w:tbl>
    <w:p w14:paraId="35FFCF11" w14:textId="49664B5A" w:rsidR="00B358DA" w:rsidRPr="006C1A2B" w:rsidRDefault="00B358DA" w:rsidP="00B358DA">
      <w:pPr>
        <w:pStyle w:val="HChG"/>
        <w:rPr>
          <w:lang w:val="fr-FR"/>
        </w:rPr>
      </w:pPr>
      <w:r>
        <w:rPr>
          <w:lang w:val="fr-FR"/>
        </w:rPr>
        <w:tab/>
      </w:r>
      <w:r>
        <w:rPr>
          <w:lang w:val="fr-FR"/>
        </w:rPr>
        <w:tab/>
      </w:r>
      <w:r>
        <w:rPr>
          <w:lang w:val="fr-FR"/>
        </w:rPr>
        <w:t>Introduction</w:t>
      </w:r>
    </w:p>
    <w:p w14:paraId="31B782C3" w14:textId="223D03B2" w:rsidR="00B358DA" w:rsidRPr="006C1A2B" w:rsidRDefault="00B358DA" w:rsidP="00B358DA">
      <w:pPr>
        <w:pStyle w:val="SingleTxtG"/>
        <w:rPr>
          <w:lang w:val="fr-FR"/>
        </w:rPr>
      </w:pPr>
      <w:r>
        <w:rPr>
          <w:lang w:val="fr-FR"/>
        </w:rPr>
        <w:t>1.</w:t>
      </w:r>
      <w:r>
        <w:rPr>
          <w:lang w:val="fr-FR"/>
        </w:rPr>
        <w:tab/>
        <w:t>Les auteurs du présent document estiment que les autorités compétentes ne disposent pas d</w:t>
      </w:r>
      <w:r w:rsidR="000C3A00">
        <w:rPr>
          <w:lang w:val="fr-FR"/>
        </w:rPr>
        <w:t>’</w:t>
      </w:r>
      <w:r>
        <w:rPr>
          <w:lang w:val="fr-FR"/>
        </w:rPr>
        <w:t>outils suffisants pour empêcher que certains dispositifs frigorifiques soient mal installés. Aux précédentes sessions du WP.11, des exemples de montage correct et incorrect ont été donnés dans le document ECE/TRANS/WP.11/2021/12/Rev.2.</w:t>
      </w:r>
    </w:p>
    <w:p w14:paraId="68204688" w14:textId="3C9CB8ED" w:rsidR="00B358DA" w:rsidRPr="006C1A2B" w:rsidRDefault="00B358DA" w:rsidP="00B358DA">
      <w:pPr>
        <w:pStyle w:val="SingleTxtG"/>
        <w:keepNext/>
        <w:keepLines/>
        <w:rPr>
          <w:lang w:val="fr-FR"/>
        </w:rPr>
      </w:pPr>
      <w:r>
        <w:rPr>
          <w:lang w:val="fr-FR"/>
        </w:rPr>
        <w:lastRenderedPageBreak/>
        <w:t>2.</w:t>
      </w:r>
      <w:r>
        <w:rPr>
          <w:lang w:val="fr-FR"/>
        </w:rPr>
        <w:tab/>
        <w:t>Bien que ces informations soient précieuses, les auteurs du présent document considèrent qu</w:t>
      </w:r>
      <w:r w:rsidR="000C3A00">
        <w:rPr>
          <w:lang w:val="fr-FR"/>
        </w:rPr>
        <w:t>’</w:t>
      </w:r>
      <w:r>
        <w:rPr>
          <w:lang w:val="fr-FR"/>
        </w:rPr>
        <w:t>il n</w:t>
      </w:r>
      <w:r w:rsidR="000C3A00">
        <w:rPr>
          <w:lang w:val="fr-FR"/>
        </w:rPr>
        <w:t>’</w:t>
      </w:r>
      <w:r>
        <w:rPr>
          <w:lang w:val="fr-FR"/>
        </w:rPr>
        <w:t>est pas indiqué que des exemples aussi détaillés et non exhaustifs soient inclus dans l</w:t>
      </w:r>
      <w:r w:rsidR="000C3A00">
        <w:rPr>
          <w:lang w:val="fr-FR"/>
        </w:rPr>
        <w:t>’</w:t>
      </w:r>
      <w:r>
        <w:rPr>
          <w:lang w:val="fr-FR"/>
        </w:rPr>
        <w:t>ATP lui-même ou dans le Manuel ATP. Ils proposent que soit élaboré un document d</w:t>
      </w:r>
      <w:r w:rsidR="000C3A00">
        <w:rPr>
          <w:lang w:val="fr-FR"/>
        </w:rPr>
        <w:t>’</w:t>
      </w:r>
      <w:r>
        <w:rPr>
          <w:lang w:val="fr-FR"/>
        </w:rPr>
        <w:t>orientation dans lequel figurerait ce type d</w:t>
      </w:r>
      <w:r w:rsidR="000C3A00">
        <w:rPr>
          <w:lang w:val="fr-FR"/>
        </w:rPr>
        <w:t>’</w:t>
      </w:r>
      <w:r>
        <w:rPr>
          <w:lang w:val="fr-FR"/>
        </w:rPr>
        <w:t>informations détaillées. Des</w:t>
      </w:r>
      <w:r w:rsidR="00A82497">
        <w:rPr>
          <w:lang w:val="fr-FR"/>
        </w:rPr>
        <w:t> </w:t>
      </w:r>
      <w:r>
        <w:rPr>
          <w:lang w:val="fr-FR"/>
        </w:rPr>
        <w:t>exemples de documents d</w:t>
      </w:r>
      <w:r w:rsidR="000C3A00">
        <w:rPr>
          <w:lang w:val="fr-FR"/>
        </w:rPr>
        <w:t>’</w:t>
      </w:r>
      <w:r>
        <w:rPr>
          <w:lang w:val="fr-FR"/>
        </w:rPr>
        <w:t>orientation peuvent être consultés à l</w:t>
      </w:r>
      <w:r w:rsidR="000C3A00">
        <w:rPr>
          <w:lang w:val="fr-FR"/>
        </w:rPr>
        <w:t>’</w:t>
      </w:r>
      <w:r>
        <w:rPr>
          <w:lang w:val="fr-FR"/>
        </w:rPr>
        <w:t>adresse suivante</w:t>
      </w:r>
      <w:r w:rsidR="00A82497">
        <w:rPr>
          <w:lang w:val="fr-FR"/>
        </w:rPr>
        <w:t> </w:t>
      </w:r>
      <w:r>
        <w:rPr>
          <w:lang w:val="fr-FR"/>
        </w:rPr>
        <w:t>:</w:t>
      </w:r>
    </w:p>
    <w:p w14:paraId="393ECB7D" w14:textId="2D815EB2" w:rsidR="00B358DA" w:rsidRPr="006C1A2B" w:rsidRDefault="00A82497" w:rsidP="00B358DA">
      <w:pPr>
        <w:pStyle w:val="SingleTxtG"/>
        <w:keepNext/>
        <w:keepLines/>
        <w:rPr>
          <w:lang w:val="fr-FR"/>
        </w:rPr>
      </w:pPr>
      <w:hyperlink r:id="rId8" w:history="1">
        <w:r w:rsidR="00B358DA" w:rsidRPr="00A82497">
          <w:rPr>
            <w:rStyle w:val="Lienhypertexte"/>
            <w:lang w:val="fr-FR"/>
          </w:rPr>
          <w:t>https://unece.org/guidelines-telematics-application-stan</w:t>
        </w:r>
        <w:r w:rsidR="00B358DA" w:rsidRPr="00A82497">
          <w:rPr>
            <w:rStyle w:val="Lienhypertexte"/>
            <w:lang w:val="fr-FR"/>
          </w:rPr>
          <w:t>d</w:t>
        </w:r>
        <w:r w:rsidR="00B358DA" w:rsidRPr="00A82497">
          <w:rPr>
            <w:rStyle w:val="Lienhypertexte"/>
            <w:lang w:val="fr-FR"/>
          </w:rPr>
          <w:t>ards-construction-and-approval-vehicles-calculation-risks</w:t>
        </w:r>
      </w:hyperlink>
      <w:r w:rsidR="00B358DA" w:rsidRPr="006C1A2B">
        <w:rPr>
          <w:lang w:val="fr-FR"/>
        </w:rPr>
        <w:t>.</w:t>
      </w:r>
    </w:p>
    <w:p w14:paraId="39114C75" w14:textId="77777777" w:rsidR="00B358DA" w:rsidRPr="006C1A2B" w:rsidRDefault="00B358DA" w:rsidP="00B358DA">
      <w:pPr>
        <w:pStyle w:val="HChG"/>
        <w:rPr>
          <w:lang w:val="fr-FR"/>
        </w:rPr>
      </w:pPr>
      <w:r>
        <w:rPr>
          <w:lang w:val="fr-FR"/>
        </w:rPr>
        <w:tab/>
      </w:r>
      <w:r>
        <w:rPr>
          <w:lang w:val="fr-FR"/>
        </w:rPr>
        <w:tab/>
        <w:t>Proposition</w:t>
      </w:r>
    </w:p>
    <w:p w14:paraId="67AEFA5F" w14:textId="47F09E94" w:rsidR="00B358DA" w:rsidRPr="006C1A2B" w:rsidRDefault="00B358DA" w:rsidP="00B358DA">
      <w:pPr>
        <w:pStyle w:val="H4G"/>
        <w:rPr>
          <w:lang w:val="fr-FR"/>
        </w:rPr>
      </w:pPr>
      <w:r>
        <w:rPr>
          <w:lang w:val="fr-FR"/>
        </w:rPr>
        <w:tab/>
      </w:r>
      <w:r>
        <w:rPr>
          <w:lang w:val="fr-FR"/>
        </w:rPr>
        <w:tab/>
        <w:t xml:space="preserve">Proposition </w:t>
      </w:r>
      <w:r w:rsidR="00A82497">
        <w:rPr>
          <w:lang w:val="fr-FR"/>
        </w:rPr>
        <w:t>1 :</w:t>
      </w:r>
    </w:p>
    <w:p w14:paraId="3EC7EE7F" w14:textId="29A467FB" w:rsidR="00B358DA" w:rsidRPr="006C1A2B" w:rsidRDefault="00B358DA" w:rsidP="00B358DA">
      <w:pPr>
        <w:pStyle w:val="SingleTxtG"/>
        <w:rPr>
          <w:lang w:val="fr-FR"/>
        </w:rPr>
      </w:pPr>
      <w:r>
        <w:rPr>
          <w:lang w:val="fr-FR"/>
        </w:rPr>
        <w:t>3.</w:t>
      </w:r>
      <w:r>
        <w:rPr>
          <w:lang w:val="fr-FR"/>
        </w:rPr>
        <w:tab/>
      </w:r>
      <w:r w:rsidR="00A82497">
        <w:rPr>
          <w:lang w:val="fr-FR"/>
        </w:rPr>
        <w:t>À</w:t>
      </w:r>
      <w:r>
        <w:rPr>
          <w:lang w:val="fr-FR"/>
        </w:rPr>
        <w:t xml:space="preserve"> l</w:t>
      </w:r>
      <w:r w:rsidR="000C3A00">
        <w:rPr>
          <w:lang w:val="fr-FR"/>
        </w:rPr>
        <w:t>’</w:t>
      </w:r>
      <w:r>
        <w:rPr>
          <w:lang w:val="fr-FR"/>
        </w:rPr>
        <w:t>appendice 1 de l</w:t>
      </w:r>
      <w:r w:rsidR="000C3A00">
        <w:rPr>
          <w:lang w:val="fr-FR"/>
        </w:rPr>
        <w:t>’</w:t>
      </w:r>
      <w:r>
        <w:rPr>
          <w:lang w:val="fr-FR"/>
        </w:rPr>
        <w:t>annexe 1, ajouter un nouveau paragraphe après les paragraphes</w:t>
      </w:r>
      <w:r w:rsidR="00A82497">
        <w:rPr>
          <w:lang w:val="fr-FR"/>
        </w:rPr>
        <w:t> </w:t>
      </w:r>
      <w:r>
        <w:rPr>
          <w:lang w:val="fr-FR"/>
        </w:rPr>
        <w:t>6</w:t>
      </w:r>
      <w:r w:rsidR="00A82497">
        <w:rPr>
          <w:lang w:val="fr-FR"/>
        </w:rPr>
        <w:t> </w:t>
      </w:r>
      <w:r>
        <w:rPr>
          <w:lang w:val="fr-FR"/>
        </w:rPr>
        <w:t>c) iii) b), et 6 c) v) b), libellé comme suit :</w:t>
      </w:r>
    </w:p>
    <w:p w14:paraId="17154BC4" w14:textId="2335C5DA" w:rsidR="00B358DA" w:rsidRPr="006C1A2B" w:rsidRDefault="00B358DA" w:rsidP="00B358DA">
      <w:pPr>
        <w:pStyle w:val="SingleTxtG"/>
        <w:ind w:left="1701"/>
        <w:rPr>
          <w:lang w:val="fr-FR"/>
        </w:rPr>
      </w:pPr>
      <w:r>
        <w:rPr>
          <w:lang w:val="fr-FR"/>
        </w:rPr>
        <w:t>« Les groupes frigorifiques sont montés sur le matériel compte tenu des recommandations du fabricant et de façon que leurs performances ne soient pas altérées par le débit d</w:t>
      </w:r>
      <w:r w:rsidR="000C3A00">
        <w:rPr>
          <w:lang w:val="fr-FR"/>
        </w:rPr>
        <w:t>’</w:t>
      </w:r>
      <w:r>
        <w:rPr>
          <w:lang w:val="fr-FR"/>
        </w:rPr>
        <w:t>air.</w:t>
      </w:r>
      <w:r w:rsidR="00A82497">
        <w:rPr>
          <w:lang w:val="fr-FR"/>
        </w:rPr>
        <w:t> </w:t>
      </w:r>
      <w:r>
        <w:rPr>
          <w:lang w:val="fr-FR"/>
        </w:rPr>
        <w:t>».</w:t>
      </w:r>
    </w:p>
    <w:p w14:paraId="27085893" w14:textId="2B20B480" w:rsidR="00B358DA" w:rsidRPr="006C1A2B" w:rsidRDefault="00B358DA" w:rsidP="00B358DA">
      <w:pPr>
        <w:pStyle w:val="H4G"/>
        <w:rPr>
          <w:lang w:val="fr-FR"/>
        </w:rPr>
      </w:pPr>
      <w:r>
        <w:rPr>
          <w:lang w:val="fr-FR"/>
        </w:rPr>
        <w:tab/>
      </w:r>
      <w:r>
        <w:rPr>
          <w:lang w:val="fr-FR"/>
        </w:rPr>
        <w:tab/>
      </w:r>
      <w:r w:rsidRPr="00B358DA">
        <w:rPr>
          <w:lang w:val="fr-FR"/>
        </w:rPr>
        <w:t>Proposition</w:t>
      </w:r>
      <w:r>
        <w:rPr>
          <w:iCs/>
          <w:lang w:val="fr-FR"/>
        </w:rPr>
        <w:t xml:space="preserve"> 2</w:t>
      </w:r>
      <w:r w:rsidR="00A82497">
        <w:rPr>
          <w:iCs/>
          <w:lang w:val="fr-FR"/>
        </w:rPr>
        <w:t> :</w:t>
      </w:r>
    </w:p>
    <w:p w14:paraId="063AC5FD" w14:textId="296450EB" w:rsidR="00B358DA" w:rsidRPr="006C1A2B" w:rsidRDefault="00B358DA" w:rsidP="00B358DA">
      <w:pPr>
        <w:pStyle w:val="SingleTxtG"/>
        <w:rPr>
          <w:lang w:val="fr-FR"/>
        </w:rPr>
      </w:pPr>
      <w:r>
        <w:rPr>
          <w:lang w:val="fr-FR"/>
        </w:rPr>
        <w:t>4.</w:t>
      </w:r>
      <w:r>
        <w:rPr>
          <w:lang w:val="fr-FR"/>
        </w:rPr>
        <w:tab/>
        <w:t>Publier sur le site Web de la CEE un document d</w:t>
      </w:r>
      <w:r w:rsidR="000C3A00">
        <w:rPr>
          <w:lang w:val="fr-FR"/>
        </w:rPr>
        <w:t>’</w:t>
      </w:r>
      <w:r>
        <w:rPr>
          <w:lang w:val="fr-FR"/>
        </w:rPr>
        <w:t>orientation, intitulé</w:t>
      </w:r>
      <w:r w:rsidR="00AA24C5">
        <w:rPr>
          <w:lang w:val="fr-FR"/>
        </w:rPr>
        <w:t> :</w:t>
      </w:r>
    </w:p>
    <w:p w14:paraId="17CA326F" w14:textId="03D19F0A" w:rsidR="00B358DA" w:rsidRPr="006C1A2B" w:rsidRDefault="00B358DA" w:rsidP="00B358DA">
      <w:pPr>
        <w:pStyle w:val="SingleTxtG"/>
        <w:ind w:left="1701"/>
        <w:rPr>
          <w:lang w:val="fr-FR"/>
        </w:rPr>
      </w:pPr>
      <w:r w:rsidRPr="006C1A2B">
        <w:rPr>
          <w:i/>
          <w:iCs/>
          <w:lang w:val="fr-FR"/>
        </w:rPr>
        <w:t>Guideline on the fitting of mechanical refrigerated and mechanical refrigerated and heated equipment appliances on equipment</w:t>
      </w:r>
      <w:r>
        <w:rPr>
          <w:lang w:val="fr-FR"/>
        </w:rPr>
        <w:t xml:space="preserve"> (Instructions pour le montage des dispositifs frigorifiques et des dispositifs frigorifiques et calorifiques sur les engins), qui comprendra la mention suivante</w:t>
      </w:r>
      <w:r w:rsidR="00A82497">
        <w:rPr>
          <w:lang w:val="fr-FR"/>
        </w:rPr>
        <w:t> </w:t>
      </w:r>
      <w:r>
        <w:rPr>
          <w:lang w:val="fr-FR"/>
        </w:rPr>
        <w:t>:</w:t>
      </w:r>
    </w:p>
    <w:p w14:paraId="42FD96A7" w14:textId="6EB37411" w:rsidR="00B358DA" w:rsidRPr="006C1A2B" w:rsidRDefault="00B358DA" w:rsidP="00B358DA">
      <w:pPr>
        <w:pStyle w:val="SingleTxtG"/>
        <w:ind w:left="1701"/>
        <w:rPr>
          <w:lang w:val="fr-FR"/>
        </w:rPr>
      </w:pPr>
      <w:r>
        <w:rPr>
          <w:lang w:val="fr-FR"/>
        </w:rPr>
        <w:t>« Le montage des dispositifs frigorifiques et des dispositifs frigorifiques et calorifiques doit être conforme aux instructions du fabricant. Si de telles instructions ne sont pas fournies, si le fabricant n</w:t>
      </w:r>
      <w:r w:rsidR="000C3A00">
        <w:rPr>
          <w:lang w:val="fr-FR"/>
        </w:rPr>
        <w:t>’</w:t>
      </w:r>
      <w:r>
        <w:rPr>
          <w:lang w:val="fr-FR"/>
        </w:rPr>
        <w:t>existe plus ou si une adaptation est nécessaire, il convient a minima de tenir compte des exemples ci-après. ».</w:t>
      </w:r>
    </w:p>
    <w:p w14:paraId="158965B4" w14:textId="77777777" w:rsidR="00B358DA" w:rsidRPr="006C1A2B" w:rsidRDefault="00B358DA" w:rsidP="005F6F6D">
      <w:pPr>
        <w:pStyle w:val="SingleTxtG"/>
        <w:rPr>
          <w:lang w:val="fr-FR"/>
        </w:rPr>
      </w:pPr>
      <w:r w:rsidRPr="00311CAC">
        <w:rPr>
          <w:b/>
          <w:bCs/>
          <w:lang w:val="fr-FR"/>
        </w:rPr>
        <w:t>Puis</w:t>
      </w:r>
      <w:r>
        <w:rPr>
          <w:lang w:val="fr-FR"/>
        </w:rPr>
        <w:t> : Insérer les exemples donnés dans le document ECE/TRANS/WP.11/2021/12/Rev.2.</w:t>
      </w:r>
    </w:p>
    <w:p w14:paraId="530F667B" w14:textId="77777777" w:rsidR="00B358DA" w:rsidRPr="006C1A2B" w:rsidRDefault="00B358DA" w:rsidP="00B358DA">
      <w:pPr>
        <w:pStyle w:val="H4G"/>
        <w:rPr>
          <w:lang w:val="fr-FR"/>
        </w:rPr>
      </w:pPr>
      <w:r>
        <w:rPr>
          <w:lang w:val="fr-FR"/>
        </w:rPr>
        <w:tab/>
      </w:r>
      <w:r>
        <w:rPr>
          <w:lang w:val="fr-FR"/>
        </w:rPr>
        <w:tab/>
      </w:r>
      <w:r w:rsidRPr="00B358DA">
        <w:rPr>
          <w:lang w:val="fr-FR"/>
        </w:rPr>
        <w:t>Proposition</w:t>
      </w:r>
      <w:r>
        <w:rPr>
          <w:iCs/>
          <w:lang w:val="fr-FR"/>
        </w:rPr>
        <w:t xml:space="preserve"> 3 (facultative) :</w:t>
      </w:r>
    </w:p>
    <w:p w14:paraId="10DB7073" w14:textId="3249E89B" w:rsidR="00B358DA" w:rsidRPr="006C1A2B" w:rsidRDefault="00B358DA" w:rsidP="00B358DA">
      <w:pPr>
        <w:pStyle w:val="SingleTxtG"/>
        <w:rPr>
          <w:lang w:val="fr-FR"/>
        </w:rPr>
      </w:pPr>
      <w:r>
        <w:rPr>
          <w:lang w:val="fr-FR"/>
        </w:rPr>
        <w:t>5.</w:t>
      </w:r>
      <w:r>
        <w:rPr>
          <w:lang w:val="fr-FR"/>
        </w:rPr>
        <w:tab/>
        <w:t>À l</w:t>
      </w:r>
      <w:r w:rsidR="000C3A00">
        <w:rPr>
          <w:lang w:val="fr-FR"/>
        </w:rPr>
        <w:t>’</w:t>
      </w:r>
      <w:r>
        <w:rPr>
          <w:lang w:val="fr-FR"/>
        </w:rPr>
        <w:t>annexe 1, ajouter la nouvelle mesure transitoire 6.2, libellée comme suit :</w:t>
      </w:r>
    </w:p>
    <w:p w14:paraId="4D75B79B" w14:textId="5B5FD7BF" w:rsidR="00B358DA" w:rsidRPr="006C1A2B" w:rsidRDefault="00B358DA" w:rsidP="000C3A00">
      <w:pPr>
        <w:pStyle w:val="SingleTxtG"/>
        <w:ind w:left="1701"/>
        <w:rPr>
          <w:lang w:val="fr-FR"/>
        </w:rPr>
      </w:pPr>
      <w:r>
        <w:rPr>
          <w:lang w:val="fr-FR"/>
        </w:rPr>
        <w:t>« Les dispositifs frigorifiques et les dispositifs frigorifiques et calorifiques installés avant le jj-mm-aaaa qui ne sont pas conformes aux prescriptions des alinéas 6 c) iii)</w:t>
      </w:r>
      <w:r w:rsidR="00AA24C5">
        <w:rPr>
          <w:lang w:val="fr-FR"/>
        </w:rPr>
        <w:t> </w:t>
      </w:r>
      <w:r>
        <w:rPr>
          <w:lang w:val="fr-FR"/>
        </w:rPr>
        <w:t>b) et 6 c) v) b) de l</w:t>
      </w:r>
      <w:r w:rsidR="000C3A00">
        <w:rPr>
          <w:lang w:val="fr-FR"/>
        </w:rPr>
        <w:t>’</w:t>
      </w:r>
      <w:r>
        <w:rPr>
          <w:lang w:val="fr-FR"/>
        </w:rPr>
        <w:t>appendice 1 de l</w:t>
      </w:r>
      <w:r w:rsidR="000C3A00">
        <w:rPr>
          <w:lang w:val="fr-FR"/>
        </w:rPr>
        <w:t>’</w:t>
      </w:r>
      <w:r>
        <w:rPr>
          <w:lang w:val="fr-FR"/>
        </w:rPr>
        <w:t>annexe 1 relatives au montage des dispositifs peuvent continuer à être utilisés. ».</w:t>
      </w:r>
    </w:p>
    <w:p w14:paraId="38118841" w14:textId="77777777" w:rsidR="00B358DA" w:rsidRPr="006C1A2B" w:rsidRDefault="00B358DA" w:rsidP="000C3A00">
      <w:pPr>
        <w:pStyle w:val="HChG"/>
        <w:rPr>
          <w:lang w:val="fr-FR"/>
        </w:rPr>
      </w:pPr>
      <w:r>
        <w:rPr>
          <w:lang w:val="fr-FR"/>
        </w:rPr>
        <w:tab/>
      </w:r>
      <w:r>
        <w:rPr>
          <w:lang w:val="fr-FR"/>
        </w:rPr>
        <w:tab/>
        <w:t>Justification</w:t>
      </w:r>
    </w:p>
    <w:p w14:paraId="13A50261" w14:textId="546B88F5" w:rsidR="00B358DA" w:rsidRPr="006C1A2B" w:rsidRDefault="00B358DA" w:rsidP="00B358DA">
      <w:pPr>
        <w:pStyle w:val="SingleTxtG"/>
        <w:rPr>
          <w:lang w:val="fr-FR"/>
        </w:rPr>
      </w:pPr>
      <w:r>
        <w:rPr>
          <w:lang w:val="fr-FR"/>
        </w:rPr>
        <w:t>6.</w:t>
      </w:r>
      <w:r>
        <w:rPr>
          <w:lang w:val="fr-FR"/>
        </w:rPr>
        <w:tab/>
        <w:t>La nouvelle disposition améliorera la capacité d</w:t>
      </w:r>
      <w:r w:rsidR="000C3A00">
        <w:rPr>
          <w:lang w:val="fr-FR"/>
        </w:rPr>
        <w:t>’</w:t>
      </w:r>
      <w:r>
        <w:rPr>
          <w:lang w:val="fr-FR"/>
        </w:rPr>
        <w:t>action des autorités compétentes. Dans tous les cas, les recommandations du fabricant du dispositif doivent être suivies autant que possible afin que les performances garanties par l</w:t>
      </w:r>
      <w:r w:rsidR="000C3A00">
        <w:rPr>
          <w:lang w:val="fr-FR"/>
        </w:rPr>
        <w:t>’</w:t>
      </w:r>
      <w:r>
        <w:rPr>
          <w:lang w:val="fr-FR"/>
        </w:rPr>
        <w:t xml:space="preserve">essai ne soient pas altérées. </w:t>
      </w:r>
    </w:p>
    <w:p w14:paraId="3C58F1C5" w14:textId="0CE8C649" w:rsidR="00B358DA" w:rsidRPr="006C1A2B" w:rsidRDefault="00B358DA" w:rsidP="00B358DA">
      <w:pPr>
        <w:pStyle w:val="SingleTxtG"/>
        <w:rPr>
          <w:lang w:val="fr-FR"/>
        </w:rPr>
      </w:pPr>
      <w:r>
        <w:rPr>
          <w:lang w:val="fr-FR"/>
        </w:rPr>
        <w:t>7.</w:t>
      </w:r>
      <w:r>
        <w:rPr>
          <w:lang w:val="fr-FR"/>
        </w:rPr>
        <w:tab/>
        <w:t>La proposition visant à introduire une nouvelle disposition à l</w:t>
      </w:r>
      <w:r w:rsidR="000C3A00">
        <w:rPr>
          <w:lang w:val="fr-FR"/>
        </w:rPr>
        <w:t>’</w:t>
      </w:r>
      <w:r>
        <w:rPr>
          <w:lang w:val="fr-FR"/>
        </w:rPr>
        <w:t>appendice 1 de l</w:t>
      </w:r>
      <w:r w:rsidR="000C3A00">
        <w:rPr>
          <w:lang w:val="fr-FR"/>
        </w:rPr>
        <w:t>’</w:t>
      </w:r>
      <w:r>
        <w:rPr>
          <w:lang w:val="fr-FR"/>
        </w:rPr>
        <w:t>annexe</w:t>
      </w:r>
      <w:r w:rsidR="00AA24C5">
        <w:rPr>
          <w:lang w:val="fr-FR"/>
        </w:rPr>
        <w:t> </w:t>
      </w:r>
      <w:r>
        <w:rPr>
          <w:lang w:val="fr-FR"/>
        </w:rPr>
        <w:t>1 peut être adoptée avec ou sans celle concernant la publication d</w:t>
      </w:r>
      <w:r w:rsidR="000C3A00">
        <w:rPr>
          <w:lang w:val="fr-FR"/>
        </w:rPr>
        <w:t>’</w:t>
      </w:r>
      <w:r>
        <w:rPr>
          <w:lang w:val="fr-FR"/>
        </w:rPr>
        <w:t>un document d</w:t>
      </w:r>
      <w:r w:rsidR="000C3A00">
        <w:rPr>
          <w:lang w:val="fr-FR"/>
        </w:rPr>
        <w:t>’</w:t>
      </w:r>
      <w:r>
        <w:rPr>
          <w:lang w:val="fr-FR"/>
        </w:rPr>
        <w:t>orientation. Cette dernière n</w:t>
      </w:r>
      <w:r w:rsidR="000C3A00">
        <w:rPr>
          <w:lang w:val="fr-FR"/>
        </w:rPr>
        <w:t>’</w:t>
      </w:r>
      <w:r>
        <w:rPr>
          <w:lang w:val="fr-FR"/>
        </w:rPr>
        <w:t>étant pas tenue de suivre les procédures d</w:t>
      </w:r>
      <w:r w:rsidR="000C3A00">
        <w:rPr>
          <w:lang w:val="fr-FR"/>
        </w:rPr>
        <w:t>’</w:t>
      </w:r>
      <w:r>
        <w:rPr>
          <w:lang w:val="fr-FR"/>
        </w:rPr>
        <w:t>approbation applicables aux propositions d</w:t>
      </w:r>
      <w:r w:rsidR="000C3A00">
        <w:rPr>
          <w:lang w:val="fr-FR"/>
        </w:rPr>
        <w:t>’</w:t>
      </w:r>
      <w:r>
        <w:rPr>
          <w:lang w:val="fr-FR"/>
        </w:rPr>
        <w:t>amendements à l</w:t>
      </w:r>
      <w:r w:rsidR="000C3A00">
        <w:rPr>
          <w:lang w:val="fr-FR"/>
        </w:rPr>
        <w:t>’</w:t>
      </w:r>
      <w:r>
        <w:rPr>
          <w:lang w:val="fr-FR"/>
        </w:rPr>
        <w:t>ATP et à ses annexes, elle peut s</w:t>
      </w:r>
      <w:r w:rsidR="000C3A00">
        <w:rPr>
          <w:lang w:val="fr-FR"/>
        </w:rPr>
        <w:t>’</w:t>
      </w:r>
      <w:r>
        <w:rPr>
          <w:lang w:val="fr-FR"/>
        </w:rPr>
        <w:t xml:space="preserve">appuyer sur un document informel. </w:t>
      </w:r>
    </w:p>
    <w:tbl>
      <w:tblPr>
        <w:tblW w:w="0" w:type="auto"/>
        <w:tblInd w:w="1134" w:type="dxa"/>
        <w:tblLayout w:type="fixed"/>
        <w:tblCellMar>
          <w:left w:w="0" w:type="dxa"/>
          <w:right w:w="0" w:type="dxa"/>
        </w:tblCellMar>
        <w:tblLook w:val="01E0" w:firstRow="1" w:lastRow="1" w:firstColumn="1" w:lastColumn="1" w:noHBand="0" w:noVBand="0"/>
      </w:tblPr>
      <w:tblGrid>
        <w:gridCol w:w="1421"/>
        <w:gridCol w:w="5809"/>
      </w:tblGrid>
      <w:tr w:rsidR="000C3A00" w:rsidRPr="00311CAC" w14:paraId="279C66E6" w14:textId="77777777" w:rsidTr="00947D32">
        <w:tc>
          <w:tcPr>
            <w:tcW w:w="1421" w:type="dxa"/>
            <w:shd w:val="clear" w:color="auto" w:fill="auto"/>
          </w:tcPr>
          <w:p w14:paraId="32652A0A" w14:textId="70428521" w:rsidR="000C3A00" w:rsidRDefault="000C3A00" w:rsidP="000C3A00">
            <w:pPr>
              <w:keepNext/>
              <w:spacing w:after="120"/>
            </w:pPr>
            <w:r>
              <w:rPr>
                <w:lang w:val="fr-FR"/>
              </w:rPr>
              <w:lastRenderedPageBreak/>
              <w:t>Coût</w:t>
            </w:r>
            <w:r w:rsidR="00A82497">
              <w:rPr>
                <w:lang w:val="fr-FR"/>
              </w:rPr>
              <w:t> </w:t>
            </w:r>
            <w:r>
              <w:rPr>
                <w:lang w:val="fr-FR"/>
              </w:rPr>
              <w:t>:</w:t>
            </w:r>
          </w:p>
        </w:tc>
        <w:tc>
          <w:tcPr>
            <w:tcW w:w="5809" w:type="dxa"/>
            <w:shd w:val="clear" w:color="auto" w:fill="auto"/>
          </w:tcPr>
          <w:p w14:paraId="6E0A98FF" w14:textId="6C1497F2" w:rsidR="000C3A00" w:rsidRPr="006C1A2B" w:rsidRDefault="000C3A00" w:rsidP="000C3A00">
            <w:pPr>
              <w:keepNext/>
              <w:spacing w:after="120"/>
              <w:jc w:val="both"/>
              <w:rPr>
                <w:lang w:val="fr-FR"/>
              </w:rPr>
            </w:pPr>
            <w:r>
              <w:rPr>
                <w:lang w:val="fr-FR"/>
              </w:rPr>
              <w:t>Aucun coût supplémentaire n</w:t>
            </w:r>
            <w:r>
              <w:rPr>
                <w:lang w:val="fr-FR"/>
              </w:rPr>
              <w:t>’</w:t>
            </w:r>
            <w:r>
              <w:rPr>
                <w:lang w:val="fr-FR"/>
              </w:rPr>
              <w:t>est prévu.</w:t>
            </w:r>
          </w:p>
        </w:tc>
      </w:tr>
      <w:tr w:rsidR="000C3A00" w:rsidRPr="00311CAC" w14:paraId="1AB67051" w14:textId="77777777" w:rsidTr="00947D32">
        <w:tc>
          <w:tcPr>
            <w:tcW w:w="1421" w:type="dxa"/>
            <w:shd w:val="clear" w:color="auto" w:fill="auto"/>
          </w:tcPr>
          <w:p w14:paraId="36244D90" w14:textId="16BF773D" w:rsidR="000C3A00" w:rsidRDefault="000C3A00" w:rsidP="000C3A00">
            <w:pPr>
              <w:keepNext/>
              <w:spacing w:after="120"/>
            </w:pPr>
            <w:r>
              <w:rPr>
                <w:lang w:val="fr-FR"/>
              </w:rPr>
              <w:t>Faisabilité</w:t>
            </w:r>
            <w:r w:rsidR="00A82497">
              <w:rPr>
                <w:lang w:val="fr-FR"/>
              </w:rPr>
              <w:t> </w:t>
            </w:r>
            <w:r>
              <w:rPr>
                <w:lang w:val="fr-FR"/>
              </w:rPr>
              <w:t>:</w:t>
            </w:r>
          </w:p>
        </w:tc>
        <w:tc>
          <w:tcPr>
            <w:tcW w:w="5809" w:type="dxa"/>
            <w:shd w:val="clear" w:color="auto" w:fill="auto"/>
          </w:tcPr>
          <w:p w14:paraId="29C05625" w14:textId="0355E36D" w:rsidR="000C3A00" w:rsidRPr="006C1A2B" w:rsidRDefault="000C3A00" w:rsidP="000C3A00">
            <w:pPr>
              <w:keepNext/>
              <w:spacing w:after="120"/>
              <w:jc w:val="both"/>
              <w:rPr>
                <w:lang w:val="fr-FR"/>
              </w:rPr>
            </w:pPr>
            <w:r>
              <w:rPr>
                <w:lang w:val="fr-FR"/>
              </w:rPr>
              <w:t>Les fabricants fourniront des informations sur la manière de monter les dispositifs sur les engins et pourront donner des conseils dans des cas particuliers. Les autorités compétentes constateront sans doute une amélioration dans le contrôle des constructions s</w:t>
            </w:r>
            <w:r>
              <w:rPr>
                <w:lang w:val="fr-FR"/>
              </w:rPr>
              <w:t>’</w:t>
            </w:r>
            <w:r>
              <w:rPr>
                <w:lang w:val="fr-FR"/>
              </w:rPr>
              <w:t xml:space="preserve">écartant des prescriptions, et les utilisateurs recevront des engins qui fonctionnent correctement. </w:t>
            </w:r>
          </w:p>
          <w:p w14:paraId="52B59232" w14:textId="29905836" w:rsidR="000C3A00" w:rsidRPr="006C1A2B" w:rsidRDefault="000C3A00" w:rsidP="000C3A00">
            <w:pPr>
              <w:keepNext/>
              <w:spacing w:after="120"/>
              <w:jc w:val="both"/>
              <w:rPr>
                <w:lang w:val="fr-FR"/>
              </w:rPr>
            </w:pPr>
            <w:r>
              <w:rPr>
                <w:lang w:val="fr-FR"/>
              </w:rPr>
              <w:t>L</w:t>
            </w:r>
            <w:r>
              <w:rPr>
                <w:lang w:val="fr-FR"/>
              </w:rPr>
              <w:t>’</w:t>
            </w:r>
            <w:r>
              <w:rPr>
                <w:lang w:val="fr-FR"/>
              </w:rPr>
              <w:t>introduction de cette nouvelle disposition ne devrait pas poser de problème.</w:t>
            </w:r>
          </w:p>
        </w:tc>
      </w:tr>
      <w:tr w:rsidR="000C3A00" w:rsidRPr="00311CAC" w14:paraId="2110C45A" w14:textId="77777777" w:rsidTr="00947D32">
        <w:tc>
          <w:tcPr>
            <w:tcW w:w="1421" w:type="dxa"/>
            <w:shd w:val="clear" w:color="auto" w:fill="auto"/>
          </w:tcPr>
          <w:p w14:paraId="63FF9955" w14:textId="77777777" w:rsidR="000C3A00" w:rsidRPr="006C1A2B" w:rsidRDefault="000C3A00" w:rsidP="000C3A00">
            <w:pPr>
              <w:keepNext/>
              <w:spacing w:after="120"/>
              <w:rPr>
                <w:lang w:val="fr-FR"/>
              </w:rPr>
            </w:pPr>
          </w:p>
        </w:tc>
        <w:tc>
          <w:tcPr>
            <w:tcW w:w="5809" w:type="dxa"/>
            <w:shd w:val="clear" w:color="auto" w:fill="auto"/>
          </w:tcPr>
          <w:p w14:paraId="5FAA3DC6" w14:textId="674610C3" w:rsidR="000C3A00" w:rsidRPr="006C1A2B" w:rsidRDefault="000C3A00" w:rsidP="000C3A00">
            <w:pPr>
              <w:keepNext/>
              <w:spacing w:after="120"/>
              <w:jc w:val="both"/>
              <w:rPr>
                <w:lang w:val="fr-FR"/>
              </w:rPr>
            </w:pPr>
            <w:r>
              <w:rPr>
                <w:lang w:val="fr-FR"/>
              </w:rPr>
              <w:t>Une mesure transitoire est prévue pour les engins construits avant la date d</w:t>
            </w:r>
            <w:r>
              <w:rPr>
                <w:lang w:val="fr-FR"/>
              </w:rPr>
              <w:t>’</w:t>
            </w:r>
            <w:r>
              <w:rPr>
                <w:lang w:val="fr-FR"/>
              </w:rPr>
              <w:t>entrée en vigueur.</w:t>
            </w:r>
          </w:p>
        </w:tc>
      </w:tr>
      <w:tr w:rsidR="000C3A00" w:rsidRPr="00311CAC" w14:paraId="0243C7D9" w14:textId="77777777" w:rsidTr="00947D32">
        <w:tc>
          <w:tcPr>
            <w:tcW w:w="1421" w:type="dxa"/>
            <w:shd w:val="clear" w:color="auto" w:fill="auto"/>
          </w:tcPr>
          <w:p w14:paraId="1B4967FF" w14:textId="32AECC0C" w:rsidR="000C3A00" w:rsidRDefault="000C3A00" w:rsidP="000C3A00">
            <w:pPr>
              <w:keepNext/>
              <w:spacing w:after="120"/>
            </w:pPr>
            <w:r>
              <w:rPr>
                <w:lang w:val="fr-FR"/>
              </w:rPr>
              <w:t>Incidences</w:t>
            </w:r>
            <w:r w:rsidR="00A82497">
              <w:rPr>
                <w:lang w:val="fr-FR"/>
              </w:rPr>
              <w:t> </w:t>
            </w:r>
            <w:r>
              <w:rPr>
                <w:lang w:val="fr-FR"/>
              </w:rPr>
              <w:t>:</w:t>
            </w:r>
          </w:p>
        </w:tc>
        <w:tc>
          <w:tcPr>
            <w:tcW w:w="5809" w:type="dxa"/>
            <w:shd w:val="clear" w:color="auto" w:fill="auto"/>
          </w:tcPr>
          <w:p w14:paraId="6A27570F" w14:textId="7B5D974E" w:rsidR="000C3A00" w:rsidRPr="006C1A2B" w:rsidRDefault="000C3A00" w:rsidP="000C3A00">
            <w:pPr>
              <w:keepNext/>
              <w:spacing w:after="120"/>
              <w:jc w:val="both"/>
              <w:rPr>
                <w:lang w:val="fr-FR"/>
              </w:rPr>
            </w:pPr>
            <w:r>
              <w:rPr>
                <w:lang w:val="fr-FR"/>
              </w:rPr>
              <w:t>L</w:t>
            </w:r>
            <w:r>
              <w:rPr>
                <w:lang w:val="fr-FR"/>
              </w:rPr>
              <w:t>’</w:t>
            </w:r>
            <w:r>
              <w:rPr>
                <w:lang w:val="fr-FR"/>
              </w:rPr>
              <w:t>adoption de la proposition permettra de mieux garantir le bon fonctionnement des engins.</w:t>
            </w:r>
          </w:p>
        </w:tc>
      </w:tr>
      <w:tr w:rsidR="000C3A00" w:rsidRPr="00311CAC" w14:paraId="34256D0C" w14:textId="77777777" w:rsidTr="00947D32">
        <w:tc>
          <w:tcPr>
            <w:tcW w:w="1421" w:type="dxa"/>
            <w:shd w:val="clear" w:color="auto" w:fill="auto"/>
          </w:tcPr>
          <w:p w14:paraId="7D568ACC" w14:textId="77777777" w:rsidR="000C3A00" w:rsidRDefault="000C3A00" w:rsidP="000C3A00">
            <w:pPr>
              <w:keepNext/>
              <w:spacing w:after="120"/>
            </w:pPr>
            <w:r>
              <w:rPr>
                <w:lang w:val="fr-FR"/>
              </w:rPr>
              <w:t>Applicabilité :</w:t>
            </w:r>
          </w:p>
        </w:tc>
        <w:tc>
          <w:tcPr>
            <w:tcW w:w="5809" w:type="dxa"/>
            <w:shd w:val="clear" w:color="auto" w:fill="auto"/>
          </w:tcPr>
          <w:p w14:paraId="7C17B270" w14:textId="77777777" w:rsidR="000C3A00" w:rsidRPr="006C1A2B" w:rsidRDefault="000C3A00" w:rsidP="000C3A00">
            <w:pPr>
              <w:keepNext/>
              <w:spacing w:after="120"/>
              <w:jc w:val="both"/>
              <w:rPr>
                <w:lang w:val="fr-FR"/>
              </w:rPr>
            </w:pPr>
            <w:r>
              <w:rPr>
                <w:lang w:val="fr-FR"/>
              </w:rPr>
              <w:t>Des informations sur la construction seront disponibles.</w:t>
            </w:r>
          </w:p>
        </w:tc>
      </w:tr>
    </w:tbl>
    <w:p w14:paraId="560A6BCA" w14:textId="5EEA8C36" w:rsidR="00B358DA" w:rsidRPr="000C3A00" w:rsidRDefault="000C3A00" w:rsidP="000C3A00">
      <w:pPr>
        <w:pStyle w:val="SingleTxtG"/>
        <w:spacing w:before="240" w:after="0"/>
        <w:jc w:val="center"/>
        <w:rPr>
          <w:u w:val="single"/>
        </w:rPr>
      </w:pPr>
      <w:r>
        <w:rPr>
          <w:u w:val="single"/>
        </w:rPr>
        <w:tab/>
      </w:r>
      <w:r>
        <w:rPr>
          <w:u w:val="single"/>
        </w:rPr>
        <w:tab/>
      </w:r>
      <w:r>
        <w:rPr>
          <w:u w:val="single"/>
        </w:rPr>
        <w:tab/>
      </w:r>
      <w:r>
        <w:rPr>
          <w:u w:val="single"/>
        </w:rPr>
        <w:tab/>
      </w:r>
    </w:p>
    <w:sectPr w:rsidR="00B358DA" w:rsidRPr="000C3A00" w:rsidSect="00B358D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0EDB3" w14:textId="77777777" w:rsidR="00CB5EE3" w:rsidRDefault="00CB5EE3" w:rsidP="00F95C08">
      <w:pPr>
        <w:spacing w:line="240" w:lineRule="auto"/>
      </w:pPr>
    </w:p>
  </w:endnote>
  <w:endnote w:type="continuationSeparator" w:id="0">
    <w:p w14:paraId="79338985" w14:textId="77777777" w:rsidR="00CB5EE3" w:rsidRPr="00AC3823" w:rsidRDefault="00CB5EE3" w:rsidP="00AC3823">
      <w:pPr>
        <w:pStyle w:val="Pieddepage"/>
      </w:pPr>
    </w:p>
  </w:endnote>
  <w:endnote w:type="continuationNotice" w:id="1">
    <w:p w14:paraId="456E6DFE" w14:textId="77777777" w:rsidR="00CB5EE3" w:rsidRDefault="00CB5E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5642" w14:textId="4C7B9A24" w:rsidR="00B358DA" w:rsidRPr="00B358DA" w:rsidRDefault="00B358DA" w:rsidP="00B358DA">
    <w:pPr>
      <w:pStyle w:val="Pieddepage"/>
      <w:tabs>
        <w:tab w:val="right" w:pos="9638"/>
      </w:tabs>
    </w:pPr>
    <w:r w:rsidRPr="00B358DA">
      <w:rPr>
        <w:b/>
        <w:sz w:val="18"/>
      </w:rPr>
      <w:fldChar w:fldCharType="begin"/>
    </w:r>
    <w:r w:rsidRPr="00B358DA">
      <w:rPr>
        <w:b/>
        <w:sz w:val="18"/>
      </w:rPr>
      <w:instrText xml:space="preserve"> PAGE  \* MERGEFORMAT </w:instrText>
    </w:r>
    <w:r w:rsidRPr="00B358DA">
      <w:rPr>
        <w:b/>
        <w:sz w:val="18"/>
      </w:rPr>
      <w:fldChar w:fldCharType="separate"/>
    </w:r>
    <w:r w:rsidRPr="00B358DA">
      <w:rPr>
        <w:b/>
        <w:noProof/>
        <w:sz w:val="18"/>
      </w:rPr>
      <w:t>2</w:t>
    </w:r>
    <w:r w:rsidRPr="00B358DA">
      <w:rPr>
        <w:b/>
        <w:sz w:val="18"/>
      </w:rPr>
      <w:fldChar w:fldCharType="end"/>
    </w:r>
    <w:r>
      <w:rPr>
        <w:b/>
        <w:sz w:val="18"/>
      </w:rPr>
      <w:tab/>
    </w:r>
    <w:r>
      <w:t>GE.23-15293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FDC7" w14:textId="3E8C09CE" w:rsidR="00B358DA" w:rsidRPr="00B358DA" w:rsidRDefault="00B358DA" w:rsidP="00B358DA">
    <w:pPr>
      <w:pStyle w:val="Pieddepage"/>
      <w:tabs>
        <w:tab w:val="right" w:pos="9638"/>
      </w:tabs>
      <w:rPr>
        <w:b/>
        <w:sz w:val="18"/>
      </w:rPr>
    </w:pPr>
    <w:r>
      <w:t>GE.23-15293</w:t>
    </w:r>
    <w:r>
      <w:tab/>
    </w:r>
    <w:r w:rsidRPr="00B358DA">
      <w:rPr>
        <w:b/>
        <w:sz w:val="18"/>
      </w:rPr>
      <w:fldChar w:fldCharType="begin"/>
    </w:r>
    <w:r w:rsidRPr="00B358DA">
      <w:rPr>
        <w:b/>
        <w:sz w:val="18"/>
      </w:rPr>
      <w:instrText xml:space="preserve"> PAGE  \* MERGEFORMAT </w:instrText>
    </w:r>
    <w:r w:rsidRPr="00B358DA">
      <w:rPr>
        <w:b/>
        <w:sz w:val="18"/>
      </w:rPr>
      <w:fldChar w:fldCharType="separate"/>
    </w:r>
    <w:r w:rsidRPr="00B358DA">
      <w:rPr>
        <w:b/>
        <w:noProof/>
        <w:sz w:val="18"/>
      </w:rPr>
      <w:t>3</w:t>
    </w:r>
    <w:r w:rsidRPr="00B358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DE3B" w14:textId="4751913A" w:rsidR="007F20FA" w:rsidRPr="00B358DA" w:rsidRDefault="00B358DA" w:rsidP="00B358D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8F15DDC" wp14:editId="080A920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23-15293  (F)</w:t>
    </w:r>
    <w:r>
      <w:rPr>
        <w:noProof/>
        <w:sz w:val="20"/>
      </w:rPr>
      <w:drawing>
        <wp:anchor distT="0" distB="0" distL="114300" distR="114300" simplePos="0" relativeHeight="251660288" behindDoc="0" locked="0" layoutInCell="1" allowOverlap="1" wp14:anchorId="62464B18" wp14:editId="29D197A0">
          <wp:simplePos x="0" y="0"/>
          <wp:positionH relativeFrom="margin">
            <wp:posOffset>5489575</wp:posOffset>
          </wp:positionH>
          <wp:positionV relativeFrom="margin">
            <wp:posOffset>8891905</wp:posOffset>
          </wp:positionV>
          <wp:extent cx="638175" cy="638175"/>
          <wp:effectExtent l="0" t="0" r="9525" b="9525"/>
          <wp:wrapNone/>
          <wp:docPr id="1516298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3A00">
      <w:rPr>
        <w:sz w:val="20"/>
      </w:rPr>
      <w:t xml:space="preserve">    040923    050923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1141" w14:textId="77777777" w:rsidR="00CB5EE3" w:rsidRPr="00AC3823" w:rsidRDefault="00CB5EE3" w:rsidP="00AC3823">
      <w:pPr>
        <w:pStyle w:val="Pieddepage"/>
        <w:tabs>
          <w:tab w:val="right" w:pos="2155"/>
        </w:tabs>
        <w:spacing w:after="80" w:line="240" w:lineRule="atLeast"/>
        <w:ind w:left="680"/>
        <w:rPr>
          <w:u w:val="single"/>
        </w:rPr>
      </w:pPr>
      <w:r>
        <w:rPr>
          <w:u w:val="single"/>
        </w:rPr>
        <w:tab/>
      </w:r>
    </w:p>
  </w:footnote>
  <w:footnote w:type="continuationSeparator" w:id="0">
    <w:p w14:paraId="727FCB5C" w14:textId="77777777" w:rsidR="00CB5EE3" w:rsidRPr="00AC3823" w:rsidRDefault="00CB5EE3" w:rsidP="00AC3823">
      <w:pPr>
        <w:pStyle w:val="Pieddepage"/>
        <w:tabs>
          <w:tab w:val="right" w:pos="2155"/>
        </w:tabs>
        <w:spacing w:after="80" w:line="240" w:lineRule="atLeast"/>
        <w:ind w:left="680"/>
        <w:rPr>
          <w:u w:val="single"/>
        </w:rPr>
      </w:pPr>
      <w:r>
        <w:rPr>
          <w:u w:val="single"/>
        </w:rPr>
        <w:tab/>
      </w:r>
    </w:p>
  </w:footnote>
  <w:footnote w:type="continuationNotice" w:id="1">
    <w:p w14:paraId="1E369E8D" w14:textId="77777777" w:rsidR="00CB5EE3" w:rsidRPr="00AC3823" w:rsidRDefault="00CB5EE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0D57" w14:textId="10F4B19D" w:rsidR="00B358DA" w:rsidRPr="00B358DA" w:rsidRDefault="00B358DA">
    <w:pPr>
      <w:pStyle w:val="En-tte"/>
    </w:pPr>
    <w:fldSimple w:instr=" TITLE  \* MERGEFORMAT ">
      <w:r w:rsidR="005F6F6D">
        <w:t>ECE/TRANS/WP.11/2023/15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1051" w14:textId="5D558266" w:rsidR="00B358DA" w:rsidRPr="00B358DA" w:rsidRDefault="00B358DA" w:rsidP="00B358DA">
    <w:pPr>
      <w:pStyle w:val="En-tte"/>
      <w:jc w:val="right"/>
    </w:pPr>
    <w:fldSimple w:instr=" TITLE  \* MERGEFORMAT ">
      <w:r w:rsidR="005F6F6D">
        <w:t>ECE/TRANS/WP.11/2023/15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07712914">
    <w:abstractNumId w:val="12"/>
  </w:num>
  <w:num w:numId="2" w16cid:durableId="1982804955">
    <w:abstractNumId w:val="11"/>
  </w:num>
  <w:num w:numId="3" w16cid:durableId="1890143896">
    <w:abstractNumId w:val="10"/>
  </w:num>
  <w:num w:numId="4" w16cid:durableId="1257714380">
    <w:abstractNumId w:val="8"/>
  </w:num>
  <w:num w:numId="5" w16cid:durableId="435905972">
    <w:abstractNumId w:val="3"/>
  </w:num>
  <w:num w:numId="6" w16cid:durableId="1846050245">
    <w:abstractNumId w:val="2"/>
  </w:num>
  <w:num w:numId="7" w16cid:durableId="2057267312">
    <w:abstractNumId w:val="1"/>
  </w:num>
  <w:num w:numId="8" w16cid:durableId="1832482013">
    <w:abstractNumId w:val="0"/>
  </w:num>
  <w:num w:numId="9" w16cid:durableId="10763662">
    <w:abstractNumId w:val="9"/>
  </w:num>
  <w:num w:numId="10" w16cid:durableId="1122261979">
    <w:abstractNumId w:val="7"/>
  </w:num>
  <w:num w:numId="11" w16cid:durableId="2009864438">
    <w:abstractNumId w:val="6"/>
  </w:num>
  <w:num w:numId="12" w16cid:durableId="2016759709">
    <w:abstractNumId w:val="5"/>
  </w:num>
  <w:num w:numId="13" w16cid:durableId="1448239678">
    <w:abstractNumId w:val="4"/>
  </w:num>
  <w:num w:numId="14" w16cid:durableId="1024285208">
    <w:abstractNumId w:val="12"/>
  </w:num>
  <w:num w:numId="15" w16cid:durableId="364714750">
    <w:abstractNumId w:val="11"/>
  </w:num>
  <w:num w:numId="16" w16cid:durableId="13700326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E3"/>
    <w:rsid w:val="00017F94"/>
    <w:rsid w:val="00023842"/>
    <w:rsid w:val="000334F9"/>
    <w:rsid w:val="00045FEB"/>
    <w:rsid w:val="0007796D"/>
    <w:rsid w:val="000B7790"/>
    <w:rsid w:val="000C3A00"/>
    <w:rsid w:val="00111F2F"/>
    <w:rsid w:val="0014365E"/>
    <w:rsid w:val="00143C66"/>
    <w:rsid w:val="00176178"/>
    <w:rsid w:val="001F525A"/>
    <w:rsid w:val="00201148"/>
    <w:rsid w:val="00223272"/>
    <w:rsid w:val="00245760"/>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F6F6D"/>
    <w:rsid w:val="0071601D"/>
    <w:rsid w:val="007A62E6"/>
    <w:rsid w:val="007F20FA"/>
    <w:rsid w:val="0080684C"/>
    <w:rsid w:val="00871C75"/>
    <w:rsid w:val="008776DC"/>
    <w:rsid w:val="008D5EF9"/>
    <w:rsid w:val="009446C0"/>
    <w:rsid w:val="009705C8"/>
    <w:rsid w:val="009C1CF4"/>
    <w:rsid w:val="009F6B74"/>
    <w:rsid w:val="00A3029F"/>
    <w:rsid w:val="00A30353"/>
    <w:rsid w:val="00A82497"/>
    <w:rsid w:val="00AA24C5"/>
    <w:rsid w:val="00AC3823"/>
    <w:rsid w:val="00AE323C"/>
    <w:rsid w:val="00AF0CB5"/>
    <w:rsid w:val="00B00181"/>
    <w:rsid w:val="00B00B0D"/>
    <w:rsid w:val="00B358DA"/>
    <w:rsid w:val="00B45F2E"/>
    <w:rsid w:val="00B765F7"/>
    <w:rsid w:val="00B77993"/>
    <w:rsid w:val="00BA0CA9"/>
    <w:rsid w:val="00C02897"/>
    <w:rsid w:val="00C97039"/>
    <w:rsid w:val="00CB5EE3"/>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C3ECC"/>
  <w15:docId w15:val="{55192318-4CD7-4770-8728-3C03B92E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B358DA"/>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A82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guidelines-telematics-application-standards-construction-and-approval-vehicles-calculation-risk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1CBB2-88C8-4EA1-B642-6D2ED890D877}"/>
</file>

<file path=customXml/itemProps2.xml><?xml version="1.0" encoding="utf-8"?>
<ds:datastoreItem xmlns:ds="http://schemas.openxmlformats.org/officeDocument/2006/customXml" ds:itemID="{55AF8ED5-61FE-47E8-9ED9-9E46378301F8}"/>
</file>

<file path=docProps/app.xml><?xml version="1.0" encoding="utf-8"?>
<Properties xmlns="http://schemas.openxmlformats.org/officeDocument/2006/extended-properties" xmlns:vt="http://schemas.openxmlformats.org/officeDocument/2006/docPropsVTypes">
  <Template>ECE_TRANS.dotm</Template>
  <TotalTime>2</TotalTime>
  <Pages>3</Pages>
  <Words>648</Words>
  <Characters>4538</Characters>
  <Application>Microsoft Office Word</Application>
  <DocSecurity>0</DocSecurity>
  <Lines>378</Lines>
  <Paragraphs>207</Paragraphs>
  <ScaleCrop>false</ScaleCrop>
  <HeadingPairs>
    <vt:vector size="2" baseType="variant">
      <vt:variant>
        <vt:lpstr>Titre</vt:lpstr>
      </vt:variant>
      <vt:variant>
        <vt:i4>1</vt:i4>
      </vt:variant>
    </vt:vector>
  </HeadingPairs>
  <TitlesOfParts>
    <vt:vector size="1" baseType="lpstr">
      <vt:lpstr>ECE/TRANS/WP.11/2023/15</vt:lpstr>
    </vt:vector>
  </TitlesOfParts>
  <Company>DCM</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ECE/TRANS/WP.11/2023/15</dc:title>
  <dc:subject/>
  <dc:creator>Julien OKRZESIK</dc:creator>
  <cp:keywords/>
  <cp:lastModifiedBy>Julien Okrzesik</cp:lastModifiedBy>
  <cp:revision>3</cp:revision>
  <cp:lastPrinted>2023-09-05T11:20:00Z</cp:lastPrinted>
  <dcterms:created xsi:type="dcterms:W3CDTF">2023-09-05T11:20:00Z</dcterms:created>
  <dcterms:modified xsi:type="dcterms:W3CDTF">2023-09-05T11:22:00Z</dcterms:modified>
</cp:coreProperties>
</file>