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FB067" w14:textId="77777777" w:rsidTr="00B20551">
        <w:trPr>
          <w:cantSplit/>
          <w:trHeight w:hRule="exact" w:val="851"/>
        </w:trPr>
        <w:tc>
          <w:tcPr>
            <w:tcW w:w="1276" w:type="dxa"/>
            <w:tcBorders>
              <w:bottom w:val="single" w:sz="4" w:space="0" w:color="auto"/>
            </w:tcBorders>
            <w:vAlign w:val="bottom"/>
          </w:tcPr>
          <w:p w14:paraId="089557E3" w14:textId="77777777" w:rsidR="009E6CB7" w:rsidRDefault="009E6CB7" w:rsidP="00B20551">
            <w:pPr>
              <w:spacing w:after="80"/>
            </w:pPr>
          </w:p>
        </w:tc>
        <w:tc>
          <w:tcPr>
            <w:tcW w:w="2268" w:type="dxa"/>
            <w:tcBorders>
              <w:bottom w:val="single" w:sz="4" w:space="0" w:color="auto"/>
            </w:tcBorders>
            <w:vAlign w:val="bottom"/>
          </w:tcPr>
          <w:p w14:paraId="6459487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03D4B54" w14:textId="4ECD36E9" w:rsidR="009E6CB7" w:rsidRPr="00D47EEA" w:rsidRDefault="0001613C" w:rsidP="0001613C">
            <w:pPr>
              <w:jc w:val="right"/>
            </w:pPr>
            <w:r w:rsidRPr="0001613C">
              <w:rPr>
                <w:sz w:val="40"/>
              </w:rPr>
              <w:t>ECE</w:t>
            </w:r>
            <w:r>
              <w:t>/TRANS/WP.11/2023/17</w:t>
            </w:r>
          </w:p>
        </w:tc>
      </w:tr>
      <w:tr w:rsidR="009E6CB7" w14:paraId="5FCEBC07" w14:textId="77777777" w:rsidTr="00B20551">
        <w:trPr>
          <w:cantSplit/>
          <w:trHeight w:hRule="exact" w:val="2835"/>
        </w:trPr>
        <w:tc>
          <w:tcPr>
            <w:tcW w:w="1276" w:type="dxa"/>
            <w:tcBorders>
              <w:top w:val="single" w:sz="4" w:space="0" w:color="auto"/>
              <w:bottom w:val="single" w:sz="12" w:space="0" w:color="auto"/>
            </w:tcBorders>
          </w:tcPr>
          <w:p w14:paraId="6F9F45EB" w14:textId="77777777" w:rsidR="009E6CB7" w:rsidRDefault="00686A48" w:rsidP="00B20551">
            <w:pPr>
              <w:spacing w:before="120"/>
            </w:pPr>
            <w:r>
              <w:rPr>
                <w:noProof/>
                <w:lang w:val="fr-CH" w:eastAsia="fr-CH"/>
              </w:rPr>
              <w:drawing>
                <wp:inline distT="0" distB="0" distL="0" distR="0" wp14:anchorId="1D7AEA80" wp14:editId="0F82F1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4A34C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999C59F" w14:textId="77777777" w:rsidR="009E6CB7" w:rsidRDefault="0001613C" w:rsidP="0001613C">
            <w:pPr>
              <w:spacing w:before="240" w:line="240" w:lineRule="exact"/>
            </w:pPr>
            <w:r>
              <w:t>Distr.: General</w:t>
            </w:r>
          </w:p>
          <w:p w14:paraId="03E5DCC8" w14:textId="77777777" w:rsidR="0001613C" w:rsidRDefault="0001613C" w:rsidP="0001613C">
            <w:pPr>
              <w:spacing w:line="240" w:lineRule="exact"/>
            </w:pPr>
            <w:r>
              <w:t>8 August 2023</w:t>
            </w:r>
          </w:p>
          <w:p w14:paraId="3484B318" w14:textId="77777777" w:rsidR="0001613C" w:rsidRDefault="0001613C" w:rsidP="0001613C">
            <w:pPr>
              <w:spacing w:line="240" w:lineRule="exact"/>
            </w:pPr>
          </w:p>
          <w:p w14:paraId="55D8234A" w14:textId="61D78000" w:rsidR="0001613C" w:rsidRDefault="0001613C" w:rsidP="0001613C">
            <w:pPr>
              <w:spacing w:line="240" w:lineRule="exact"/>
            </w:pPr>
            <w:r>
              <w:t>Original: English</w:t>
            </w:r>
          </w:p>
        </w:tc>
      </w:tr>
    </w:tbl>
    <w:p w14:paraId="7C7DEF1E" w14:textId="77777777" w:rsidR="00014061" w:rsidRDefault="00014061" w:rsidP="00C411EB">
      <w:pPr>
        <w:spacing w:before="120"/>
        <w:rPr>
          <w:b/>
          <w:sz w:val="28"/>
          <w:szCs w:val="28"/>
        </w:rPr>
      </w:pPr>
      <w:r w:rsidRPr="007F5683">
        <w:rPr>
          <w:b/>
          <w:sz w:val="28"/>
          <w:szCs w:val="28"/>
        </w:rPr>
        <w:t>Economic Commission for Europe</w:t>
      </w:r>
    </w:p>
    <w:p w14:paraId="064B48BD" w14:textId="77777777" w:rsidR="00014061" w:rsidRDefault="00014061" w:rsidP="00C411EB">
      <w:pPr>
        <w:spacing w:before="120"/>
        <w:rPr>
          <w:sz w:val="28"/>
          <w:szCs w:val="28"/>
        </w:rPr>
      </w:pPr>
      <w:r>
        <w:rPr>
          <w:sz w:val="28"/>
          <w:szCs w:val="28"/>
        </w:rPr>
        <w:t>Inland Transport Committee</w:t>
      </w:r>
    </w:p>
    <w:p w14:paraId="11323170" w14:textId="77777777" w:rsidR="00014061" w:rsidRDefault="00014061" w:rsidP="00C411EB">
      <w:pPr>
        <w:spacing w:before="120"/>
        <w:rPr>
          <w:b/>
          <w:sz w:val="24"/>
          <w:szCs w:val="24"/>
        </w:rPr>
      </w:pPr>
      <w:r>
        <w:rPr>
          <w:b/>
          <w:sz w:val="24"/>
          <w:szCs w:val="24"/>
        </w:rPr>
        <w:t>Working Party on the Transport of Perishable Foodstuffs</w:t>
      </w:r>
    </w:p>
    <w:p w14:paraId="5198E8FC" w14:textId="77777777" w:rsidR="00096657" w:rsidRPr="008D7010" w:rsidRDefault="00096657" w:rsidP="00096657">
      <w:pPr>
        <w:spacing w:before="120"/>
        <w:rPr>
          <w:b/>
        </w:rPr>
      </w:pPr>
      <w:r>
        <w:rPr>
          <w:b/>
        </w:rPr>
        <w:t xml:space="preserve">Eightieth </w:t>
      </w:r>
      <w:r w:rsidRPr="008D7010">
        <w:rPr>
          <w:b/>
        </w:rPr>
        <w:t>session</w:t>
      </w:r>
    </w:p>
    <w:p w14:paraId="722EFC17" w14:textId="77777777" w:rsidR="00096657" w:rsidRDefault="00096657" w:rsidP="00096657">
      <w:r w:rsidRPr="008D7010">
        <w:t xml:space="preserve">Geneva, </w:t>
      </w:r>
      <w:r>
        <w:t>24-27 October 2023</w:t>
      </w:r>
    </w:p>
    <w:p w14:paraId="0F89E875" w14:textId="77777777" w:rsidR="00096657" w:rsidRPr="00425F1F" w:rsidRDefault="00096657" w:rsidP="00096657">
      <w:pPr>
        <w:rPr>
          <w:lang w:val="en-US"/>
        </w:rPr>
      </w:pPr>
      <w:r w:rsidRPr="00425F1F">
        <w:rPr>
          <w:lang w:val="en-US"/>
        </w:rPr>
        <w:t>Item 5 (</w:t>
      </w:r>
      <w:r>
        <w:rPr>
          <w:lang w:val="en-US"/>
        </w:rPr>
        <w:t>b</w:t>
      </w:r>
      <w:r w:rsidRPr="00425F1F">
        <w:rPr>
          <w:lang w:val="en-US"/>
        </w:rPr>
        <w:t>) of the provisional agenda</w:t>
      </w:r>
    </w:p>
    <w:p w14:paraId="38A78BC6" w14:textId="77777777" w:rsidR="00096657" w:rsidRPr="00425F1F" w:rsidRDefault="00096657" w:rsidP="00096657">
      <w:pPr>
        <w:rPr>
          <w:b/>
          <w:bCs/>
          <w:lang w:val="en-US"/>
        </w:rPr>
      </w:pPr>
      <w:r w:rsidRPr="00425F1F">
        <w:rPr>
          <w:b/>
          <w:bCs/>
        </w:rPr>
        <w:t>Proposals of amendments to ATP</w:t>
      </w:r>
      <w:r w:rsidRPr="00425F1F">
        <w:rPr>
          <w:b/>
          <w:bCs/>
          <w:lang w:val="en-US"/>
        </w:rPr>
        <w:t>:</w:t>
      </w:r>
    </w:p>
    <w:p w14:paraId="0EA9F869" w14:textId="77777777" w:rsidR="00096657" w:rsidRPr="00425F1F" w:rsidRDefault="00096657" w:rsidP="00096657">
      <w:pPr>
        <w:rPr>
          <w:b/>
          <w:bCs/>
        </w:rPr>
      </w:pPr>
      <w:r>
        <w:rPr>
          <w:b/>
          <w:bCs/>
        </w:rPr>
        <w:t xml:space="preserve">new </w:t>
      </w:r>
      <w:r w:rsidRPr="00425F1F">
        <w:rPr>
          <w:b/>
          <w:bCs/>
        </w:rPr>
        <w:t>proposals</w:t>
      </w:r>
    </w:p>
    <w:p w14:paraId="10CD9A22" w14:textId="77777777" w:rsidR="001267CE" w:rsidRDefault="001267CE" w:rsidP="001267CE">
      <w:pPr>
        <w:pStyle w:val="HChG"/>
      </w:pPr>
      <w:r>
        <w:tab/>
      </w:r>
      <w:r>
        <w:tab/>
        <w:t>Periodic verification of temperature recorders</w:t>
      </w:r>
    </w:p>
    <w:p w14:paraId="3A9EB789" w14:textId="77777777" w:rsidR="001267CE" w:rsidRDefault="001267CE" w:rsidP="001267CE">
      <w:pPr>
        <w:pStyle w:val="H1G"/>
      </w:pPr>
      <w:r>
        <w:tab/>
      </w:r>
      <w:r>
        <w:tab/>
        <w:t>Transmitted by the Government of the Netherlands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14259" w14:paraId="5F36B20A" w14:textId="77777777" w:rsidTr="0015718D">
        <w:trPr>
          <w:jc w:val="center"/>
        </w:trPr>
        <w:tc>
          <w:tcPr>
            <w:tcW w:w="9629" w:type="dxa"/>
            <w:shd w:val="clear" w:color="auto" w:fill="auto"/>
          </w:tcPr>
          <w:p w14:paraId="1B95DC72" w14:textId="77777777" w:rsidR="00F14259" w:rsidRPr="00C6263E" w:rsidRDefault="00F14259" w:rsidP="006E5E26">
            <w:pPr>
              <w:spacing w:before="240" w:after="120"/>
              <w:ind w:left="255"/>
              <w:rPr>
                <w:i/>
                <w:sz w:val="24"/>
              </w:rPr>
            </w:pPr>
            <w:r w:rsidRPr="00C6263E">
              <w:rPr>
                <w:i/>
                <w:sz w:val="24"/>
              </w:rPr>
              <w:t>Summary</w:t>
            </w:r>
          </w:p>
        </w:tc>
      </w:tr>
      <w:tr w:rsidR="00F14259" w14:paraId="06FD300C" w14:textId="77777777" w:rsidTr="0015718D">
        <w:trPr>
          <w:jc w:val="center"/>
        </w:trPr>
        <w:tc>
          <w:tcPr>
            <w:tcW w:w="9629" w:type="dxa"/>
            <w:shd w:val="clear" w:color="auto" w:fill="auto"/>
          </w:tcPr>
          <w:p w14:paraId="0FC8B14F" w14:textId="77777777" w:rsidR="00F06C15" w:rsidRDefault="00F06C15" w:rsidP="00F06C15">
            <w:pPr>
              <w:pStyle w:val="SingleTxtG"/>
              <w:ind w:left="3402" w:hanging="2264"/>
            </w:pPr>
            <w:r w:rsidRPr="0026588E">
              <w:rPr>
                <w:b/>
                <w:iCs/>
              </w:rPr>
              <w:t>Executive summary</w:t>
            </w:r>
            <w:r w:rsidRPr="0026588E">
              <w:rPr>
                <w:bCs/>
              </w:rPr>
              <w:t>:</w:t>
            </w:r>
            <w:r w:rsidRPr="0026588E">
              <w:rPr>
                <w:bCs/>
              </w:rPr>
              <w:tab/>
            </w:r>
            <w:r>
              <w:rPr>
                <w:bCs/>
              </w:rPr>
              <w:t xml:space="preserve">To be certain that foodstuffs are carried at the right temperature, regular monitoring and registration of the air temperature by a recorder is needed. However, before extending from quick-frozen foodstuffs only to all foodstuffs some issues need to be resolved. </w:t>
            </w:r>
          </w:p>
          <w:p w14:paraId="2146CDF6" w14:textId="45B18304" w:rsidR="00F06C15" w:rsidRDefault="00F06C15" w:rsidP="00F06C15">
            <w:pPr>
              <w:pStyle w:val="SingleTxtG"/>
              <w:ind w:left="3402" w:hanging="2264"/>
            </w:pPr>
            <w:r w:rsidRPr="0026588E">
              <w:rPr>
                <w:b/>
                <w:iCs/>
              </w:rPr>
              <w:t>Action to be taken</w:t>
            </w:r>
            <w:r w:rsidRPr="0026588E">
              <w:rPr>
                <w:b/>
              </w:rPr>
              <w:t>:</w:t>
            </w:r>
            <w:r w:rsidRPr="0026588E">
              <w:rPr>
                <w:b/>
              </w:rPr>
              <w:tab/>
            </w:r>
            <w:r>
              <w:rPr>
                <w:b/>
              </w:rPr>
              <w:tab/>
            </w:r>
            <w:r w:rsidRPr="00D10598">
              <w:rPr>
                <w:bCs/>
              </w:rPr>
              <w:t xml:space="preserve">Agree on amendments to </w:t>
            </w:r>
            <w:r w:rsidR="00A37A59">
              <w:rPr>
                <w:bCs/>
              </w:rPr>
              <w:t>a</w:t>
            </w:r>
            <w:r w:rsidRPr="00D10598">
              <w:rPr>
                <w:bCs/>
              </w:rPr>
              <w:t xml:space="preserve">nnex 2, </w:t>
            </w:r>
            <w:r w:rsidR="00A37A59">
              <w:rPr>
                <w:bCs/>
              </w:rPr>
              <w:t>a</w:t>
            </w:r>
            <w:r w:rsidRPr="00D10598">
              <w:rPr>
                <w:bCs/>
              </w:rPr>
              <w:t>ppendix 1 concerning periodic verification of the recorder.</w:t>
            </w:r>
          </w:p>
          <w:p w14:paraId="5059256A" w14:textId="260D1922" w:rsidR="00F14259" w:rsidRDefault="00F06C15" w:rsidP="00F06C15">
            <w:pPr>
              <w:pStyle w:val="SingleTxtG"/>
            </w:pPr>
            <w:r w:rsidRPr="0026588E">
              <w:rPr>
                <w:b/>
                <w:iCs/>
              </w:rPr>
              <w:t>Related documents</w:t>
            </w:r>
            <w:r w:rsidRPr="0026588E">
              <w:rPr>
                <w:bCs/>
              </w:rPr>
              <w:t>:</w:t>
            </w:r>
            <w:r>
              <w:rPr>
                <w:bCs/>
              </w:rPr>
              <w:tab/>
            </w:r>
            <w:r>
              <w:rPr>
                <w:bCs/>
              </w:rPr>
              <w:tab/>
            </w:r>
            <w:r>
              <w:tab/>
              <w:t>ECE/TRANS/WP.11/2021/19</w:t>
            </w:r>
          </w:p>
        </w:tc>
      </w:tr>
      <w:tr w:rsidR="00F14259" w14:paraId="5165C0D1" w14:textId="77777777" w:rsidTr="0015718D">
        <w:trPr>
          <w:jc w:val="center"/>
        </w:trPr>
        <w:tc>
          <w:tcPr>
            <w:tcW w:w="9629" w:type="dxa"/>
            <w:shd w:val="clear" w:color="auto" w:fill="auto"/>
          </w:tcPr>
          <w:p w14:paraId="3A28FC59" w14:textId="0B8DEC33" w:rsidR="00F14259" w:rsidRDefault="00F14259" w:rsidP="006E5E26"/>
        </w:tc>
      </w:tr>
    </w:tbl>
    <w:p w14:paraId="2A5E167E" w14:textId="0E678806" w:rsidR="0015718D" w:rsidRDefault="00A90CF9" w:rsidP="00A90CF9">
      <w:pPr>
        <w:pStyle w:val="HChG"/>
      </w:pPr>
      <w:r>
        <w:tab/>
      </w:r>
      <w:r>
        <w:tab/>
      </w:r>
      <w:r w:rsidR="0015718D" w:rsidRPr="00A90CF9">
        <w:t>Introduction</w:t>
      </w:r>
    </w:p>
    <w:p w14:paraId="76919EDC" w14:textId="057F0DA2" w:rsidR="0015718D" w:rsidRPr="00A90CF9" w:rsidRDefault="00A90CF9" w:rsidP="00A90CF9">
      <w:pPr>
        <w:pStyle w:val="SingleTxtG"/>
      </w:pPr>
      <w:r>
        <w:t>1.</w:t>
      </w:r>
      <w:r>
        <w:tab/>
      </w:r>
      <w:r w:rsidR="0015718D" w:rsidRPr="00A90CF9">
        <w:t xml:space="preserve">During a session of the </w:t>
      </w:r>
      <w:r w:rsidR="00626A95">
        <w:t>i</w:t>
      </w:r>
      <w:r w:rsidR="0015718D" w:rsidRPr="00A90CF9">
        <w:t xml:space="preserve">nformal </w:t>
      </w:r>
      <w:r w:rsidR="00626A95">
        <w:t>w</w:t>
      </w:r>
      <w:r w:rsidR="0015718D" w:rsidRPr="00A90CF9">
        <w:t xml:space="preserve">orking </w:t>
      </w:r>
      <w:r w:rsidR="00626A95">
        <w:t>g</w:t>
      </w:r>
      <w:r w:rsidR="0015718D" w:rsidRPr="00A90CF9">
        <w:t xml:space="preserve">roup on Approvement of the Approval </w:t>
      </w:r>
      <w:r w:rsidR="00626A95">
        <w:t>S</w:t>
      </w:r>
      <w:r w:rsidR="0015718D" w:rsidRPr="00A90CF9">
        <w:t>ystem</w:t>
      </w:r>
      <w:r w:rsidR="00626A95">
        <w:t>,</w:t>
      </w:r>
      <w:r w:rsidR="0015718D" w:rsidRPr="00A90CF9">
        <w:t xml:space="preserve"> the periodic verification of the temperature recorder was discussed. It was noted that in most contracting parties, of which the experts took the floor, the annual or bi-annual validation of the temperature recorder according to EN 13486 was done by maintenance shops appointed and controlled by the competent authorities.</w:t>
      </w:r>
    </w:p>
    <w:p w14:paraId="4B885BE0" w14:textId="406F38F5" w:rsidR="0015718D" w:rsidRPr="00A90CF9" w:rsidRDefault="00A90CF9" w:rsidP="00A90CF9">
      <w:pPr>
        <w:pStyle w:val="SingleTxtG"/>
      </w:pPr>
      <w:r>
        <w:t>2.</w:t>
      </w:r>
      <w:r>
        <w:tab/>
      </w:r>
      <w:r w:rsidR="0015718D" w:rsidRPr="00A90CF9">
        <w:t xml:space="preserve">However an accredited body is prescribed for this verification in </w:t>
      </w:r>
      <w:r w:rsidR="0095132B">
        <w:t>a</w:t>
      </w:r>
      <w:r w:rsidR="0015718D" w:rsidRPr="00A90CF9">
        <w:t xml:space="preserve">nnex 2, </w:t>
      </w:r>
      <w:r w:rsidR="0095132B">
        <w:t>a</w:t>
      </w:r>
      <w:r w:rsidR="0015718D" w:rsidRPr="00A90CF9">
        <w:t>ppendix</w:t>
      </w:r>
      <w:r w:rsidR="00800075">
        <w:t> </w:t>
      </w:r>
      <w:r w:rsidR="0015718D" w:rsidRPr="00A90CF9">
        <w:t xml:space="preserve">1. Although </w:t>
      </w:r>
      <w:r w:rsidR="00800075">
        <w:t>"</w:t>
      </w:r>
      <w:r w:rsidR="0015718D" w:rsidRPr="00A90CF9">
        <w:t>accredited</w:t>
      </w:r>
      <w:r w:rsidR="00800075">
        <w:t>"</w:t>
      </w:r>
      <w:r w:rsidR="0015718D" w:rsidRPr="00A90CF9">
        <w:t xml:space="preserve"> is not a protected term for a third party evaluation it may give the impression of an accreditation given by the national board of accreditation.</w:t>
      </w:r>
    </w:p>
    <w:p w14:paraId="49398740" w14:textId="7EF38C57" w:rsidR="0015718D" w:rsidRPr="00A90CF9" w:rsidRDefault="00A90CF9" w:rsidP="00A90CF9">
      <w:pPr>
        <w:pStyle w:val="SingleTxtG"/>
      </w:pPr>
      <w:r>
        <w:t>3.</w:t>
      </w:r>
      <w:r>
        <w:tab/>
      </w:r>
      <w:r w:rsidR="0015718D" w:rsidRPr="00A90CF9">
        <w:t xml:space="preserve">For the verification of the temperature recorder it was said that the system as a whole  should be checked on correct functioning, and not only the temperature sensors. As parts are permanently fitted inside the walls of the insulated body demounting and sending it to an accredited laboratory is not possible, it has to be done in situ. </w:t>
      </w:r>
    </w:p>
    <w:p w14:paraId="0DA774FF" w14:textId="25B046BE" w:rsidR="00245FC1" w:rsidRDefault="00521DA3" w:rsidP="00245FC1">
      <w:pPr>
        <w:pStyle w:val="SingleTxtG"/>
      </w:pPr>
      <w:r>
        <w:lastRenderedPageBreak/>
        <w:t>4.</w:t>
      </w:r>
      <w:r>
        <w:tab/>
      </w:r>
      <w:r w:rsidR="00245FC1">
        <w:t>It may also be questioned if the additional value and costs of involving an accredited body over a well-trained mechanic of a maintenance shop is justified. Periodic checks on equipment may also be performed by non-accredited bodies and experts.</w:t>
      </w:r>
    </w:p>
    <w:p w14:paraId="72DCE403" w14:textId="53902C3C" w:rsidR="00245FC1" w:rsidRPr="00A3408A" w:rsidRDefault="00521DA3" w:rsidP="00521DA3">
      <w:pPr>
        <w:pStyle w:val="HChG"/>
      </w:pPr>
      <w:r>
        <w:tab/>
      </w:r>
      <w:r>
        <w:tab/>
      </w:r>
      <w:r w:rsidR="00245FC1" w:rsidRPr="00A3408A">
        <w:t>Proposal</w:t>
      </w:r>
    </w:p>
    <w:p w14:paraId="1F2436CF" w14:textId="22B8F3F8" w:rsidR="00245FC1" w:rsidRPr="005A12EE" w:rsidRDefault="00521DA3" w:rsidP="00245FC1">
      <w:pPr>
        <w:spacing w:after="160" w:line="259" w:lineRule="auto"/>
        <w:ind w:left="1134" w:right="1134"/>
        <w:rPr>
          <w:rFonts w:eastAsia="Calibri"/>
        </w:rPr>
      </w:pPr>
      <w:r>
        <w:rPr>
          <w:rFonts w:eastAsia="Calibri"/>
        </w:rPr>
        <w:t>5.</w:t>
      </w:r>
      <w:r>
        <w:rPr>
          <w:rFonts w:eastAsia="Calibri"/>
        </w:rPr>
        <w:tab/>
      </w:r>
      <w:r w:rsidR="00245FC1" w:rsidRPr="005A12EE">
        <w:rPr>
          <w:rFonts w:eastAsia="Calibri"/>
        </w:rPr>
        <w:t xml:space="preserve">Amend </w:t>
      </w:r>
      <w:r w:rsidR="00420C9B">
        <w:rPr>
          <w:rFonts w:eastAsia="Calibri"/>
        </w:rPr>
        <w:t>a</w:t>
      </w:r>
      <w:r w:rsidR="00245FC1" w:rsidRPr="005A12EE">
        <w:rPr>
          <w:rFonts w:eastAsia="Calibri"/>
        </w:rPr>
        <w:t xml:space="preserve">nnex 2, </w:t>
      </w:r>
      <w:r w:rsidR="00420C9B">
        <w:rPr>
          <w:rFonts w:eastAsia="Calibri"/>
        </w:rPr>
        <w:t>a</w:t>
      </w:r>
      <w:r w:rsidR="00245FC1" w:rsidRPr="005A12EE">
        <w:rPr>
          <w:rFonts w:eastAsia="Calibri"/>
        </w:rPr>
        <w:t>ppendix 1 to read: (deleted wording stricken through, new wording underlined):</w:t>
      </w:r>
    </w:p>
    <w:p w14:paraId="4B577672" w14:textId="77777777" w:rsidR="00245FC1" w:rsidRDefault="00245FC1" w:rsidP="00245FC1">
      <w:pPr>
        <w:spacing w:after="160" w:line="259" w:lineRule="auto"/>
        <w:ind w:right="1134"/>
        <w:jc w:val="center"/>
        <w:rPr>
          <w:rFonts w:eastAsia="Calibri"/>
          <w:b/>
          <w:bCs/>
          <w:i/>
          <w:iCs/>
          <w:sz w:val="22"/>
          <w:szCs w:val="22"/>
        </w:rPr>
      </w:pPr>
      <w:r w:rsidRPr="00D3682B">
        <w:rPr>
          <w:rFonts w:eastAsia="Calibri"/>
          <w:i/>
          <w:iCs/>
          <w:sz w:val="22"/>
          <w:szCs w:val="23"/>
        </w:rPr>
        <w:t>“</w:t>
      </w:r>
      <w:r w:rsidRPr="00D3682B">
        <w:rPr>
          <w:rFonts w:eastAsia="Calibri"/>
          <w:b/>
          <w:bCs/>
          <w:i/>
          <w:iCs/>
          <w:sz w:val="22"/>
          <w:szCs w:val="22"/>
        </w:rPr>
        <w:t xml:space="preserve">MONITORING OF AIR TEMPERATURE FOR TRANSPORT OF </w:t>
      </w:r>
      <w:r w:rsidRPr="00D3682B">
        <w:rPr>
          <w:rFonts w:eastAsia="Calibri"/>
          <w:b/>
          <w:bCs/>
          <w:i/>
          <w:iCs/>
          <w:sz w:val="22"/>
          <w:szCs w:val="22"/>
        </w:rPr>
        <w:br/>
        <w:t xml:space="preserve">QUICK-FROZEN PERISHABLE FOODSTUFFS </w:t>
      </w:r>
    </w:p>
    <w:p w14:paraId="076A1022" w14:textId="77777777" w:rsidR="00937317" w:rsidRPr="005A12EE" w:rsidRDefault="00937317" w:rsidP="00937317">
      <w:pPr>
        <w:numPr>
          <w:ilvl w:val="0"/>
          <w:numId w:val="21"/>
        </w:numPr>
        <w:spacing w:after="240" w:line="259" w:lineRule="auto"/>
        <w:ind w:left="1418" w:right="1134" w:hanging="357"/>
        <w:jc w:val="both"/>
        <w:rPr>
          <w:rFonts w:eastAsia="Calibri"/>
          <w:i/>
          <w:iCs/>
        </w:rPr>
      </w:pPr>
      <w:r w:rsidRPr="005A12EE">
        <w:rPr>
          <w:rFonts w:eastAsia="Calibri"/>
          <w:i/>
          <w:iCs/>
        </w:rPr>
        <w:t>The transport equipment shall be fitted with an instrument capable of measuring and recording air temperatures and storing the data obtained (hereinafter referred to as the instrument) to monitor the air temperatures to which quick-frozen foodstuffs intended for human consumption are subjected.</w:t>
      </w:r>
    </w:p>
    <w:p w14:paraId="0AF99610" w14:textId="77777777" w:rsidR="00937317" w:rsidRPr="005A12EE" w:rsidRDefault="00937317" w:rsidP="00937317">
      <w:pPr>
        <w:numPr>
          <w:ilvl w:val="0"/>
          <w:numId w:val="21"/>
        </w:numPr>
        <w:spacing w:after="240" w:line="259" w:lineRule="auto"/>
        <w:ind w:left="1418" w:right="1134" w:hanging="357"/>
        <w:jc w:val="both"/>
        <w:rPr>
          <w:rFonts w:eastAsia="Calibri"/>
          <w:i/>
          <w:iCs/>
        </w:rPr>
      </w:pPr>
      <w:r w:rsidRPr="005A12EE">
        <w:rPr>
          <w:rFonts w:eastAsia="Calibri"/>
          <w:i/>
          <w:iCs/>
        </w:rPr>
        <w:t xml:space="preserve">Temperature recordings obtained in this manner </w:t>
      </w:r>
      <w:proofErr w:type="gramStart"/>
      <w:r w:rsidRPr="005A12EE">
        <w:rPr>
          <w:rFonts w:eastAsia="Calibri"/>
          <w:i/>
          <w:iCs/>
          <w:u w:val="single"/>
        </w:rPr>
        <w:t>shall</w:t>
      </w:r>
      <w:r w:rsidRPr="005A12EE">
        <w:rPr>
          <w:rFonts w:eastAsia="Calibri"/>
          <w:i/>
          <w:iCs/>
        </w:rPr>
        <w:t xml:space="preserve"> </w:t>
      </w:r>
      <w:r w:rsidRPr="005A12EE">
        <w:rPr>
          <w:rFonts w:eastAsia="Calibri"/>
          <w:i/>
          <w:iCs/>
          <w:strike/>
        </w:rPr>
        <w:t>must</w:t>
      </w:r>
      <w:proofErr w:type="gramEnd"/>
      <w:r w:rsidRPr="005A12EE">
        <w:rPr>
          <w:rFonts w:eastAsia="Calibri"/>
          <w:i/>
          <w:iCs/>
        </w:rPr>
        <w:t xml:space="preserve"> be dated and stored by the operator for at least one year or longer, according to the nature of the food.</w:t>
      </w:r>
    </w:p>
    <w:p w14:paraId="23FE8FA6" w14:textId="77777777" w:rsidR="00937317" w:rsidRPr="005A12EE" w:rsidRDefault="00937317" w:rsidP="00937317">
      <w:pPr>
        <w:numPr>
          <w:ilvl w:val="0"/>
          <w:numId w:val="21"/>
        </w:numPr>
        <w:spacing w:after="240" w:line="259" w:lineRule="auto"/>
        <w:ind w:left="1418" w:right="1134" w:hanging="357"/>
        <w:jc w:val="both"/>
        <w:rPr>
          <w:rFonts w:eastAsia="Calibri"/>
          <w:i/>
          <w:iCs/>
        </w:rPr>
      </w:pPr>
      <w:r w:rsidRPr="005A12EE">
        <w:rPr>
          <w:rFonts w:eastAsia="Calibri"/>
          <w:i/>
          <w:iCs/>
        </w:rPr>
        <w:t xml:space="preserve">The instrument shall </w:t>
      </w:r>
      <w:r w:rsidRPr="005A12EE">
        <w:rPr>
          <w:rFonts w:eastAsia="Calibri"/>
          <w:i/>
          <w:iCs/>
          <w:u w:val="single"/>
        </w:rPr>
        <w:t>be type approved in accordance</w:t>
      </w:r>
      <w:r w:rsidRPr="005A12EE">
        <w:rPr>
          <w:rFonts w:eastAsia="Calibri"/>
          <w:i/>
          <w:iCs/>
        </w:rPr>
        <w:t xml:space="preserve">  </w:t>
      </w:r>
      <w:r w:rsidRPr="005A12EE">
        <w:rPr>
          <w:rFonts w:eastAsia="Calibri"/>
          <w:i/>
          <w:iCs/>
          <w:strike/>
        </w:rPr>
        <w:t>comply</w:t>
      </w:r>
      <w:r w:rsidRPr="005A12EE">
        <w:rPr>
          <w:rFonts w:eastAsia="Calibri"/>
          <w:i/>
          <w:iCs/>
        </w:rPr>
        <w:t xml:space="preserve"> with standard EN 12830:2018 </w:t>
      </w:r>
      <w:r w:rsidRPr="005A12EE">
        <w:rPr>
          <w:rFonts w:eastAsia="Calibri"/>
          <w:i/>
          <w:iCs/>
          <w:u w:val="single"/>
        </w:rPr>
        <w:t xml:space="preserve">by an accredited body. The documentation shall be available for the approval of ATP competent authorities. </w:t>
      </w:r>
    </w:p>
    <w:p w14:paraId="77D990BE" w14:textId="77777777" w:rsidR="00937317" w:rsidRPr="005A12EE" w:rsidRDefault="00937317" w:rsidP="00937317">
      <w:pPr>
        <w:numPr>
          <w:ilvl w:val="0"/>
          <w:numId w:val="21"/>
        </w:numPr>
        <w:spacing w:after="240" w:line="259" w:lineRule="auto"/>
        <w:ind w:left="1418" w:right="1134" w:hanging="357"/>
        <w:jc w:val="both"/>
        <w:rPr>
          <w:rFonts w:eastAsia="Calibri"/>
          <w:i/>
          <w:iCs/>
        </w:rPr>
      </w:pPr>
      <w:r w:rsidRPr="005A12EE">
        <w:rPr>
          <w:rFonts w:eastAsia="Calibri"/>
          <w:i/>
          <w:iCs/>
        </w:rPr>
        <w:t xml:space="preserve">The instrument shall be verified in accordance with EN 13486:2002 </w:t>
      </w:r>
      <w:r w:rsidRPr="005A12EE">
        <w:rPr>
          <w:rFonts w:eastAsia="Calibri"/>
          <w:i/>
          <w:iCs/>
          <w:strike/>
        </w:rPr>
        <w:t>by an accredited body</w:t>
      </w:r>
      <w:r w:rsidRPr="005A12EE">
        <w:rPr>
          <w:rFonts w:eastAsia="Calibri"/>
          <w:i/>
          <w:iCs/>
        </w:rPr>
        <w:t xml:space="preserve"> and the documentation </w:t>
      </w:r>
      <w:r w:rsidRPr="005A12EE">
        <w:rPr>
          <w:rFonts w:eastAsia="Calibri"/>
          <w:i/>
          <w:iCs/>
          <w:u w:val="single"/>
        </w:rPr>
        <w:t>of the verification</w:t>
      </w:r>
      <w:r w:rsidRPr="005A12EE">
        <w:rPr>
          <w:rFonts w:eastAsia="Calibri"/>
          <w:i/>
          <w:iCs/>
        </w:rPr>
        <w:t xml:space="preserve"> shall be available for </w:t>
      </w:r>
      <w:r w:rsidRPr="005A12EE">
        <w:rPr>
          <w:rFonts w:eastAsia="Calibri"/>
          <w:i/>
          <w:iCs/>
          <w:strike/>
        </w:rPr>
        <w:t>the approval of</w:t>
      </w:r>
      <w:r w:rsidRPr="005A12EE">
        <w:rPr>
          <w:rFonts w:eastAsia="Calibri"/>
          <w:i/>
          <w:iCs/>
        </w:rPr>
        <w:t xml:space="preserve"> ATP competent authorities.</w:t>
      </w:r>
    </w:p>
    <w:p w14:paraId="7092C720" w14:textId="77777777" w:rsidR="00937317" w:rsidRPr="005A12EE" w:rsidRDefault="00937317" w:rsidP="00937317">
      <w:pPr>
        <w:numPr>
          <w:ilvl w:val="0"/>
          <w:numId w:val="21"/>
        </w:numPr>
        <w:spacing w:after="240" w:line="259" w:lineRule="auto"/>
        <w:ind w:left="1418" w:right="1134" w:hanging="357"/>
        <w:jc w:val="both"/>
        <w:rPr>
          <w:rFonts w:eastAsia="Calibri"/>
          <w:i/>
          <w:iCs/>
        </w:rPr>
      </w:pPr>
      <w:r w:rsidRPr="005A12EE">
        <w:rPr>
          <w:rFonts w:eastAsia="Calibri"/>
          <w:i/>
          <w:iCs/>
          <w:u w:val="single"/>
        </w:rPr>
        <w:t xml:space="preserve">Testing stations and experts performing verifications shall either be accredited for this purpose or the verification shall be performed by appropriate trained personal according to procedures </w:t>
      </w:r>
      <w:r>
        <w:rPr>
          <w:rFonts w:eastAsia="Calibri"/>
          <w:i/>
          <w:iCs/>
          <w:u w:val="single"/>
        </w:rPr>
        <w:t xml:space="preserve">and with </w:t>
      </w:r>
      <w:r w:rsidRPr="005A12EE">
        <w:rPr>
          <w:rFonts w:eastAsia="Calibri"/>
          <w:i/>
          <w:iCs/>
          <w:u w:val="single"/>
        </w:rPr>
        <w:t xml:space="preserve">appropriately </w:t>
      </w:r>
      <w:r>
        <w:rPr>
          <w:rFonts w:eastAsia="Calibri"/>
          <w:i/>
          <w:iCs/>
          <w:u w:val="single"/>
        </w:rPr>
        <w:t xml:space="preserve">controlled/calibrated </w:t>
      </w:r>
      <w:r w:rsidRPr="005A12EE">
        <w:rPr>
          <w:rFonts w:eastAsia="Calibri"/>
          <w:i/>
          <w:iCs/>
          <w:u w:val="single"/>
        </w:rPr>
        <w:t xml:space="preserve">measuring equipment, to the satisfaction of the competent authority that has designated or approved them. </w:t>
      </w:r>
    </w:p>
    <w:p w14:paraId="49EE0B70" w14:textId="77777777" w:rsidR="00937317" w:rsidRPr="005A12EE" w:rsidRDefault="00937317" w:rsidP="00937317">
      <w:pPr>
        <w:numPr>
          <w:ilvl w:val="0"/>
          <w:numId w:val="21"/>
        </w:numPr>
        <w:spacing w:after="240" w:line="259" w:lineRule="auto"/>
        <w:ind w:left="1418" w:right="1134" w:hanging="357"/>
        <w:jc w:val="both"/>
        <w:rPr>
          <w:rFonts w:eastAsia="Calibri"/>
          <w:i/>
          <w:iCs/>
        </w:rPr>
      </w:pPr>
      <w:r w:rsidRPr="005A12EE">
        <w:rPr>
          <w:rFonts w:eastAsia="Calibri"/>
          <w:i/>
          <w:iCs/>
          <w:u w:val="single"/>
        </w:rPr>
        <w:t>Transitional measures:</w:t>
      </w:r>
    </w:p>
    <w:p w14:paraId="4C39A86B" w14:textId="77777777" w:rsidR="00937317" w:rsidRPr="005A12EE" w:rsidRDefault="00937317" w:rsidP="00937317">
      <w:pPr>
        <w:numPr>
          <w:ilvl w:val="1"/>
          <w:numId w:val="21"/>
        </w:numPr>
        <w:spacing w:after="240" w:line="259" w:lineRule="auto"/>
        <w:ind w:left="1418" w:right="1134" w:hanging="357"/>
        <w:jc w:val="both"/>
        <w:rPr>
          <w:rFonts w:eastAsia="Calibri"/>
          <w:i/>
          <w:iCs/>
        </w:rPr>
      </w:pPr>
      <w:r w:rsidRPr="005A12EE">
        <w:rPr>
          <w:rFonts w:eastAsia="Calibri"/>
          <w:i/>
          <w:iCs/>
        </w:rPr>
        <w:t>Temperature recorders in service that comply with EN 12830:1999 may continue to be used.”</w:t>
      </w:r>
    </w:p>
    <w:p w14:paraId="5AFEFDD1" w14:textId="77777777" w:rsidR="00937317" w:rsidRPr="005A12EE" w:rsidRDefault="00937317" w:rsidP="00937317">
      <w:pPr>
        <w:numPr>
          <w:ilvl w:val="1"/>
          <w:numId w:val="21"/>
        </w:numPr>
        <w:spacing w:after="240" w:line="259" w:lineRule="auto"/>
        <w:ind w:left="1418" w:right="1134" w:hanging="357"/>
        <w:jc w:val="both"/>
        <w:rPr>
          <w:rFonts w:eastAsia="Calibri"/>
          <w:i/>
          <w:iCs/>
          <w:u w:val="single"/>
        </w:rPr>
      </w:pPr>
      <w:r w:rsidRPr="005A12EE">
        <w:rPr>
          <w:rFonts w:eastAsia="Calibri"/>
          <w:i/>
          <w:iCs/>
          <w:u w:val="single"/>
        </w:rPr>
        <w:t>Temperature recorders type approved before [month-year] by a body not accredited may continue to be used.</w:t>
      </w:r>
      <w:r>
        <w:rPr>
          <w:rFonts w:eastAsia="Calibri"/>
          <w:i/>
          <w:iCs/>
          <w:u w:val="single"/>
        </w:rPr>
        <w:t>”</w:t>
      </w:r>
    </w:p>
    <w:p w14:paraId="7F30ADE3" w14:textId="60232F91" w:rsidR="00937317" w:rsidRPr="00065F31" w:rsidRDefault="00670301" w:rsidP="00670301">
      <w:pPr>
        <w:pStyle w:val="HChG"/>
      </w:pPr>
      <w:r>
        <w:tab/>
      </w:r>
      <w:r>
        <w:tab/>
      </w:r>
      <w:r w:rsidR="00937317" w:rsidRPr="00065F31">
        <w:t>Justification</w:t>
      </w:r>
    </w:p>
    <w:p w14:paraId="098BE4DD" w14:textId="5F90FAA6" w:rsidR="00937317" w:rsidRDefault="00FC22FD" w:rsidP="00670301">
      <w:pPr>
        <w:pStyle w:val="SingleTxtG"/>
      </w:pPr>
      <w:r>
        <w:t>5.</w:t>
      </w:r>
      <w:r>
        <w:tab/>
      </w:r>
      <w:r w:rsidR="00937317">
        <w:t xml:space="preserve">It feels as if the type-approval of the recorder and the periodic verification in the drafting was mixed up and that incorrect standards are used in these places. Type-approval would justify an accredited test laboratory. Introducing this change requires a transitional measure for existing recorders approved otherwise. </w:t>
      </w:r>
    </w:p>
    <w:p w14:paraId="56D7AE74" w14:textId="2CDB47DF" w:rsidR="00937317" w:rsidRDefault="00FC22FD" w:rsidP="00670301">
      <w:pPr>
        <w:pStyle w:val="SingleTxtG"/>
        <w:rPr>
          <w:rFonts w:eastAsia="Calibri"/>
        </w:rPr>
      </w:pPr>
      <w:r>
        <w:t>6.</w:t>
      </w:r>
      <w:r>
        <w:tab/>
      </w:r>
      <w:r w:rsidR="00937317" w:rsidRPr="00753E14">
        <w:t xml:space="preserve">The requirements for the temperature </w:t>
      </w:r>
      <w:r w:rsidR="00937317" w:rsidRPr="00C379A7">
        <w:t xml:space="preserve">recorder </w:t>
      </w:r>
      <w:r w:rsidR="00937317" w:rsidRPr="00EF32E2">
        <w:t>originate</w:t>
      </w:r>
      <w:r w:rsidR="0096626B" w:rsidRPr="00EF32E2">
        <w:t>d</w:t>
      </w:r>
      <w:r w:rsidR="00937317" w:rsidRPr="00EF32E2">
        <w:t xml:space="preserve"> </w:t>
      </w:r>
      <w:r w:rsidR="0096626B" w:rsidRPr="00EF32E2">
        <w:t>f</w:t>
      </w:r>
      <w:r w:rsidR="0096626B" w:rsidRPr="00C379A7">
        <w:t>rom</w:t>
      </w:r>
      <w:r w:rsidR="0096626B" w:rsidRPr="00753E14">
        <w:t xml:space="preserve"> </w:t>
      </w:r>
      <w:r w:rsidR="009D221C">
        <w:t>European Union (</w:t>
      </w:r>
      <w:r w:rsidR="00937317" w:rsidRPr="00753E14">
        <w:t>EU</w:t>
      </w:r>
      <w:r w:rsidR="009D221C">
        <w:t>)</w:t>
      </w:r>
      <w:r w:rsidR="00937317" w:rsidRPr="00753E14">
        <w:t xml:space="preserve"> legislation. </w:t>
      </w:r>
      <w:r w:rsidR="00937317" w:rsidRPr="00753E14">
        <w:rPr>
          <w:rFonts w:eastAsia="Calibri"/>
        </w:rPr>
        <w:t xml:space="preserve">The wording of </w:t>
      </w:r>
      <w:r w:rsidR="0015216A">
        <w:rPr>
          <w:rFonts w:eastAsia="Calibri"/>
        </w:rPr>
        <w:t>a</w:t>
      </w:r>
      <w:r w:rsidR="00937317" w:rsidRPr="00753E14">
        <w:rPr>
          <w:rFonts w:eastAsia="Calibri"/>
        </w:rPr>
        <w:t xml:space="preserve">nnex 2, </w:t>
      </w:r>
      <w:r w:rsidR="0015216A">
        <w:rPr>
          <w:rFonts w:eastAsia="Calibri"/>
        </w:rPr>
        <w:t>a</w:t>
      </w:r>
      <w:r w:rsidR="00937317" w:rsidRPr="00753E14">
        <w:rPr>
          <w:rFonts w:eastAsia="Calibri"/>
        </w:rPr>
        <w:t>ppendix 1 is based on the now repealed EC directive 92/1/EEC that is replaced by the Commission Regulation (EC)No</w:t>
      </w:r>
      <w:r w:rsidR="00A03DD0">
        <w:rPr>
          <w:rFonts w:eastAsia="Calibri"/>
        </w:rPr>
        <w:t> </w:t>
      </w:r>
      <w:r w:rsidR="00937317" w:rsidRPr="00753E14">
        <w:rPr>
          <w:rFonts w:eastAsia="Calibri"/>
        </w:rPr>
        <w:t>37/2005 [</w:t>
      </w:r>
      <w:r w:rsidR="00DB1891">
        <w:rPr>
          <w:rFonts w:eastAsia="Calibri"/>
        </w:rPr>
        <w:t> </w:t>
      </w:r>
      <w:hyperlink r:id="rId12" w:history="1">
        <w:r w:rsidR="00937317" w:rsidRPr="00753E14">
          <w:rPr>
            <w:rFonts w:eastAsia="Calibri"/>
            <w:color w:val="0563C1"/>
            <w:u w:val="single"/>
          </w:rPr>
          <w:t>https://eur-lex.europa.eu/legal-content/EN/AUTO/?uri=celex:32005R0037</w:t>
        </w:r>
      </w:hyperlink>
      <w:r w:rsidR="00937317" w:rsidRPr="00753E14">
        <w:rPr>
          <w:rFonts w:eastAsia="Calibri"/>
        </w:rPr>
        <w:t>]</w:t>
      </w:r>
      <w:r w:rsidR="00DB1891">
        <w:rPr>
          <w:rFonts w:eastAsia="Calibri"/>
        </w:rPr>
        <w:t>.</w:t>
      </w:r>
      <w:r w:rsidR="00937317" w:rsidRPr="00753E14">
        <w:rPr>
          <w:rFonts w:eastAsia="Calibri"/>
        </w:rPr>
        <w:t xml:space="preserve"> Neither in the repealed directive nor the new regulation there is a requirement for accreditation of the body or expert.</w:t>
      </w:r>
    </w:p>
    <w:p w14:paraId="2DEBA54C" w14:textId="701377D8" w:rsidR="00937317" w:rsidRDefault="00C62F12" w:rsidP="00670301">
      <w:pPr>
        <w:pStyle w:val="SingleTxtG"/>
        <w:rPr>
          <w:rFonts w:eastAsia="Calibri"/>
        </w:rPr>
      </w:pPr>
      <w:r>
        <w:rPr>
          <w:rFonts w:eastAsia="Calibri"/>
        </w:rPr>
        <w:t>7.</w:t>
      </w:r>
      <w:r>
        <w:rPr>
          <w:rFonts w:eastAsia="Calibri"/>
        </w:rPr>
        <w:tab/>
      </w:r>
      <w:r w:rsidR="00937317">
        <w:rPr>
          <w:rFonts w:eastAsia="Calibri"/>
        </w:rPr>
        <w:t xml:space="preserve">The paragraphs are now numbered. In paragraph number 2 </w:t>
      </w:r>
      <w:r w:rsidR="00802B4D">
        <w:rPr>
          <w:rFonts w:eastAsia="Calibri"/>
        </w:rPr>
        <w:t>"</w:t>
      </w:r>
      <w:r w:rsidR="00937317">
        <w:rPr>
          <w:rFonts w:eastAsia="Calibri"/>
        </w:rPr>
        <w:t>must</w:t>
      </w:r>
      <w:r w:rsidR="00802B4D">
        <w:rPr>
          <w:rFonts w:eastAsia="Calibri"/>
        </w:rPr>
        <w:t>"</w:t>
      </w:r>
      <w:r w:rsidR="00937317">
        <w:rPr>
          <w:rFonts w:eastAsia="Calibri"/>
        </w:rPr>
        <w:t xml:space="preserve"> is replaced by </w:t>
      </w:r>
      <w:r w:rsidR="00802B4D">
        <w:rPr>
          <w:rFonts w:eastAsia="Calibri"/>
        </w:rPr>
        <w:t>"</w:t>
      </w:r>
      <w:r w:rsidR="00937317">
        <w:rPr>
          <w:rFonts w:eastAsia="Calibri"/>
        </w:rPr>
        <w:t>shall</w:t>
      </w:r>
      <w:r w:rsidR="00802B4D">
        <w:rPr>
          <w:rFonts w:eastAsia="Calibri"/>
        </w:rPr>
        <w:t>"</w:t>
      </w:r>
      <w:r w:rsidR="00937317">
        <w:rPr>
          <w:rFonts w:eastAsia="Calibri"/>
        </w:rPr>
        <w:t xml:space="preserve"> which is normally used in UN treaties.</w:t>
      </w:r>
    </w:p>
    <w:p w14:paraId="443127EE" w14:textId="2A01461A" w:rsidR="00937317" w:rsidRDefault="00C62F12" w:rsidP="00670301">
      <w:pPr>
        <w:pStyle w:val="SingleTxtG"/>
        <w:rPr>
          <w:rFonts w:eastAsia="Calibri"/>
        </w:rPr>
      </w:pPr>
      <w:r>
        <w:rPr>
          <w:rFonts w:eastAsia="Calibri"/>
        </w:rPr>
        <w:lastRenderedPageBreak/>
        <w:t>8.</w:t>
      </w:r>
      <w:r>
        <w:rPr>
          <w:rFonts w:eastAsia="Calibri"/>
        </w:rPr>
        <w:tab/>
      </w:r>
      <w:r w:rsidR="00937317">
        <w:rPr>
          <w:rFonts w:eastAsia="Calibri"/>
        </w:rPr>
        <w:t xml:space="preserve">Paragraph 3 has moved up to be more in sequence, added is that it shall be checked by an accredited body. As this is a new requirements a transitional measure is added for existing recorders. </w:t>
      </w:r>
    </w:p>
    <w:p w14:paraId="2CD5AEB4" w14:textId="2C39B368" w:rsidR="00937317" w:rsidRDefault="00C62F12" w:rsidP="00670301">
      <w:pPr>
        <w:pStyle w:val="SingleTxtG"/>
        <w:rPr>
          <w:rFonts w:eastAsia="Calibri"/>
        </w:rPr>
      </w:pPr>
      <w:r>
        <w:rPr>
          <w:rFonts w:eastAsia="Calibri"/>
        </w:rPr>
        <w:t>9.</w:t>
      </w:r>
      <w:r>
        <w:rPr>
          <w:rFonts w:eastAsia="Calibri"/>
        </w:rPr>
        <w:tab/>
      </w:r>
      <w:r w:rsidR="00937317">
        <w:rPr>
          <w:rFonts w:eastAsia="Calibri"/>
        </w:rPr>
        <w:t xml:space="preserve">Paragraph 4 is moved down for the correct sequence and the </w:t>
      </w:r>
      <w:proofErr w:type="gramStart"/>
      <w:r w:rsidR="00937317">
        <w:rPr>
          <w:rFonts w:eastAsia="Calibri"/>
        </w:rPr>
        <w:t>requirements</w:t>
      </w:r>
      <w:proofErr w:type="gramEnd"/>
      <w:r w:rsidR="00937317">
        <w:rPr>
          <w:rFonts w:eastAsia="Calibri"/>
        </w:rPr>
        <w:t xml:space="preserve"> for accreditation is removed.</w:t>
      </w:r>
    </w:p>
    <w:p w14:paraId="1C9BEFAE" w14:textId="14293A2F" w:rsidR="00937317" w:rsidRDefault="00C62F12" w:rsidP="00670301">
      <w:pPr>
        <w:pStyle w:val="SingleTxtG"/>
        <w:rPr>
          <w:rFonts w:eastAsia="Calibri"/>
        </w:rPr>
      </w:pPr>
      <w:r>
        <w:rPr>
          <w:rFonts w:eastAsia="Calibri"/>
        </w:rPr>
        <w:t>10.</w:t>
      </w:r>
      <w:r>
        <w:rPr>
          <w:rFonts w:eastAsia="Calibri"/>
        </w:rPr>
        <w:tab/>
      </w:r>
      <w:r w:rsidR="00937317">
        <w:rPr>
          <w:rFonts w:eastAsia="Calibri"/>
        </w:rPr>
        <w:t>Paragraph 5 introduced obligations for bodies performing the verification. In such in may be accredited bodies, or when not accredited they shall comply with the basic requirements to guarantee the level of their verifications.</w:t>
      </w:r>
    </w:p>
    <w:p w14:paraId="25624E7C" w14:textId="76CB346D" w:rsidR="00937317" w:rsidRDefault="00C62F12" w:rsidP="00670301">
      <w:pPr>
        <w:pStyle w:val="SingleTxtG"/>
        <w:rPr>
          <w:rFonts w:eastAsia="Calibri"/>
        </w:rPr>
      </w:pPr>
      <w:r>
        <w:rPr>
          <w:rFonts w:eastAsia="Calibri"/>
        </w:rPr>
        <w:t>11.</w:t>
      </w:r>
      <w:r>
        <w:rPr>
          <w:rFonts w:eastAsia="Calibri"/>
        </w:rPr>
        <w:tab/>
      </w:r>
      <w:r w:rsidR="00937317">
        <w:rPr>
          <w:rFonts w:eastAsia="Calibri"/>
        </w:rPr>
        <w:t>It is noted that a number of contracting parties may have accredited bodies prescribed in national legislation. By giving the choice of being accredited (without further control) or non-accredited bodies under supervision of the competent authority it is supposed form them to keep the status quo.</w:t>
      </w:r>
    </w:p>
    <w:p w14:paraId="3C0FB40A" w14:textId="66EB586D" w:rsidR="00937317" w:rsidRDefault="004C14E0" w:rsidP="00670301">
      <w:pPr>
        <w:pStyle w:val="SingleTxtG"/>
        <w:rPr>
          <w:rFonts w:eastAsia="Calibri"/>
        </w:rPr>
      </w:pPr>
      <w:r>
        <w:rPr>
          <w:rFonts w:eastAsia="Calibri"/>
        </w:rPr>
        <w:t>12.</w:t>
      </w:r>
      <w:r>
        <w:rPr>
          <w:rFonts w:eastAsia="Calibri"/>
        </w:rPr>
        <w:tab/>
      </w:r>
      <w:r w:rsidR="00937317">
        <w:rPr>
          <w:rFonts w:eastAsia="Calibri"/>
        </w:rPr>
        <w:t>More discussion is needed on other issues concerning the temperature recorder.</w:t>
      </w:r>
    </w:p>
    <w:p w14:paraId="417AB588" w14:textId="77777777" w:rsidR="00937317" w:rsidRDefault="00937317" w:rsidP="00937317">
      <w:pPr>
        <w:ind w:left="1134" w:right="1134"/>
        <w:rPr>
          <w:rFonts w:eastAsia="Calibri"/>
        </w:rPr>
      </w:pPr>
    </w:p>
    <w:tbl>
      <w:tblPr>
        <w:tblW w:w="0" w:type="auto"/>
        <w:tblInd w:w="1134" w:type="dxa"/>
        <w:tblLayout w:type="fixed"/>
        <w:tblCellMar>
          <w:left w:w="0" w:type="dxa"/>
          <w:right w:w="0" w:type="dxa"/>
        </w:tblCellMar>
        <w:tblLook w:val="01E0" w:firstRow="1" w:lastRow="1" w:firstColumn="1" w:lastColumn="1" w:noHBand="0" w:noVBand="0"/>
      </w:tblPr>
      <w:tblGrid>
        <w:gridCol w:w="1421"/>
        <w:gridCol w:w="5700"/>
      </w:tblGrid>
      <w:tr w:rsidR="00937317" w14:paraId="7ABB4178" w14:textId="77777777" w:rsidTr="00096AAC">
        <w:tc>
          <w:tcPr>
            <w:tcW w:w="1421" w:type="dxa"/>
            <w:shd w:val="clear" w:color="auto" w:fill="auto"/>
          </w:tcPr>
          <w:p w14:paraId="1B92EA57" w14:textId="77777777" w:rsidR="00937317" w:rsidRDefault="00937317" w:rsidP="00096AAC">
            <w:pPr>
              <w:pStyle w:val="SingleTxtG"/>
              <w:ind w:left="0" w:right="0"/>
            </w:pPr>
            <w:r>
              <w:t>Cost</w:t>
            </w:r>
            <w:r w:rsidRPr="00204779">
              <w:t>:</w:t>
            </w:r>
          </w:p>
        </w:tc>
        <w:tc>
          <w:tcPr>
            <w:tcW w:w="5700" w:type="dxa"/>
            <w:shd w:val="clear" w:color="auto" w:fill="auto"/>
          </w:tcPr>
          <w:p w14:paraId="6E34CD77" w14:textId="77777777" w:rsidR="00937317" w:rsidRDefault="00937317" w:rsidP="00096AAC">
            <w:pPr>
              <w:pStyle w:val="SingleTxtG"/>
              <w:ind w:left="0"/>
            </w:pPr>
            <w:r>
              <w:t>The amendment will harmonize the way of working and the costs involved for verification of the temperature recorder.</w:t>
            </w:r>
          </w:p>
        </w:tc>
      </w:tr>
      <w:tr w:rsidR="00937317" w14:paraId="0C96FC6B" w14:textId="77777777" w:rsidTr="00096AAC">
        <w:tc>
          <w:tcPr>
            <w:tcW w:w="1421" w:type="dxa"/>
            <w:shd w:val="clear" w:color="auto" w:fill="auto"/>
          </w:tcPr>
          <w:p w14:paraId="7CCB8084" w14:textId="77777777" w:rsidR="00937317" w:rsidRDefault="00937317" w:rsidP="00096AAC">
            <w:pPr>
              <w:pStyle w:val="SingleTxtG"/>
              <w:ind w:left="0" w:right="0"/>
            </w:pPr>
            <w:r>
              <w:t>Feasibility:</w:t>
            </w:r>
          </w:p>
        </w:tc>
        <w:tc>
          <w:tcPr>
            <w:tcW w:w="5700" w:type="dxa"/>
            <w:shd w:val="clear" w:color="auto" w:fill="auto"/>
          </w:tcPr>
          <w:p w14:paraId="260E45C2" w14:textId="77777777" w:rsidR="00937317" w:rsidRDefault="00937317" w:rsidP="00096AAC">
            <w:pPr>
              <w:pStyle w:val="SingleTxtG"/>
              <w:ind w:left="0" w:right="0"/>
            </w:pPr>
            <w:r>
              <w:t>No problems are expected with the feasibility.</w:t>
            </w:r>
          </w:p>
        </w:tc>
      </w:tr>
      <w:tr w:rsidR="00937317" w14:paraId="7936B3BF" w14:textId="77777777" w:rsidTr="00096AAC">
        <w:tc>
          <w:tcPr>
            <w:tcW w:w="1421" w:type="dxa"/>
            <w:shd w:val="clear" w:color="auto" w:fill="auto"/>
          </w:tcPr>
          <w:p w14:paraId="175E5FA7" w14:textId="77777777" w:rsidR="00937317" w:rsidRDefault="00937317" w:rsidP="00096AAC">
            <w:pPr>
              <w:pStyle w:val="SingleTxtG"/>
              <w:ind w:left="0" w:right="3"/>
            </w:pPr>
            <w:r>
              <w:t>Impact:</w:t>
            </w:r>
          </w:p>
        </w:tc>
        <w:tc>
          <w:tcPr>
            <w:tcW w:w="5700" w:type="dxa"/>
            <w:shd w:val="clear" w:color="auto" w:fill="auto"/>
          </w:tcPr>
          <w:p w14:paraId="1A8847C9" w14:textId="77777777" w:rsidR="00937317" w:rsidRDefault="00937317" w:rsidP="00096AAC">
            <w:pPr>
              <w:pStyle w:val="SingleTxtG"/>
              <w:ind w:left="0"/>
            </w:pPr>
            <w:r>
              <w:rPr>
                <w:lang w:val="en-US"/>
              </w:rPr>
              <w:t>No impact on fuel consumption of insulation factor</w:t>
            </w:r>
            <w:r w:rsidRPr="0026588E">
              <w:rPr>
                <w:lang w:val="en-US"/>
              </w:rPr>
              <w:t>?</w:t>
            </w:r>
          </w:p>
        </w:tc>
      </w:tr>
      <w:tr w:rsidR="00937317" w14:paraId="7682732B" w14:textId="77777777" w:rsidTr="00096AAC">
        <w:tc>
          <w:tcPr>
            <w:tcW w:w="1421" w:type="dxa"/>
            <w:shd w:val="clear" w:color="auto" w:fill="auto"/>
          </w:tcPr>
          <w:p w14:paraId="429A9C66" w14:textId="77777777" w:rsidR="00937317" w:rsidRDefault="00937317" w:rsidP="00096AAC">
            <w:pPr>
              <w:pStyle w:val="SingleTxtG"/>
              <w:ind w:left="0" w:right="0"/>
            </w:pPr>
            <w:r>
              <w:t>Enforceability:</w:t>
            </w:r>
          </w:p>
        </w:tc>
        <w:tc>
          <w:tcPr>
            <w:tcW w:w="5700" w:type="dxa"/>
            <w:shd w:val="clear" w:color="auto" w:fill="auto"/>
          </w:tcPr>
          <w:p w14:paraId="406ED231" w14:textId="77777777" w:rsidR="00937317" w:rsidRDefault="00937317" w:rsidP="00096AAC">
            <w:pPr>
              <w:pStyle w:val="SingleTxtG"/>
              <w:ind w:left="0" w:right="0"/>
            </w:pPr>
            <w:r>
              <w:t xml:space="preserve">With the new requirements for non-accredited bodies performing verifications enforceability improves. </w:t>
            </w:r>
          </w:p>
        </w:tc>
      </w:tr>
    </w:tbl>
    <w:p w14:paraId="476C6DBF" w14:textId="6DAC37FE" w:rsidR="00443EDA" w:rsidRPr="004C14E0" w:rsidRDefault="004C14E0" w:rsidP="004C14E0">
      <w:pPr>
        <w:spacing w:before="240"/>
        <w:jc w:val="center"/>
        <w:rPr>
          <w:rFonts w:eastAsia="Calibri"/>
          <w:u w:val="single"/>
        </w:rPr>
      </w:pPr>
      <w:r>
        <w:rPr>
          <w:rFonts w:eastAsia="Calibri"/>
          <w:u w:val="single"/>
        </w:rPr>
        <w:tab/>
      </w:r>
      <w:r>
        <w:rPr>
          <w:rFonts w:eastAsia="Calibri"/>
          <w:u w:val="single"/>
        </w:rPr>
        <w:tab/>
      </w:r>
      <w:r>
        <w:rPr>
          <w:rFonts w:eastAsia="Calibri"/>
          <w:u w:val="single"/>
        </w:rPr>
        <w:tab/>
      </w:r>
    </w:p>
    <w:sectPr w:rsidR="00443EDA" w:rsidRPr="004C14E0" w:rsidSect="0001613C">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853B" w14:textId="77777777" w:rsidR="001B031B" w:rsidRDefault="001B031B"/>
  </w:endnote>
  <w:endnote w:type="continuationSeparator" w:id="0">
    <w:p w14:paraId="35A10A06" w14:textId="77777777" w:rsidR="001B031B" w:rsidRDefault="001B031B"/>
  </w:endnote>
  <w:endnote w:type="continuationNotice" w:id="1">
    <w:p w14:paraId="6EE0B12D" w14:textId="77777777" w:rsidR="001B031B" w:rsidRDefault="001B0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7E32" w14:textId="17D43B1C" w:rsidR="0001613C" w:rsidRPr="0001613C" w:rsidRDefault="0001613C" w:rsidP="0001613C">
    <w:pPr>
      <w:pStyle w:val="Footer"/>
      <w:tabs>
        <w:tab w:val="right" w:pos="9638"/>
      </w:tabs>
      <w:rPr>
        <w:sz w:val="18"/>
      </w:rPr>
    </w:pPr>
    <w:r w:rsidRPr="0001613C">
      <w:rPr>
        <w:b/>
        <w:sz w:val="18"/>
      </w:rPr>
      <w:fldChar w:fldCharType="begin"/>
    </w:r>
    <w:r w:rsidRPr="0001613C">
      <w:rPr>
        <w:b/>
        <w:sz w:val="18"/>
      </w:rPr>
      <w:instrText xml:space="preserve"> PAGE  \* MERGEFORMAT </w:instrText>
    </w:r>
    <w:r w:rsidRPr="0001613C">
      <w:rPr>
        <w:b/>
        <w:sz w:val="18"/>
      </w:rPr>
      <w:fldChar w:fldCharType="separate"/>
    </w:r>
    <w:r w:rsidRPr="0001613C">
      <w:rPr>
        <w:b/>
        <w:noProof/>
        <w:sz w:val="18"/>
      </w:rPr>
      <w:t>2</w:t>
    </w:r>
    <w:r w:rsidRPr="0001613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9EDB" w14:textId="6D4FB8C1" w:rsidR="0001613C" w:rsidRPr="0001613C" w:rsidRDefault="0001613C" w:rsidP="0001613C">
    <w:pPr>
      <w:pStyle w:val="Footer"/>
      <w:tabs>
        <w:tab w:val="right" w:pos="9638"/>
      </w:tabs>
      <w:rPr>
        <w:b/>
        <w:sz w:val="18"/>
      </w:rPr>
    </w:pPr>
    <w:r>
      <w:tab/>
    </w:r>
    <w:r w:rsidRPr="0001613C">
      <w:rPr>
        <w:b/>
        <w:sz w:val="18"/>
      </w:rPr>
      <w:fldChar w:fldCharType="begin"/>
    </w:r>
    <w:r w:rsidRPr="0001613C">
      <w:rPr>
        <w:b/>
        <w:sz w:val="18"/>
      </w:rPr>
      <w:instrText xml:space="preserve"> PAGE  \* MERGEFORMAT </w:instrText>
    </w:r>
    <w:r w:rsidRPr="0001613C">
      <w:rPr>
        <w:b/>
        <w:sz w:val="18"/>
      </w:rPr>
      <w:fldChar w:fldCharType="separate"/>
    </w:r>
    <w:r w:rsidRPr="0001613C">
      <w:rPr>
        <w:b/>
        <w:noProof/>
        <w:sz w:val="18"/>
      </w:rPr>
      <w:t>3</w:t>
    </w:r>
    <w:r w:rsidRPr="000161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D625" w14:textId="24E91BDB" w:rsidR="0035223F" w:rsidRDefault="00533037" w:rsidP="00533037">
    <w:pPr>
      <w:pStyle w:val="Footer"/>
      <w:rPr>
        <w:sz w:val="20"/>
      </w:rPr>
    </w:pPr>
    <w:r w:rsidRPr="00533037">
      <w:rPr>
        <w:noProof/>
        <w:sz w:val="20"/>
        <w:lang w:val="en-US"/>
      </w:rPr>
      <w:drawing>
        <wp:anchor distT="0" distB="0" distL="114300" distR="114300" simplePos="0" relativeHeight="251659776" behindDoc="0" locked="1" layoutInCell="1" allowOverlap="1" wp14:anchorId="3F9540BE" wp14:editId="5BE1A18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2A17F6" w14:textId="0ACBEA6E" w:rsidR="00533037" w:rsidRPr="00533037" w:rsidRDefault="00533037" w:rsidP="00533037">
    <w:pPr>
      <w:pStyle w:val="Footer"/>
      <w:ind w:right="1134"/>
      <w:rPr>
        <w:sz w:val="20"/>
      </w:rPr>
    </w:pPr>
    <w:r>
      <w:rPr>
        <w:sz w:val="20"/>
      </w:rPr>
      <w:t>GE.23-15393(E)</w:t>
    </w:r>
    <w:r>
      <w:rPr>
        <w:noProof/>
        <w:sz w:val="20"/>
      </w:rPr>
      <w:drawing>
        <wp:anchor distT="0" distB="0" distL="114300" distR="114300" simplePos="0" relativeHeight="251660800" behindDoc="0" locked="0" layoutInCell="1" allowOverlap="1" wp14:anchorId="3A743696" wp14:editId="2797C303">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4020" w14:textId="77777777" w:rsidR="001B031B" w:rsidRPr="000B175B" w:rsidRDefault="001B031B" w:rsidP="000B175B">
      <w:pPr>
        <w:tabs>
          <w:tab w:val="right" w:pos="2155"/>
        </w:tabs>
        <w:spacing w:after="80"/>
        <w:ind w:left="680"/>
        <w:rPr>
          <w:u w:val="single"/>
        </w:rPr>
      </w:pPr>
      <w:r>
        <w:rPr>
          <w:u w:val="single"/>
        </w:rPr>
        <w:tab/>
      </w:r>
    </w:p>
  </w:footnote>
  <w:footnote w:type="continuationSeparator" w:id="0">
    <w:p w14:paraId="11975CCE" w14:textId="77777777" w:rsidR="001B031B" w:rsidRPr="00FC68B7" w:rsidRDefault="001B031B" w:rsidP="00FC68B7">
      <w:pPr>
        <w:tabs>
          <w:tab w:val="left" w:pos="2155"/>
        </w:tabs>
        <w:spacing w:after="80"/>
        <w:ind w:left="680"/>
        <w:rPr>
          <w:u w:val="single"/>
        </w:rPr>
      </w:pPr>
      <w:r>
        <w:rPr>
          <w:u w:val="single"/>
        </w:rPr>
        <w:tab/>
      </w:r>
    </w:p>
  </w:footnote>
  <w:footnote w:type="continuationNotice" w:id="1">
    <w:p w14:paraId="22B587BF" w14:textId="77777777" w:rsidR="001B031B" w:rsidRDefault="001B0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A05" w14:textId="4DCDE697" w:rsidR="0001613C" w:rsidRPr="0001613C" w:rsidRDefault="00533037">
    <w:pPr>
      <w:pStyle w:val="Header"/>
    </w:pPr>
    <w:r>
      <w:fldChar w:fldCharType="begin"/>
    </w:r>
    <w:r>
      <w:instrText xml:space="preserve"> TITLE  \* MERGEFORMAT </w:instrText>
    </w:r>
    <w:r>
      <w:fldChar w:fldCharType="separate"/>
    </w:r>
    <w:r w:rsidR="0001613C">
      <w:t>ECE/TRANS/WP.11/2023/17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0790" w14:textId="3E240B01" w:rsidR="0001613C" w:rsidRPr="0001613C" w:rsidRDefault="00533037" w:rsidP="0001613C">
    <w:pPr>
      <w:pStyle w:val="Header"/>
      <w:jc w:val="right"/>
    </w:pPr>
    <w:r>
      <w:fldChar w:fldCharType="begin"/>
    </w:r>
    <w:r>
      <w:instrText xml:space="preserve"> TITLE  \* MERGEFORMAT </w:instrText>
    </w:r>
    <w:r>
      <w:fldChar w:fldCharType="separate"/>
    </w:r>
    <w:r w:rsidR="0001613C">
      <w:t>ECE/TRANS/WP.11/2023/17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4072C30"/>
    <w:multiLevelType w:val="hybridMultilevel"/>
    <w:tmpl w:val="4384A21A"/>
    <w:lvl w:ilvl="0" w:tplc="83BA1CB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CF6EE0"/>
    <w:multiLevelType w:val="multilevel"/>
    <w:tmpl w:val="7D42F090"/>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u w:val="single"/>
      </w:rPr>
    </w:lvl>
    <w:lvl w:ilvl="2">
      <w:start w:val="1"/>
      <w:numFmt w:val="decimal"/>
      <w:isLgl/>
      <w:lvlText w:val="%1.%2.%3"/>
      <w:lvlJc w:val="left"/>
      <w:pPr>
        <w:ind w:left="2007" w:hanging="720"/>
      </w:pPr>
      <w:rPr>
        <w:rFonts w:hint="default"/>
        <w:u w:val="single"/>
      </w:rPr>
    </w:lvl>
    <w:lvl w:ilvl="3">
      <w:start w:val="1"/>
      <w:numFmt w:val="decimal"/>
      <w:isLgl/>
      <w:lvlText w:val="%1.%2.%3.%4"/>
      <w:lvlJc w:val="left"/>
      <w:pPr>
        <w:ind w:left="2367" w:hanging="720"/>
      </w:pPr>
      <w:rPr>
        <w:rFonts w:hint="default"/>
        <w:u w:val="single"/>
      </w:rPr>
    </w:lvl>
    <w:lvl w:ilvl="4">
      <w:start w:val="1"/>
      <w:numFmt w:val="decimal"/>
      <w:isLgl/>
      <w:lvlText w:val="%1.%2.%3.%4.%5"/>
      <w:lvlJc w:val="left"/>
      <w:pPr>
        <w:ind w:left="3087" w:hanging="1080"/>
      </w:pPr>
      <w:rPr>
        <w:rFonts w:hint="default"/>
        <w:u w:val="single"/>
      </w:rPr>
    </w:lvl>
    <w:lvl w:ilvl="5">
      <w:start w:val="1"/>
      <w:numFmt w:val="decimal"/>
      <w:isLgl/>
      <w:lvlText w:val="%1.%2.%3.%4.%5.%6"/>
      <w:lvlJc w:val="left"/>
      <w:pPr>
        <w:ind w:left="3447" w:hanging="1080"/>
      </w:pPr>
      <w:rPr>
        <w:rFonts w:hint="default"/>
        <w:u w:val="single"/>
      </w:rPr>
    </w:lvl>
    <w:lvl w:ilvl="6">
      <w:start w:val="1"/>
      <w:numFmt w:val="decimal"/>
      <w:isLgl/>
      <w:lvlText w:val="%1.%2.%3.%4.%5.%6.%7"/>
      <w:lvlJc w:val="left"/>
      <w:pPr>
        <w:ind w:left="4167" w:hanging="1440"/>
      </w:pPr>
      <w:rPr>
        <w:rFonts w:hint="default"/>
        <w:u w:val="single"/>
      </w:rPr>
    </w:lvl>
    <w:lvl w:ilvl="7">
      <w:start w:val="1"/>
      <w:numFmt w:val="decimal"/>
      <w:isLgl/>
      <w:lvlText w:val="%1.%2.%3.%4.%5.%6.%7.%8"/>
      <w:lvlJc w:val="left"/>
      <w:pPr>
        <w:ind w:left="4527" w:hanging="1440"/>
      </w:pPr>
      <w:rPr>
        <w:rFonts w:hint="default"/>
        <w:u w:val="single"/>
      </w:rPr>
    </w:lvl>
    <w:lvl w:ilvl="8">
      <w:start w:val="1"/>
      <w:numFmt w:val="decimal"/>
      <w:isLgl/>
      <w:lvlText w:val="%1.%2.%3.%4.%5.%6.%7.%8.%9"/>
      <w:lvlJc w:val="left"/>
      <w:pPr>
        <w:ind w:left="4887" w:hanging="1440"/>
      </w:pPr>
      <w:rPr>
        <w:rFonts w:hint="default"/>
        <w:u w:val="single"/>
      </w:rPr>
    </w:lvl>
  </w:abstractNum>
  <w:num w:numId="1" w16cid:durableId="1440101320">
    <w:abstractNumId w:val="1"/>
  </w:num>
  <w:num w:numId="2" w16cid:durableId="1218932652">
    <w:abstractNumId w:val="0"/>
  </w:num>
  <w:num w:numId="3" w16cid:durableId="1453204477">
    <w:abstractNumId w:val="2"/>
  </w:num>
  <w:num w:numId="4" w16cid:durableId="2131892025">
    <w:abstractNumId w:val="3"/>
  </w:num>
  <w:num w:numId="5" w16cid:durableId="379666834">
    <w:abstractNumId w:val="8"/>
  </w:num>
  <w:num w:numId="6" w16cid:durableId="1848596237">
    <w:abstractNumId w:val="9"/>
  </w:num>
  <w:num w:numId="7" w16cid:durableId="1696538407">
    <w:abstractNumId w:val="7"/>
  </w:num>
  <w:num w:numId="8" w16cid:durableId="1764760532">
    <w:abstractNumId w:val="6"/>
  </w:num>
  <w:num w:numId="9" w16cid:durableId="1675457680">
    <w:abstractNumId w:val="5"/>
  </w:num>
  <w:num w:numId="10" w16cid:durableId="1688632230">
    <w:abstractNumId w:val="4"/>
  </w:num>
  <w:num w:numId="11" w16cid:durableId="15010826">
    <w:abstractNumId w:val="15"/>
  </w:num>
  <w:num w:numId="12" w16cid:durableId="1255938907">
    <w:abstractNumId w:val="14"/>
  </w:num>
  <w:num w:numId="13" w16cid:durableId="175584873">
    <w:abstractNumId w:val="10"/>
  </w:num>
  <w:num w:numId="14" w16cid:durableId="319163159">
    <w:abstractNumId w:val="12"/>
  </w:num>
  <w:num w:numId="15" w16cid:durableId="1384401079">
    <w:abstractNumId w:val="16"/>
  </w:num>
  <w:num w:numId="16" w16cid:durableId="1265725937">
    <w:abstractNumId w:val="13"/>
  </w:num>
  <w:num w:numId="17" w16cid:durableId="957759192">
    <w:abstractNumId w:val="18"/>
  </w:num>
  <w:num w:numId="18" w16cid:durableId="6103603">
    <w:abstractNumId w:val="19"/>
  </w:num>
  <w:num w:numId="19" w16cid:durableId="1337880115">
    <w:abstractNumId w:val="11"/>
  </w:num>
  <w:num w:numId="20" w16cid:durableId="2070304177">
    <w:abstractNumId w:val="11"/>
  </w:num>
  <w:num w:numId="21" w16cid:durableId="824124112">
    <w:abstractNumId w:val="20"/>
  </w:num>
  <w:num w:numId="22" w16cid:durableId="208590649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3C"/>
    <w:rsid w:val="00002A7D"/>
    <w:rsid w:val="000038A8"/>
    <w:rsid w:val="00006790"/>
    <w:rsid w:val="00014061"/>
    <w:rsid w:val="0001613C"/>
    <w:rsid w:val="00027624"/>
    <w:rsid w:val="00050F6B"/>
    <w:rsid w:val="000678CD"/>
    <w:rsid w:val="00072C8C"/>
    <w:rsid w:val="00081CE0"/>
    <w:rsid w:val="00084D30"/>
    <w:rsid w:val="00090320"/>
    <w:rsid w:val="000931C0"/>
    <w:rsid w:val="00096657"/>
    <w:rsid w:val="0009732C"/>
    <w:rsid w:val="000A01F9"/>
    <w:rsid w:val="000A2E09"/>
    <w:rsid w:val="000B175B"/>
    <w:rsid w:val="000B3A0F"/>
    <w:rsid w:val="000E0415"/>
    <w:rsid w:val="000F7715"/>
    <w:rsid w:val="00101274"/>
    <w:rsid w:val="001267CE"/>
    <w:rsid w:val="0015216A"/>
    <w:rsid w:val="00156B99"/>
    <w:rsid w:val="0015718D"/>
    <w:rsid w:val="00166124"/>
    <w:rsid w:val="00184DDA"/>
    <w:rsid w:val="001900CD"/>
    <w:rsid w:val="001A0452"/>
    <w:rsid w:val="001B031B"/>
    <w:rsid w:val="001B4B04"/>
    <w:rsid w:val="001B5875"/>
    <w:rsid w:val="001C4B9C"/>
    <w:rsid w:val="001C6663"/>
    <w:rsid w:val="001C7895"/>
    <w:rsid w:val="001D26DF"/>
    <w:rsid w:val="001E555D"/>
    <w:rsid w:val="001F1599"/>
    <w:rsid w:val="001F19C4"/>
    <w:rsid w:val="002043F0"/>
    <w:rsid w:val="00211E0B"/>
    <w:rsid w:val="00232575"/>
    <w:rsid w:val="00245FC1"/>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20C9B"/>
    <w:rsid w:val="00430D57"/>
    <w:rsid w:val="004325CB"/>
    <w:rsid w:val="00440A07"/>
    <w:rsid w:val="00443EDA"/>
    <w:rsid w:val="00462880"/>
    <w:rsid w:val="00476F24"/>
    <w:rsid w:val="004C14E0"/>
    <w:rsid w:val="004C55B0"/>
    <w:rsid w:val="004E62CF"/>
    <w:rsid w:val="004F6BA0"/>
    <w:rsid w:val="00503BEA"/>
    <w:rsid w:val="00521DA3"/>
    <w:rsid w:val="00523708"/>
    <w:rsid w:val="00533037"/>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26A95"/>
    <w:rsid w:val="00630FCB"/>
    <w:rsid w:val="00640B26"/>
    <w:rsid w:val="0065766B"/>
    <w:rsid w:val="00670301"/>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C6B23"/>
    <w:rsid w:val="007D7362"/>
    <w:rsid w:val="007F5CE2"/>
    <w:rsid w:val="007F6611"/>
    <w:rsid w:val="00800075"/>
    <w:rsid w:val="00800522"/>
    <w:rsid w:val="00802B4D"/>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8F7B6E"/>
    <w:rsid w:val="00926E47"/>
    <w:rsid w:val="00937317"/>
    <w:rsid w:val="00947162"/>
    <w:rsid w:val="0095132B"/>
    <w:rsid w:val="009610D0"/>
    <w:rsid w:val="0096375C"/>
    <w:rsid w:val="0096626B"/>
    <w:rsid w:val="009662E6"/>
    <w:rsid w:val="0097095E"/>
    <w:rsid w:val="0098592B"/>
    <w:rsid w:val="00985FC4"/>
    <w:rsid w:val="00990766"/>
    <w:rsid w:val="00991261"/>
    <w:rsid w:val="009964C4"/>
    <w:rsid w:val="009A7B81"/>
    <w:rsid w:val="009D01C0"/>
    <w:rsid w:val="009D221C"/>
    <w:rsid w:val="009D6A08"/>
    <w:rsid w:val="009E0A16"/>
    <w:rsid w:val="009E6CB7"/>
    <w:rsid w:val="009E7970"/>
    <w:rsid w:val="009F2EAC"/>
    <w:rsid w:val="009F57E3"/>
    <w:rsid w:val="00A03DD0"/>
    <w:rsid w:val="00A10F4F"/>
    <w:rsid w:val="00A11067"/>
    <w:rsid w:val="00A1704A"/>
    <w:rsid w:val="00A37A59"/>
    <w:rsid w:val="00A425EB"/>
    <w:rsid w:val="00A72F22"/>
    <w:rsid w:val="00A733BC"/>
    <w:rsid w:val="00A748A6"/>
    <w:rsid w:val="00A76A69"/>
    <w:rsid w:val="00A879A4"/>
    <w:rsid w:val="00A90CF9"/>
    <w:rsid w:val="00AA0FF8"/>
    <w:rsid w:val="00AC0F2C"/>
    <w:rsid w:val="00AC502A"/>
    <w:rsid w:val="00AF58C1"/>
    <w:rsid w:val="00B04A3F"/>
    <w:rsid w:val="00B06643"/>
    <w:rsid w:val="00B15055"/>
    <w:rsid w:val="00B20551"/>
    <w:rsid w:val="00B23D55"/>
    <w:rsid w:val="00B30179"/>
    <w:rsid w:val="00B33FC7"/>
    <w:rsid w:val="00B37B15"/>
    <w:rsid w:val="00B45C02"/>
    <w:rsid w:val="00B70B63"/>
    <w:rsid w:val="00B72A1E"/>
    <w:rsid w:val="00B77FC9"/>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379A7"/>
    <w:rsid w:val="00C408B7"/>
    <w:rsid w:val="00C411EB"/>
    <w:rsid w:val="00C463DD"/>
    <w:rsid w:val="00C62F12"/>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44E5C"/>
    <w:rsid w:val="00D50B7D"/>
    <w:rsid w:val="00D52012"/>
    <w:rsid w:val="00D704E5"/>
    <w:rsid w:val="00D72727"/>
    <w:rsid w:val="00D978C6"/>
    <w:rsid w:val="00DA0956"/>
    <w:rsid w:val="00DA357F"/>
    <w:rsid w:val="00DA3E12"/>
    <w:rsid w:val="00DB1891"/>
    <w:rsid w:val="00DB6908"/>
    <w:rsid w:val="00DC18AD"/>
    <w:rsid w:val="00DC5447"/>
    <w:rsid w:val="00DF7CAE"/>
    <w:rsid w:val="00E019A6"/>
    <w:rsid w:val="00E225D1"/>
    <w:rsid w:val="00E423C0"/>
    <w:rsid w:val="00E6414C"/>
    <w:rsid w:val="00E7260F"/>
    <w:rsid w:val="00E8702D"/>
    <w:rsid w:val="00E905F4"/>
    <w:rsid w:val="00E916A9"/>
    <w:rsid w:val="00E916DE"/>
    <w:rsid w:val="00E925AD"/>
    <w:rsid w:val="00E96630"/>
    <w:rsid w:val="00EA0F1C"/>
    <w:rsid w:val="00EB0C3C"/>
    <w:rsid w:val="00ED18DC"/>
    <w:rsid w:val="00ED6201"/>
    <w:rsid w:val="00ED7A2A"/>
    <w:rsid w:val="00EF1D7F"/>
    <w:rsid w:val="00EF32E2"/>
    <w:rsid w:val="00F0137E"/>
    <w:rsid w:val="00F06C15"/>
    <w:rsid w:val="00F14259"/>
    <w:rsid w:val="00F21786"/>
    <w:rsid w:val="00F36CB2"/>
    <w:rsid w:val="00F3742B"/>
    <w:rsid w:val="00F41FDB"/>
    <w:rsid w:val="00F50596"/>
    <w:rsid w:val="00F56D63"/>
    <w:rsid w:val="00F609A9"/>
    <w:rsid w:val="00F80C99"/>
    <w:rsid w:val="00F867EC"/>
    <w:rsid w:val="00F91B2B"/>
    <w:rsid w:val="00FC03CD"/>
    <w:rsid w:val="00FC0646"/>
    <w:rsid w:val="00FC22FD"/>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BC2B7"/>
  <w15:docId w15:val="{2AF3725B-8602-4061-9CD1-FACC6E37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1267CE"/>
    <w:rPr>
      <w:b/>
      <w:sz w:val="28"/>
      <w:lang w:val="en-GB"/>
    </w:rPr>
  </w:style>
  <w:style w:type="paragraph" w:styleId="Revision">
    <w:name w:val="Revision"/>
    <w:hidden/>
    <w:uiPriority w:val="99"/>
    <w:semiHidden/>
    <w:rsid w:val="009D221C"/>
    <w:pPr>
      <w:spacing w:line="240" w:lineRule="auto"/>
    </w:pPr>
    <w:rPr>
      <w:lang w:val="en-GB"/>
    </w:rPr>
  </w:style>
  <w:style w:type="character" w:styleId="CommentReference">
    <w:name w:val="annotation reference"/>
    <w:basedOn w:val="DefaultParagraphFont"/>
    <w:semiHidden/>
    <w:unhideWhenUsed/>
    <w:rsid w:val="00B77FC9"/>
    <w:rPr>
      <w:sz w:val="16"/>
      <w:szCs w:val="16"/>
    </w:rPr>
  </w:style>
  <w:style w:type="paragraph" w:styleId="CommentText">
    <w:name w:val="annotation text"/>
    <w:basedOn w:val="Normal"/>
    <w:link w:val="CommentTextChar"/>
    <w:unhideWhenUsed/>
    <w:rsid w:val="00B77FC9"/>
    <w:pPr>
      <w:spacing w:line="240" w:lineRule="auto"/>
    </w:pPr>
  </w:style>
  <w:style w:type="character" w:customStyle="1" w:styleId="CommentTextChar">
    <w:name w:val="Comment Text Char"/>
    <w:basedOn w:val="DefaultParagraphFont"/>
    <w:link w:val="CommentText"/>
    <w:rsid w:val="00B77FC9"/>
    <w:rPr>
      <w:lang w:val="en-GB"/>
    </w:rPr>
  </w:style>
  <w:style w:type="paragraph" w:styleId="CommentSubject">
    <w:name w:val="annotation subject"/>
    <w:basedOn w:val="CommentText"/>
    <w:next w:val="CommentText"/>
    <w:link w:val="CommentSubjectChar"/>
    <w:semiHidden/>
    <w:unhideWhenUsed/>
    <w:rsid w:val="00B77FC9"/>
    <w:rPr>
      <w:b/>
      <w:bCs/>
    </w:rPr>
  </w:style>
  <w:style w:type="character" w:customStyle="1" w:styleId="CommentSubjectChar">
    <w:name w:val="Comment Subject Char"/>
    <w:basedOn w:val="CommentTextChar"/>
    <w:link w:val="CommentSubject"/>
    <w:semiHidden/>
    <w:rsid w:val="00B77F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AUTO/?uri=celex:32005R003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DDC06-7D4E-4BBB-B8C2-9658CEF17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898</Words>
  <Characters>5086</Characters>
  <Application>Microsoft Office Word</Application>
  <DocSecurity>0</DocSecurity>
  <Lines>109</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ECE/TRANS/WP.11/2023/17</dc:title>
  <dc:subject>2315393</dc:subject>
  <dc:creator>Una Giltsoff</dc:creator>
  <cp:keywords/>
  <dc:description/>
  <cp:lastModifiedBy>Una Giltsoff</cp:lastModifiedBy>
  <cp:revision>2</cp:revision>
  <cp:lastPrinted>2009-02-18T09:36:00Z</cp:lastPrinted>
  <dcterms:created xsi:type="dcterms:W3CDTF">2023-08-08T14:35:00Z</dcterms:created>
  <dcterms:modified xsi:type="dcterms:W3CDTF">2023-08-08T14:35:00Z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