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4DFD6E4" w14:textId="77777777" w:rsidTr="00C97039">
        <w:trPr>
          <w:trHeight w:hRule="exact" w:val="851"/>
        </w:trPr>
        <w:tc>
          <w:tcPr>
            <w:tcW w:w="1276" w:type="dxa"/>
            <w:tcBorders>
              <w:bottom w:val="single" w:sz="4" w:space="0" w:color="auto"/>
            </w:tcBorders>
          </w:tcPr>
          <w:p w14:paraId="60261E0D" w14:textId="77777777" w:rsidR="00F35BAF" w:rsidRPr="00DB58B5" w:rsidRDefault="00F35BAF" w:rsidP="00BC39D9"/>
        </w:tc>
        <w:tc>
          <w:tcPr>
            <w:tcW w:w="2268" w:type="dxa"/>
            <w:tcBorders>
              <w:bottom w:val="single" w:sz="4" w:space="0" w:color="auto"/>
            </w:tcBorders>
            <w:vAlign w:val="bottom"/>
          </w:tcPr>
          <w:p w14:paraId="315BBA2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0062ED" w14:textId="62EF422F" w:rsidR="00F35BAF" w:rsidRPr="00DB58B5" w:rsidRDefault="00BC39D9" w:rsidP="00BC39D9">
            <w:pPr>
              <w:jc w:val="right"/>
            </w:pPr>
            <w:r w:rsidRPr="00BC39D9">
              <w:rPr>
                <w:sz w:val="40"/>
              </w:rPr>
              <w:t>ECE</w:t>
            </w:r>
            <w:r>
              <w:t>/TRANS/WP.11/2023/17</w:t>
            </w:r>
          </w:p>
        </w:tc>
      </w:tr>
      <w:tr w:rsidR="00F35BAF" w:rsidRPr="00DB58B5" w14:paraId="12DC47E9" w14:textId="77777777" w:rsidTr="00C97039">
        <w:trPr>
          <w:trHeight w:hRule="exact" w:val="2835"/>
        </w:trPr>
        <w:tc>
          <w:tcPr>
            <w:tcW w:w="1276" w:type="dxa"/>
            <w:tcBorders>
              <w:top w:val="single" w:sz="4" w:space="0" w:color="auto"/>
              <w:bottom w:val="single" w:sz="12" w:space="0" w:color="auto"/>
            </w:tcBorders>
          </w:tcPr>
          <w:p w14:paraId="2A43DCE5" w14:textId="77777777" w:rsidR="00F35BAF" w:rsidRPr="00DB58B5" w:rsidRDefault="00F35BAF" w:rsidP="00C97039">
            <w:pPr>
              <w:spacing w:before="120"/>
              <w:jc w:val="center"/>
            </w:pPr>
            <w:r>
              <w:rPr>
                <w:noProof/>
                <w:lang w:eastAsia="fr-CH"/>
              </w:rPr>
              <w:drawing>
                <wp:inline distT="0" distB="0" distL="0" distR="0" wp14:anchorId="12805599" wp14:editId="606087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87DFE8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3FE57C3" w14:textId="77777777" w:rsidR="00F35BAF" w:rsidRDefault="00BC39D9" w:rsidP="00C97039">
            <w:pPr>
              <w:spacing w:before="240"/>
            </w:pPr>
            <w:r>
              <w:t>Distr. générale</w:t>
            </w:r>
          </w:p>
          <w:p w14:paraId="1D34FB65" w14:textId="77777777" w:rsidR="00BC39D9" w:rsidRDefault="00BC39D9" w:rsidP="00BC39D9">
            <w:pPr>
              <w:spacing w:line="240" w:lineRule="exact"/>
            </w:pPr>
            <w:r>
              <w:t>8 août 2023</w:t>
            </w:r>
          </w:p>
          <w:p w14:paraId="0051F435" w14:textId="77777777" w:rsidR="00BC39D9" w:rsidRDefault="00BC39D9" w:rsidP="00BC39D9">
            <w:pPr>
              <w:spacing w:line="240" w:lineRule="exact"/>
            </w:pPr>
            <w:r>
              <w:t>Français</w:t>
            </w:r>
          </w:p>
          <w:p w14:paraId="649A69DE" w14:textId="4F68E083" w:rsidR="00BC39D9" w:rsidRPr="00DB58B5" w:rsidRDefault="00BC39D9" w:rsidP="00BC39D9">
            <w:pPr>
              <w:spacing w:line="240" w:lineRule="exact"/>
            </w:pPr>
            <w:r>
              <w:t>Original : anglais</w:t>
            </w:r>
          </w:p>
        </w:tc>
      </w:tr>
    </w:tbl>
    <w:p w14:paraId="27BF7C74" w14:textId="77777777" w:rsidR="007F20FA" w:rsidRPr="000312C0" w:rsidRDefault="007F20FA" w:rsidP="007F20FA">
      <w:pPr>
        <w:spacing w:before="120"/>
        <w:rPr>
          <w:b/>
          <w:sz w:val="28"/>
          <w:szCs w:val="28"/>
        </w:rPr>
      </w:pPr>
      <w:r w:rsidRPr="000312C0">
        <w:rPr>
          <w:b/>
          <w:sz w:val="28"/>
          <w:szCs w:val="28"/>
        </w:rPr>
        <w:t>Commission économique pour l’Europe</w:t>
      </w:r>
    </w:p>
    <w:p w14:paraId="78163A90" w14:textId="77777777" w:rsidR="007F20FA" w:rsidRDefault="007F20FA" w:rsidP="007F20FA">
      <w:pPr>
        <w:spacing w:before="120"/>
        <w:rPr>
          <w:sz w:val="28"/>
          <w:szCs w:val="28"/>
        </w:rPr>
      </w:pPr>
      <w:r w:rsidRPr="00685843">
        <w:rPr>
          <w:sz w:val="28"/>
          <w:szCs w:val="28"/>
        </w:rPr>
        <w:t>Comité des transports intérieurs</w:t>
      </w:r>
    </w:p>
    <w:p w14:paraId="09C63247" w14:textId="77777777" w:rsidR="00BB063C" w:rsidRPr="00540F90" w:rsidRDefault="00BB063C" w:rsidP="00BB063C">
      <w:pPr>
        <w:spacing w:before="120"/>
        <w:rPr>
          <w:b/>
          <w:sz w:val="32"/>
          <w:szCs w:val="32"/>
          <w:lang w:val="fr-FR"/>
        </w:rPr>
      </w:pPr>
      <w:r w:rsidRPr="00540F90">
        <w:rPr>
          <w:b/>
          <w:bCs/>
          <w:sz w:val="24"/>
          <w:szCs w:val="24"/>
          <w:lang w:val="fr-FR"/>
        </w:rPr>
        <w:t>Groupe de travail du transport des denrées périssables</w:t>
      </w:r>
    </w:p>
    <w:p w14:paraId="13838B2A" w14:textId="77777777" w:rsidR="00BB063C" w:rsidRPr="00540F90" w:rsidRDefault="00BB063C" w:rsidP="00BB063C">
      <w:pPr>
        <w:spacing w:before="120"/>
        <w:rPr>
          <w:b/>
          <w:lang w:val="fr-FR"/>
        </w:rPr>
      </w:pPr>
      <w:r w:rsidRPr="00540F90">
        <w:rPr>
          <w:b/>
          <w:bCs/>
          <w:lang w:val="fr-FR"/>
        </w:rPr>
        <w:t>Quatre-vingtième session</w:t>
      </w:r>
    </w:p>
    <w:p w14:paraId="387E74AB" w14:textId="77777777" w:rsidR="00BB063C" w:rsidRPr="00540F90" w:rsidRDefault="00BB063C" w:rsidP="00BB063C">
      <w:pPr>
        <w:rPr>
          <w:lang w:val="fr-FR"/>
        </w:rPr>
      </w:pPr>
      <w:r w:rsidRPr="00540F90">
        <w:rPr>
          <w:lang w:val="fr-FR"/>
        </w:rPr>
        <w:t>Genève, 24-27 octobre 2023</w:t>
      </w:r>
    </w:p>
    <w:p w14:paraId="664E969D" w14:textId="77777777" w:rsidR="00BB063C" w:rsidRPr="00540F90" w:rsidRDefault="00BB063C" w:rsidP="00BB063C">
      <w:pPr>
        <w:rPr>
          <w:lang w:val="fr-FR"/>
        </w:rPr>
      </w:pPr>
      <w:r w:rsidRPr="00540F90">
        <w:rPr>
          <w:lang w:val="fr-FR"/>
        </w:rPr>
        <w:t>Point 5 b) de l</w:t>
      </w:r>
      <w:r>
        <w:rPr>
          <w:lang w:val="fr-FR"/>
        </w:rPr>
        <w:t>’</w:t>
      </w:r>
      <w:r w:rsidRPr="00540F90">
        <w:rPr>
          <w:lang w:val="fr-FR"/>
        </w:rPr>
        <w:t>ordre du jour provisoire</w:t>
      </w:r>
    </w:p>
    <w:p w14:paraId="6FF504B6" w14:textId="3FE81394" w:rsidR="00BB063C" w:rsidRDefault="00BB063C" w:rsidP="00BB063C">
      <w:pPr>
        <w:rPr>
          <w:b/>
          <w:bCs/>
          <w:lang w:val="fr-FR"/>
        </w:rPr>
      </w:pPr>
      <w:r w:rsidRPr="00540F90">
        <w:rPr>
          <w:b/>
          <w:bCs/>
          <w:lang w:val="fr-FR"/>
        </w:rPr>
        <w:t>Propositions d</w:t>
      </w:r>
      <w:r>
        <w:rPr>
          <w:b/>
          <w:bCs/>
          <w:lang w:val="fr-FR"/>
        </w:rPr>
        <w:t>’</w:t>
      </w:r>
      <w:r w:rsidRPr="00540F90">
        <w:rPr>
          <w:b/>
          <w:bCs/>
          <w:lang w:val="fr-FR"/>
        </w:rPr>
        <w:t>amendements à l</w:t>
      </w:r>
      <w:r>
        <w:rPr>
          <w:b/>
          <w:bCs/>
          <w:lang w:val="fr-FR"/>
        </w:rPr>
        <w:t>’</w:t>
      </w:r>
      <w:r w:rsidRPr="00540F90">
        <w:rPr>
          <w:b/>
          <w:bCs/>
          <w:lang w:val="fr-FR"/>
        </w:rPr>
        <w:t>ATP</w:t>
      </w:r>
      <w:r w:rsidR="000E1E7D">
        <w:rPr>
          <w:b/>
          <w:bCs/>
          <w:lang w:val="fr-FR"/>
        </w:rPr>
        <w:t> </w:t>
      </w:r>
      <w:r w:rsidRPr="00540F90">
        <w:rPr>
          <w:b/>
          <w:bCs/>
          <w:lang w:val="fr-FR"/>
        </w:rPr>
        <w:t xml:space="preserve">: </w:t>
      </w:r>
    </w:p>
    <w:p w14:paraId="25C2A7BD" w14:textId="77777777" w:rsidR="00BB063C" w:rsidRPr="00540F90" w:rsidRDefault="00BB063C" w:rsidP="00BB063C">
      <w:pPr>
        <w:rPr>
          <w:b/>
          <w:bCs/>
          <w:lang w:val="fr-FR"/>
        </w:rPr>
      </w:pPr>
      <w:r>
        <w:rPr>
          <w:b/>
          <w:bCs/>
          <w:lang w:val="fr-FR"/>
        </w:rPr>
        <w:t>N</w:t>
      </w:r>
      <w:r w:rsidRPr="00540F90">
        <w:rPr>
          <w:b/>
          <w:bCs/>
          <w:lang w:val="fr-FR"/>
        </w:rPr>
        <w:t>ouvelles propositions</w:t>
      </w:r>
    </w:p>
    <w:p w14:paraId="37A9CD9C" w14:textId="77777777" w:rsidR="00BB063C" w:rsidRPr="00540F90" w:rsidRDefault="00BB063C" w:rsidP="000E1E7D">
      <w:pPr>
        <w:pStyle w:val="HChG"/>
        <w:rPr>
          <w:lang w:val="fr-FR"/>
        </w:rPr>
      </w:pPr>
      <w:r w:rsidRPr="00540F90">
        <w:rPr>
          <w:lang w:val="fr-FR"/>
        </w:rPr>
        <w:tab/>
      </w:r>
      <w:r w:rsidRPr="00540F90">
        <w:rPr>
          <w:lang w:val="fr-FR"/>
        </w:rPr>
        <w:tab/>
      </w:r>
      <w:r w:rsidRPr="000E1E7D">
        <w:t>Vérification</w:t>
      </w:r>
      <w:r w:rsidRPr="00540F90">
        <w:rPr>
          <w:lang w:val="fr-FR"/>
        </w:rPr>
        <w:t xml:space="preserve"> périodique des enregistreurs de température</w:t>
      </w:r>
    </w:p>
    <w:p w14:paraId="0841AC3F" w14:textId="77777777" w:rsidR="00BB063C" w:rsidRPr="00540F90" w:rsidRDefault="00BB063C" w:rsidP="000E1E7D">
      <w:pPr>
        <w:pStyle w:val="H1G"/>
        <w:rPr>
          <w:lang w:val="fr-FR"/>
        </w:rPr>
      </w:pPr>
      <w:r w:rsidRPr="00540F90">
        <w:rPr>
          <w:lang w:val="fr-FR"/>
        </w:rPr>
        <w:tab/>
      </w:r>
      <w:r w:rsidRPr="00540F90">
        <w:rPr>
          <w:lang w:val="fr-FR"/>
        </w:rPr>
        <w:tab/>
        <w:t>Communication du Gouvernement néerlandais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5E0" w:firstRow="1" w:lastRow="1" w:firstColumn="1" w:lastColumn="1" w:noHBand="0" w:noVBand="1"/>
      </w:tblPr>
      <w:tblGrid>
        <w:gridCol w:w="9629"/>
      </w:tblGrid>
      <w:tr w:rsidR="00BB063C" w:rsidRPr="00540F90" w14:paraId="08011657" w14:textId="77777777" w:rsidTr="00372B0C">
        <w:trPr>
          <w:jc w:val="center"/>
        </w:trPr>
        <w:tc>
          <w:tcPr>
            <w:tcW w:w="9629" w:type="dxa"/>
            <w:shd w:val="clear" w:color="auto" w:fill="auto"/>
          </w:tcPr>
          <w:p w14:paraId="5A79A6CE" w14:textId="77777777" w:rsidR="00BB063C" w:rsidRPr="00540F90" w:rsidRDefault="00BB063C" w:rsidP="00372B0C">
            <w:pPr>
              <w:spacing w:before="240" w:after="120"/>
              <w:ind w:left="255"/>
              <w:rPr>
                <w:i/>
                <w:sz w:val="24"/>
                <w:lang w:val="fr-FR"/>
              </w:rPr>
            </w:pPr>
            <w:r w:rsidRPr="000E1E7D">
              <w:rPr>
                <w:i/>
                <w:iCs/>
                <w:sz w:val="24"/>
                <w:szCs w:val="24"/>
                <w:lang w:val="fr-FR"/>
              </w:rPr>
              <w:t>Résumé</w:t>
            </w:r>
          </w:p>
        </w:tc>
      </w:tr>
      <w:tr w:rsidR="00BB063C" w:rsidRPr="001B1151" w14:paraId="604A310E" w14:textId="77777777" w:rsidTr="00372B0C">
        <w:trPr>
          <w:jc w:val="center"/>
        </w:trPr>
        <w:tc>
          <w:tcPr>
            <w:tcW w:w="9629" w:type="dxa"/>
            <w:shd w:val="clear" w:color="auto" w:fill="auto"/>
          </w:tcPr>
          <w:p w14:paraId="2CC2B17E" w14:textId="77777777" w:rsidR="00BB063C" w:rsidRPr="00540F90" w:rsidRDefault="00BB063C" w:rsidP="00372B0C">
            <w:pPr>
              <w:pStyle w:val="SingleTxtG"/>
              <w:ind w:left="3402" w:hanging="2264"/>
              <w:rPr>
                <w:lang w:val="fr-FR"/>
              </w:rPr>
            </w:pPr>
            <w:r w:rsidRPr="001B1151">
              <w:rPr>
                <w:b/>
                <w:bCs/>
                <w:lang w:val="fr-FR"/>
              </w:rPr>
              <w:t>Résumé analytique :</w:t>
            </w:r>
            <w:r w:rsidRPr="00540F90">
              <w:rPr>
                <w:lang w:val="fr-FR"/>
              </w:rPr>
              <w:tab/>
              <w:t>Pour s</w:t>
            </w:r>
            <w:r>
              <w:rPr>
                <w:lang w:val="fr-FR"/>
              </w:rPr>
              <w:t>’</w:t>
            </w:r>
            <w:r w:rsidRPr="00540F90">
              <w:rPr>
                <w:lang w:val="fr-FR"/>
              </w:rPr>
              <w:t>assurer que les denrées sont transportées à la bonne température, il est nécessaire de contrôler et d</w:t>
            </w:r>
            <w:r>
              <w:rPr>
                <w:lang w:val="fr-FR"/>
              </w:rPr>
              <w:t>’</w:t>
            </w:r>
            <w:r w:rsidRPr="00540F90">
              <w:rPr>
                <w:lang w:val="fr-FR"/>
              </w:rPr>
              <w:t xml:space="preserve">enregistrer régulièrement la température </w:t>
            </w:r>
            <w:r>
              <w:rPr>
                <w:lang w:val="fr-FR"/>
              </w:rPr>
              <w:t>ambiante</w:t>
            </w:r>
            <w:r w:rsidRPr="00540F90">
              <w:rPr>
                <w:lang w:val="fr-FR"/>
              </w:rPr>
              <w:t xml:space="preserve"> à l</w:t>
            </w:r>
            <w:r>
              <w:rPr>
                <w:lang w:val="fr-FR"/>
              </w:rPr>
              <w:t>’</w:t>
            </w:r>
            <w:r w:rsidRPr="00540F90">
              <w:rPr>
                <w:lang w:val="fr-FR"/>
              </w:rPr>
              <w:t>aide d</w:t>
            </w:r>
            <w:r>
              <w:rPr>
                <w:lang w:val="fr-FR"/>
              </w:rPr>
              <w:t>’</w:t>
            </w:r>
            <w:r w:rsidRPr="00540F90">
              <w:rPr>
                <w:lang w:val="fr-FR"/>
              </w:rPr>
              <w:t xml:space="preserve">un enregistreur. Toutefois, avant de passer des seules denrées surgelées à </w:t>
            </w:r>
            <w:r>
              <w:rPr>
                <w:lang w:val="fr-FR"/>
              </w:rPr>
              <w:t>l’ensemble d</w:t>
            </w:r>
            <w:r w:rsidRPr="00540F90">
              <w:rPr>
                <w:lang w:val="fr-FR"/>
              </w:rPr>
              <w:t xml:space="preserve">es denrées, il convient de résoudre certains problèmes. </w:t>
            </w:r>
          </w:p>
          <w:p w14:paraId="441FF6DB" w14:textId="36E37ED6" w:rsidR="00BB063C" w:rsidRPr="00540F90" w:rsidRDefault="00BB063C" w:rsidP="00372B0C">
            <w:pPr>
              <w:pStyle w:val="SingleTxtG"/>
              <w:ind w:left="3402" w:hanging="2264"/>
              <w:rPr>
                <w:lang w:val="fr-FR"/>
              </w:rPr>
            </w:pPr>
            <w:r w:rsidRPr="00540F90">
              <w:rPr>
                <w:b/>
                <w:bCs/>
                <w:lang w:val="fr-FR"/>
              </w:rPr>
              <w:t>Mesure à prendre</w:t>
            </w:r>
            <w:r w:rsidR="000E1E7D">
              <w:rPr>
                <w:b/>
                <w:bCs/>
                <w:lang w:val="fr-FR"/>
              </w:rPr>
              <w:t> :</w:t>
            </w:r>
            <w:r w:rsidRPr="00540F90">
              <w:rPr>
                <w:lang w:val="fr-FR"/>
              </w:rPr>
              <w:tab/>
            </w:r>
            <w:r w:rsidRPr="00540F90">
              <w:rPr>
                <w:lang w:val="fr-FR"/>
              </w:rPr>
              <w:tab/>
              <w:t>Convenir des modifications à apporter à l</w:t>
            </w:r>
            <w:r>
              <w:rPr>
                <w:lang w:val="fr-FR"/>
              </w:rPr>
              <w:t>’</w:t>
            </w:r>
            <w:r w:rsidRPr="00540F90">
              <w:rPr>
                <w:lang w:val="fr-FR"/>
              </w:rPr>
              <w:t>appendice</w:t>
            </w:r>
            <w:r w:rsidR="000E1E7D">
              <w:rPr>
                <w:lang w:val="fr-FR"/>
              </w:rPr>
              <w:t> </w:t>
            </w:r>
            <w:r w:rsidRPr="00540F90">
              <w:rPr>
                <w:lang w:val="fr-FR"/>
              </w:rPr>
              <w:t>1 de l</w:t>
            </w:r>
            <w:r>
              <w:rPr>
                <w:lang w:val="fr-FR"/>
              </w:rPr>
              <w:t>’</w:t>
            </w:r>
            <w:r w:rsidRPr="00540F90">
              <w:rPr>
                <w:lang w:val="fr-FR"/>
              </w:rPr>
              <w:t>annexe</w:t>
            </w:r>
            <w:r w:rsidR="000E1E7D">
              <w:rPr>
                <w:lang w:val="fr-FR"/>
              </w:rPr>
              <w:t> </w:t>
            </w:r>
            <w:r w:rsidRPr="00540F90">
              <w:rPr>
                <w:lang w:val="fr-FR"/>
              </w:rPr>
              <w:t>2 concernant l</w:t>
            </w:r>
            <w:r>
              <w:rPr>
                <w:lang w:val="fr-FR"/>
              </w:rPr>
              <w:t xml:space="preserve">a vérification </w:t>
            </w:r>
            <w:r w:rsidRPr="00540F90">
              <w:rPr>
                <w:lang w:val="fr-FR"/>
              </w:rPr>
              <w:t>périodique de l</w:t>
            </w:r>
            <w:r>
              <w:rPr>
                <w:lang w:val="fr-FR"/>
              </w:rPr>
              <w:t>’</w:t>
            </w:r>
            <w:r w:rsidRPr="00540F90">
              <w:rPr>
                <w:lang w:val="fr-FR"/>
              </w:rPr>
              <w:t>enregistreur.</w:t>
            </w:r>
          </w:p>
          <w:p w14:paraId="194DFF5C" w14:textId="6B1601F0" w:rsidR="00BB063C" w:rsidRPr="00540F90" w:rsidRDefault="00BB063C" w:rsidP="00372B0C">
            <w:pPr>
              <w:pStyle w:val="SingleTxtG"/>
              <w:rPr>
                <w:lang w:val="fr-FR"/>
              </w:rPr>
            </w:pPr>
            <w:r w:rsidRPr="001B1151">
              <w:rPr>
                <w:b/>
                <w:bCs/>
                <w:lang w:val="fr-FR"/>
              </w:rPr>
              <w:t>Document connexe</w:t>
            </w:r>
            <w:r w:rsidRPr="00540F90">
              <w:rPr>
                <w:lang w:val="fr-FR"/>
              </w:rPr>
              <w:t xml:space="preserve"> </w:t>
            </w:r>
            <w:r w:rsidRPr="000E1E7D">
              <w:rPr>
                <w:b/>
                <w:bCs/>
                <w:lang w:val="fr-FR"/>
              </w:rPr>
              <w:t>:</w:t>
            </w:r>
            <w:r w:rsidRPr="00540F90">
              <w:rPr>
                <w:lang w:val="fr-FR"/>
              </w:rPr>
              <w:tab/>
              <w:t>ECE/TRANS/WP.11/2021/19</w:t>
            </w:r>
          </w:p>
        </w:tc>
      </w:tr>
      <w:tr w:rsidR="00BB063C" w:rsidRPr="001B1151" w14:paraId="192B1F6D" w14:textId="77777777" w:rsidTr="00372B0C">
        <w:trPr>
          <w:jc w:val="center"/>
        </w:trPr>
        <w:tc>
          <w:tcPr>
            <w:tcW w:w="9629" w:type="dxa"/>
            <w:shd w:val="clear" w:color="auto" w:fill="auto"/>
          </w:tcPr>
          <w:p w14:paraId="1948CE9D" w14:textId="77777777" w:rsidR="00BB063C" w:rsidRPr="00540F90" w:rsidRDefault="00BB063C" w:rsidP="00372B0C">
            <w:pPr>
              <w:rPr>
                <w:lang w:val="fr-FR"/>
              </w:rPr>
            </w:pPr>
          </w:p>
        </w:tc>
      </w:tr>
    </w:tbl>
    <w:p w14:paraId="26614987" w14:textId="77777777" w:rsidR="00BB063C" w:rsidRPr="00540F90" w:rsidRDefault="00BB063C" w:rsidP="000E1E7D">
      <w:pPr>
        <w:pStyle w:val="HChG"/>
        <w:rPr>
          <w:lang w:val="fr-FR"/>
        </w:rPr>
      </w:pPr>
      <w:r w:rsidRPr="00540F90">
        <w:rPr>
          <w:lang w:val="fr-FR"/>
        </w:rPr>
        <w:tab/>
      </w:r>
      <w:r w:rsidRPr="00540F90">
        <w:rPr>
          <w:lang w:val="fr-FR"/>
        </w:rPr>
        <w:tab/>
      </w:r>
      <w:r w:rsidRPr="000E1E7D">
        <w:t>Introduction</w:t>
      </w:r>
    </w:p>
    <w:p w14:paraId="7D4E8AF8" w14:textId="77777777" w:rsidR="00BB063C" w:rsidRPr="00540F90" w:rsidRDefault="00BB063C" w:rsidP="000E1E7D">
      <w:pPr>
        <w:pStyle w:val="SingleTxtG"/>
        <w:rPr>
          <w:lang w:val="fr-FR"/>
        </w:rPr>
      </w:pPr>
      <w:r w:rsidRPr="00540F90">
        <w:rPr>
          <w:lang w:val="fr-FR"/>
        </w:rPr>
        <w:t>1.</w:t>
      </w:r>
      <w:r w:rsidRPr="00540F90">
        <w:rPr>
          <w:lang w:val="fr-FR"/>
        </w:rPr>
        <w:tab/>
        <w:t>Lors d</w:t>
      </w:r>
      <w:r>
        <w:rPr>
          <w:lang w:val="fr-FR"/>
        </w:rPr>
        <w:t>’</w:t>
      </w:r>
      <w:r w:rsidRPr="00540F90">
        <w:rPr>
          <w:lang w:val="fr-FR"/>
        </w:rPr>
        <w:t>une session du groupe de travail informel de l</w:t>
      </w:r>
      <w:r>
        <w:rPr>
          <w:lang w:val="fr-FR"/>
        </w:rPr>
        <w:t>’</w:t>
      </w:r>
      <w:r w:rsidRPr="00540F90">
        <w:rPr>
          <w:lang w:val="fr-FR"/>
        </w:rPr>
        <w:t xml:space="preserve">amélioration du système </w:t>
      </w:r>
      <w:r>
        <w:rPr>
          <w:lang w:val="fr-FR"/>
        </w:rPr>
        <w:t xml:space="preserve">de certification de la </w:t>
      </w:r>
      <w:r w:rsidRPr="000E1E7D">
        <w:t>conformité</w:t>
      </w:r>
      <w:r w:rsidRPr="00540F90">
        <w:rPr>
          <w:lang w:val="fr-FR"/>
        </w:rPr>
        <w:t xml:space="preserve"> des engins et dispositifs thermiques ATP, la question d</w:t>
      </w:r>
      <w:r>
        <w:rPr>
          <w:lang w:val="fr-FR"/>
        </w:rPr>
        <w:t xml:space="preserve">e la vérification </w:t>
      </w:r>
      <w:r w:rsidRPr="00540F90">
        <w:rPr>
          <w:lang w:val="fr-FR"/>
        </w:rPr>
        <w:t>périodique de l</w:t>
      </w:r>
      <w:r>
        <w:rPr>
          <w:lang w:val="fr-FR"/>
        </w:rPr>
        <w:t>’</w:t>
      </w:r>
      <w:r w:rsidRPr="00540F90">
        <w:rPr>
          <w:lang w:val="fr-FR"/>
        </w:rPr>
        <w:t xml:space="preserve">enregistreur de température a été examinée. Il a été noté que dans la plupart des Parties contractantes dont les experts ont pris la parole, la validation annuelle ou </w:t>
      </w:r>
      <w:r>
        <w:rPr>
          <w:lang w:val="fr-FR"/>
        </w:rPr>
        <w:t>bisannuelle</w:t>
      </w:r>
      <w:r w:rsidRPr="00540F90">
        <w:rPr>
          <w:lang w:val="fr-FR"/>
        </w:rPr>
        <w:t xml:space="preserve"> de l</w:t>
      </w:r>
      <w:r>
        <w:rPr>
          <w:lang w:val="fr-FR"/>
        </w:rPr>
        <w:t>’</w:t>
      </w:r>
      <w:r w:rsidRPr="00540F90">
        <w:rPr>
          <w:lang w:val="fr-FR"/>
        </w:rPr>
        <w:t>enregistreur de température conformément à la norme EN 13486 était effectuée par des ateliers d</w:t>
      </w:r>
      <w:r>
        <w:rPr>
          <w:lang w:val="fr-FR"/>
        </w:rPr>
        <w:t>’</w:t>
      </w:r>
      <w:r w:rsidRPr="00540F90">
        <w:rPr>
          <w:lang w:val="fr-FR"/>
        </w:rPr>
        <w:t>entretien désignés et contrôlés par les autorités compétentes.</w:t>
      </w:r>
    </w:p>
    <w:p w14:paraId="49363E82" w14:textId="4A5B81C2" w:rsidR="00BB063C" w:rsidRPr="00540F90" w:rsidRDefault="00BB063C" w:rsidP="00BB063C">
      <w:pPr>
        <w:pStyle w:val="SingleTxtG"/>
        <w:rPr>
          <w:lang w:val="fr-FR"/>
        </w:rPr>
      </w:pPr>
      <w:r w:rsidRPr="00540F90">
        <w:rPr>
          <w:lang w:val="fr-FR"/>
        </w:rPr>
        <w:t>2.</w:t>
      </w:r>
      <w:r w:rsidRPr="00540F90">
        <w:rPr>
          <w:lang w:val="fr-FR"/>
        </w:rPr>
        <w:tab/>
        <w:t xml:space="preserve">Toutefois, </w:t>
      </w:r>
      <w:r>
        <w:rPr>
          <w:lang w:val="fr-FR"/>
        </w:rPr>
        <w:t>en application de</w:t>
      </w:r>
      <w:r w:rsidRPr="00540F90">
        <w:rPr>
          <w:lang w:val="fr-FR"/>
        </w:rPr>
        <w:t xml:space="preserve"> l</w:t>
      </w:r>
      <w:r>
        <w:rPr>
          <w:lang w:val="fr-FR"/>
        </w:rPr>
        <w:t>’</w:t>
      </w:r>
      <w:r w:rsidRPr="00540F90">
        <w:rPr>
          <w:lang w:val="fr-FR"/>
        </w:rPr>
        <w:t>appendice</w:t>
      </w:r>
      <w:r w:rsidR="000E1E7D">
        <w:rPr>
          <w:lang w:val="fr-FR"/>
        </w:rPr>
        <w:t> </w:t>
      </w:r>
      <w:r w:rsidRPr="00540F90">
        <w:rPr>
          <w:lang w:val="fr-FR"/>
        </w:rPr>
        <w:t>1 de l</w:t>
      </w:r>
      <w:r>
        <w:rPr>
          <w:lang w:val="fr-FR"/>
        </w:rPr>
        <w:t>’</w:t>
      </w:r>
      <w:r w:rsidRPr="00540F90">
        <w:rPr>
          <w:lang w:val="fr-FR"/>
        </w:rPr>
        <w:t>annexe</w:t>
      </w:r>
      <w:r w:rsidR="000E1E7D">
        <w:rPr>
          <w:lang w:val="fr-FR"/>
        </w:rPr>
        <w:t> </w:t>
      </w:r>
      <w:r w:rsidRPr="00540F90">
        <w:rPr>
          <w:lang w:val="fr-FR"/>
        </w:rPr>
        <w:t>2, un organisme accrédité doit procéder à ce</w:t>
      </w:r>
      <w:r>
        <w:rPr>
          <w:lang w:val="fr-FR"/>
        </w:rPr>
        <w:t>tte vérification</w:t>
      </w:r>
      <w:r w:rsidRPr="00540F90">
        <w:rPr>
          <w:lang w:val="fr-FR"/>
        </w:rPr>
        <w:t xml:space="preserve">. </w:t>
      </w:r>
      <w:r>
        <w:rPr>
          <w:lang w:val="fr-FR"/>
        </w:rPr>
        <w:t>Si l</w:t>
      </w:r>
      <w:r w:rsidRPr="00540F90">
        <w:rPr>
          <w:lang w:val="fr-FR"/>
        </w:rPr>
        <w:t xml:space="preserve">e terme « accrédité » </w:t>
      </w:r>
      <w:r>
        <w:rPr>
          <w:lang w:val="fr-FR"/>
        </w:rPr>
        <w:t xml:space="preserve">n’indique pas, en soi, que l’évaluation doit être menée </w:t>
      </w:r>
      <w:r w:rsidRPr="00540F90">
        <w:rPr>
          <w:lang w:val="fr-FR"/>
        </w:rPr>
        <w:t>par une tierce partie, il peut donner l</w:t>
      </w:r>
      <w:r>
        <w:rPr>
          <w:lang w:val="fr-FR"/>
        </w:rPr>
        <w:t>’</w:t>
      </w:r>
      <w:r w:rsidRPr="00540F90">
        <w:rPr>
          <w:lang w:val="fr-FR"/>
        </w:rPr>
        <w:t xml:space="preserve">impression </w:t>
      </w:r>
      <w:r>
        <w:rPr>
          <w:lang w:val="fr-FR"/>
        </w:rPr>
        <w:t>que l’</w:t>
      </w:r>
      <w:r w:rsidRPr="00540F90">
        <w:rPr>
          <w:lang w:val="fr-FR"/>
        </w:rPr>
        <w:t xml:space="preserve">accréditation </w:t>
      </w:r>
      <w:r>
        <w:rPr>
          <w:lang w:val="fr-FR"/>
        </w:rPr>
        <w:t xml:space="preserve">est </w:t>
      </w:r>
      <w:r w:rsidRPr="00540F90">
        <w:rPr>
          <w:lang w:val="fr-FR"/>
        </w:rPr>
        <w:t xml:space="preserve">accordée par </w:t>
      </w:r>
      <w:r>
        <w:rPr>
          <w:lang w:val="fr-FR"/>
        </w:rPr>
        <w:t>un</w:t>
      </w:r>
      <w:r w:rsidRPr="00540F90">
        <w:rPr>
          <w:lang w:val="fr-FR"/>
        </w:rPr>
        <w:t xml:space="preserve"> conseil national d</w:t>
      </w:r>
      <w:r>
        <w:rPr>
          <w:lang w:val="fr-FR"/>
        </w:rPr>
        <w:t>’</w:t>
      </w:r>
      <w:r w:rsidRPr="00540F90">
        <w:rPr>
          <w:lang w:val="fr-FR"/>
        </w:rPr>
        <w:t>accréditation.</w:t>
      </w:r>
    </w:p>
    <w:p w14:paraId="4108E927" w14:textId="77777777" w:rsidR="00BB063C" w:rsidRPr="00540F90" w:rsidRDefault="00BB063C" w:rsidP="00BB063C">
      <w:pPr>
        <w:pStyle w:val="SingleTxtG"/>
        <w:rPr>
          <w:lang w:val="fr-FR"/>
        </w:rPr>
      </w:pPr>
      <w:r w:rsidRPr="00540F90">
        <w:rPr>
          <w:lang w:val="fr-FR"/>
        </w:rPr>
        <w:lastRenderedPageBreak/>
        <w:t>3.</w:t>
      </w:r>
      <w:r w:rsidRPr="00540F90">
        <w:rPr>
          <w:lang w:val="fr-FR"/>
        </w:rPr>
        <w:tab/>
      </w:r>
      <w:r>
        <w:rPr>
          <w:lang w:val="fr-FR"/>
        </w:rPr>
        <w:t>En ce qui concerne</w:t>
      </w:r>
      <w:r w:rsidRPr="00540F90">
        <w:rPr>
          <w:lang w:val="fr-FR"/>
        </w:rPr>
        <w:t xml:space="preserve"> l</w:t>
      </w:r>
      <w:r>
        <w:rPr>
          <w:lang w:val="fr-FR"/>
        </w:rPr>
        <w:t>a vérification d</w:t>
      </w:r>
      <w:r w:rsidRPr="00540F90">
        <w:rPr>
          <w:lang w:val="fr-FR"/>
        </w:rPr>
        <w:t>e l</w:t>
      </w:r>
      <w:r>
        <w:rPr>
          <w:lang w:val="fr-FR"/>
        </w:rPr>
        <w:t>’</w:t>
      </w:r>
      <w:r w:rsidRPr="00540F90">
        <w:rPr>
          <w:lang w:val="fr-FR"/>
        </w:rPr>
        <w:t>enregistreur de température, il a été dit qu</w:t>
      </w:r>
      <w:r>
        <w:rPr>
          <w:lang w:val="fr-FR"/>
        </w:rPr>
        <w:t>’</w:t>
      </w:r>
      <w:r w:rsidRPr="00540F90">
        <w:rPr>
          <w:lang w:val="fr-FR"/>
        </w:rPr>
        <w:t xml:space="preserve">il fallait </w:t>
      </w:r>
      <w:r>
        <w:rPr>
          <w:lang w:val="fr-FR"/>
        </w:rPr>
        <w:t>contrôler</w:t>
      </w:r>
      <w:r w:rsidRPr="00540F90">
        <w:rPr>
          <w:lang w:val="fr-FR"/>
        </w:rPr>
        <w:t xml:space="preserve"> le bon fonctionnement du système dans son ensemble, et pas seulement des capteurs de température. Les pièces étant fixées </w:t>
      </w:r>
      <w:r>
        <w:rPr>
          <w:lang w:val="fr-FR"/>
        </w:rPr>
        <w:t>de façon permanente</w:t>
      </w:r>
      <w:r w:rsidRPr="00540F90">
        <w:rPr>
          <w:lang w:val="fr-FR"/>
        </w:rPr>
        <w:t xml:space="preserve"> à l</w:t>
      </w:r>
      <w:r>
        <w:rPr>
          <w:lang w:val="fr-FR"/>
        </w:rPr>
        <w:t>’</w:t>
      </w:r>
      <w:r w:rsidRPr="00540F90">
        <w:rPr>
          <w:lang w:val="fr-FR"/>
        </w:rPr>
        <w:t>intérieur des parois de la caisse isotherme, il est impossible de les démonter et de les envoyer à un laboratoire accrédité. L</w:t>
      </w:r>
      <w:r>
        <w:rPr>
          <w:lang w:val="fr-FR"/>
        </w:rPr>
        <w:t xml:space="preserve">a vérification </w:t>
      </w:r>
      <w:r w:rsidRPr="00540F90">
        <w:rPr>
          <w:lang w:val="fr-FR"/>
        </w:rPr>
        <w:t xml:space="preserve">doit donc être effectué sur place. </w:t>
      </w:r>
    </w:p>
    <w:p w14:paraId="0DE5548A" w14:textId="77777777" w:rsidR="00BB063C" w:rsidRPr="00540F90" w:rsidRDefault="00BB063C" w:rsidP="000E1E7D">
      <w:pPr>
        <w:pStyle w:val="SingleTxtG"/>
        <w:rPr>
          <w:lang w:val="fr-FR"/>
        </w:rPr>
      </w:pPr>
      <w:r w:rsidRPr="00540F90">
        <w:rPr>
          <w:lang w:val="fr-FR"/>
        </w:rPr>
        <w:t>4.</w:t>
      </w:r>
      <w:r w:rsidRPr="00540F90">
        <w:rPr>
          <w:lang w:val="fr-FR"/>
        </w:rPr>
        <w:tab/>
        <w:t>On peut également se demander si la valeur ajoutée du recours à un organisme accrédité plutôt qu</w:t>
      </w:r>
      <w:r>
        <w:rPr>
          <w:lang w:val="fr-FR"/>
        </w:rPr>
        <w:t>’</w:t>
      </w:r>
      <w:r w:rsidRPr="00540F90">
        <w:rPr>
          <w:lang w:val="fr-FR"/>
        </w:rPr>
        <w:t>à un mécanicien bien formé d</w:t>
      </w:r>
      <w:r>
        <w:rPr>
          <w:lang w:val="fr-FR"/>
        </w:rPr>
        <w:t>’</w:t>
      </w:r>
      <w:r w:rsidRPr="00540F90">
        <w:rPr>
          <w:lang w:val="fr-FR"/>
        </w:rPr>
        <w:t>un atelier d</w:t>
      </w:r>
      <w:r>
        <w:rPr>
          <w:lang w:val="fr-FR"/>
        </w:rPr>
        <w:t>’</w:t>
      </w:r>
      <w:r w:rsidRPr="00540F90">
        <w:rPr>
          <w:lang w:val="fr-FR"/>
        </w:rPr>
        <w:t xml:space="preserve">entretien </w:t>
      </w:r>
      <w:r w:rsidRPr="006B5401">
        <w:rPr>
          <w:lang w:val="fr-FR"/>
        </w:rPr>
        <w:t xml:space="preserve">et les coûts supplémentaires </w:t>
      </w:r>
      <w:r>
        <w:rPr>
          <w:lang w:val="fr-FR"/>
        </w:rPr>
        <w:t xml:space="preserve">occasionnés </w:t>
      </w:r>
      <w:r w:rsidRPr="00540F90">
        <w:rPr>
          <w:lang w:val="fr-FR"/>
        </w:rPr>
        <w:t xml:space="preserve">sont justifiés. Les </w:t>
      </w:r>
      <w:r>
        <w:rPr>
          <w:lang w:val="fr-FR"/>
        </w:rPr>
        <w:t>vérifications</w:t>
      </w:r>
      <w:r w:rsidRPr="00540F90">
        <w:rPr>
          <w:lang w:val="fr-FR"/>
        </w:rPr>
        <w:t xml:space="preserve"> périodiques des engins peuvent également être effectué</w:t>
      </w:r>
      <w:r>
        <w:rPr>
          <w:lang w:val="fr-FR"/>
        </w:rPr>
        <w:t>e</w:t>
      </w:r>
      <w:r w:rsidRPr="00540F90">
        <w:rPr>
          <w:lang w:val="fr-FR"/>
        </w:rPr>
        <w:t>s par des organismes et des experts non accrédités.</w:t>
      </w:r>
    </w:p>
    <w:p w14:paraId="31E8DDAB" w14:textId="77777777" w:rsidR="00BB063C" w:rsidRPr="00540F90" w:rsidRDefault="00BB063C" w:rsidP="000E1E7D">
      <w:pPr>
        <w:pStyle w:val="HChG"/>
        <w:rPr>
          <w:lang w:val="fr-FR"/>
        </w:rPr>
      </w:pPr>
      <w:r w:rsidRPr="00540F90">
        <w:rPr>
          <w:lang w:val="fr-FR"/>
        </w:rPr>
        <w:tab/>
      </w:r>
      <w:r w:rsidRPr="00540F90">
        <w:rPr>
          <w:lang w:val="fr-FR"/>
        </w:rPr>
        <w:tab/>
        <w:t>Proposition</w:t>
      </w:r>
    </w:p>
    <w:p w14:paraId="4D8CB10D" w14:textId="22F920A1" w:rsidR="00BB063C" w:rsidRPr="00540F90" w:rsidRDefault="00BB063C" w:rsidP="000E1E7D">
      <w:pPr>
        <w:pStyle w:val="SingleTxtG"/>
        <w:rPr>
          <w:rFonts w:eastAsia="Calibri"/>
          <w:lang w:val="fr-FR"/>
        </w:rPr>
      </w:pPr>
      <w:r w:rsidRPr="00540F90">
        <w:rPr>
          <w:lang w:val="fr-FR"/>
        </w:rPr>
        <w:t>5.</w:t>
      </w:r>
      <w:r w:rsidRPr="00540F90">
        <w:rPr>
          <w:lang w:val="fr-FR"/>
        </w:rPr>
        <w:tab/>
        <w:t>Modifier comme suit l</w:t>
      </w:r>
      <w:r>
        <w:rPr>
          <w:lang w:val="fr-FR"/>
        </w:rPr>
        <w:t>’</w:t>
      </w:r>
      <w:r w:rsidRPr="00540F90">
        <w:rPr>
          <w:lang w:val="fr-FR"/>
        </w:rPr>
        <w:t>appendice</w:t>
      </w:r>
      <w:r w:rsidR="000E1E7D">
        <w:rPr>
          <w:lang w:val="fr-FR"/>
        </w:rPr>
        <w:t> </w:t>
      </w:r>
      <w:r w:rsidRPr="00540F90">
        <w:rPr>
          <w:lang w:val="fr-FR"/>
        </w:rPr>
        <w:t>1 de l</w:t>
      </w:r>
      <w:r>
        <w:rPr>
          <w:lang w:val="fr-FR"/>
        </w:rPr>
        <w:t>’</w:t>
      </w:r>
      <w:r w:rsidRPr="00540F90">
        <w:rPr>
          <w:lang w:val="fr-FR"/>
        </w:rPr>
        <w:t>annexe</w:t>
      </w:r>
      <w:r w:rsidR="000E1E7D">
        <w:rPr>
          <w:lang w:val="fr-FR"/>
        </w:rPr>
        <w:t> </w:t>
      </w:r>
      <w:r w:rsidRPr="00540F90">
        <w:rPr>
          <w:lang w:val="fr-FR"/>
        </w:rPr>
        <w:t>2 (les modifications figurent en caractères soulignés pour les ajouts et biffés pour les suppressions) :</w:t>
      </w:r>
    </w:p>
    <w:p w14:paraId="297127F3" w14:textId="77777777" w:rsidR="00BB063C" w:rsidRPr="00540F90" w:rsidRDefault="00BB063C" w:rsidP="000E1E7D">
      <w:pPr>
        <w:pStyle w:val="SingleTxtG"/>
        <w:rPr>
          <w:rFonts w:eastAsia="Calibri"/>
          <w:b/>
          <w:bCs/>
          <w:sz w:val="22"/>
          <w:szCs w:val="22"/>
          <w:lang w:val="fr-FR"/>
        </w:rPr>
      </w:pPr>
      <w:r w:rsidRPr="00540F90">
        <w:rPr>
          <w:lang w:val="fr-FR"/>
        </w:rPr>
        <w:t>« </w:t>
      </w:r>
      <w:r w:rsidRPr="000E1E7D">
        <w:rPr>
          <w:i/>
          <w:iCs/>
          <w:lang w:val="fr-FR"/>
        </w:rPr>
        <w:t>CONTRÔLE DE LA TEMPÉRATURE AMBIANTE POUR LE TRANSPORT DES DENRÉES PÉRISSABLES SURGELÉES</w:t>
      </w:r>
      <w:r w:rsidRPr="00540F90">
        <w:rPr>
          <w:lang w:val="fr-FR"/>
        </w:rPr>
        <w:t xml:space="preserve"> </w:t>
      </w:r>
    </w:p>
    <w:p w14:paraId="75166227" w14:textId="2ECF3B19" w:rsidR="00BB063C" w:rsidRPr="000E1E7D" w:rsidRDefault="000E1E7D" w:rsidP="000E1E7D">
      <w:pPr>
        <w:pStyle w:val="SingleTxtG"/>
        <w:ind w:left="1701" w:hanging="567"/>
        <w:rPr>
          <w:rFonts w:eastAsia="Calibri"/>
          <w:i/>
          <w:iCs/>
          <w:lang w:val="fr-FR"/>
        </w:rPr>
      </w:pPr>
      <w:r w:rsidRPr="000E1E7D">
        <w:rPr>
          <w:i/>
          <w:iCs/>
          <w:lang w:val="fr-FR"/>
        </w:rPr>
        <w:t>1.</w:t>
      </w:r>
      <w:r w:rsidRPr="000E1E7D">
        <w:rPr>
          <w:i/>
          <w:iCs/>
          <w:lang w:val="fr-FR"/>
        </w:rPr>
        <w:tab/>
      </w:r>
      <w:r w:rsidR="00BB063C" w:rsidRPr="000E1E7D">
        <w:rPr>
          <w:i/>
          <w:iCs/>
          <w:lang w:val="fr-FR"/>
        </w:rPr>
        <w:t>L’engin de transport doit être équipé d’un appareil permettant de mesurer la température ambiante, de l’enregistrer et de conserver les données correspondantes (ci-après l’appareil) aux fins du contrôle de la température à laquelle sont soumises les denrées surgelées destinées à la consommation humaine durant leur transport.</w:t>
      </w:r>
    </w:p>
    <w:p w14:paraId="76C059F1" w14:textId="7B261DCB" w:rsidR="00BB063C" w:rsidRPr="00540F90" w:rsidRDefault="000E1E7D" w:rsidP="000E1E7D">
      <w:pPr>
        <w:pStyle w:val="SingleTxtG"/>
        <w:ind w:left="1701" w:hanging="567"/>
        <w:rPr>
          <w:rFonts w:eastAsia="Calibri"/>
          <w:i/>
          <w:iCs/>
          <w:lang w:val="fr-FR"/>
        </w:rPr>
      </w:pPr>
      <w:r>
        <w:rPr>
          <w:i/>
          <w:iCs/>
          <w:lang w:val="fr-FR"/>
        </w:rPr>
        <w:t>2.</w:t>
      </w:r>
      <w:r>
        <w:rPr>
          <w:i/>
          <w:iCs/>
          <w:lang w:val="fr-FR"/>
        </w:rPr>
        <w:tab/>
      </w:r>
      <w:r w:rsidR="00BB063C" w:rsidRPr="00540F90">
        <w:rPr>
          <w:i/>
          <w:iCs/>
          <w:lang w:val="fr-FR"/>
        </w:rPr>
        <w:t>Les relevés de température obtenus doivent être datés et conservés par l</w:t>
      </w:r>
      <w:r w:rsidR="00BB063C">
        <w:rPr>
          <w:i/>
          <w:iCs/>
          <w:lang w:val="fr-FR"/>
        </w:rPr>
        <w:t>’</w:t>
      </w:r>
      <w:r w:rsidR="00BB063C" w:rsidRPr="00540F90">
        <w:rPr>
          <w:i/>
          <w:iCs/>
          <w:lang w:val="fr-FR"/>
        </w:rPr>
        <w:t>exploitant pendant une année au moins, sinon plus, selon la nature des denrées.</w:t>
      </w:r>
    </w:p>
    <w:p w14:paraId="4C47626B" w14:textId="07DBC3E4" w:rsidR="00BB063C" w:rsidRPr="00540F90" w:rsidRDefault="000E1E7D" w:rsidP="000E1E7D">
      <w:pPr>
        <w:pStyle w:val="SingleTxtG"/>
        <w:ind w:left="1701" w:hanging="567"/>
        <w:rPr>
          <w:rFonts w:eastAsia="Calibri"/>
          <w:i/>
          <w:iCs/>
          <w:lang w:val="fr-FR"/>
        </w:rPr>
      </w:pPr>
      <w:r>
        <w:rPr>
          <w:i/>
          <w:iCs/>
          <w:lang w:val="fr-FR"/>
        </w:rPr>
        <w:t>3.</w:t>
      </w:r>
      <w:r>
        <w:rPr>
          <w:i/>
          <w:iCs/>
          <w:lang w:val="fr-FR"/>
        </w:rPr>
        <w:tab/>
      </w:r>
      <w:r w:rsidR="00BB063C" w:rsidRPr="00B030D9">
        <w:rPr>
          <w:i/>
          <w:iCs/>
          <w:lang w:val="fr-FR"/>
        </w:rPr>
        <w:t>L</w:t>
      </w:r>
      <w:r w:rsidR="00BB063C" w:rsidRPr="001B1151">
        <w:rPr>
          <w:i/>
          <w:iCs/>
          <w:u w:val="single"/>
          <w:lang w:val="fr-FR"/>
        </w:rPr>
        <w:t>e type de l</w:t>
      </w:r>
      <w:r w:rsidR="00BB063C">
        <w:rPr>
          <w:i/>
          <w:iCs/>
          <w:lang w:val="fr-FR"/>
        </w:rPr>
        <w:t>’</w:t>
      </w:r>
      <w:r w:rsidR="00BB063C" w:rsidRPr="00540F90">
        <w:rPr>
          <w:i/>
          <w:iCs/>
          <w:lang w:val="fr-FR"/>
        </w:rPr>
        <w:t xml:space="preserve">appareil doit être </w:t>
      </w:r>
      <w:r w:rsidR="00BB063C">
        <w:rPr>
          <w:i/>
          <w:iCs/>
          <w:u w:val="single"/>
          <w:lang w:val="fr-FR"/>
        </w:rPr>
        <w:t xml:space="preserve">certifié </w:t>
      </w:r>
      <w:r w:rsidR="00BB063C" w:rsidRPr="00540F90">
        <w:rPr>
          <w:i/>
          <w:iCs/>
          <w:u w:val="single"/>
          <w:lang w:val="fr-FR"/>
        </w:rPr>
        <w:t>conformément</w:t>
      </w:r>
      <w:r w:rsidR="00BB063C" w:rsidRPr="00540F90">
        <w:rPr>
          <w:i/>
          <w:iCs/>
          <w:lang w:val="fr-FR"/>
        </w:rPr>
        <w:t xml:space="preserve"> </w:t>
      </w:r>
      <w:r w:rsidR="00BB063C" w:rsidRPr="00540F90">
        <w:rPr>
          <w:i/>
          <w:iCs/>
          <w:strike/>
          <w:lang w:val="fr-FR"/>
        </w:rPr>
        <w:t>conforme</w:t>
      </w:r>
      <w:r w:rsidR="00BB063C" w:rsidRPr="00540F90">
        <w:rPr>
          <w:i/>
          <w:iCs/>
          <w:lang w:val="fr-FR"/>
        </w:rPr>
        <w:t xml:space="preserve"> à la norme EN</w:t>
      </w:r>
      <w:r>
        <w:rPr>
          <w:i/>
          <w:iCs/>
          <w:lang w:val="fr-FR"/>
        </w:rPr>
        <w:t> </w:t>
      </w:r>
      <w:r w:rsidR="00BB063C" w:rsidRPr="00540F90">
        <w:rPr>
          <w:i/>
          <w:iCs/>
          <w:lang w:val="fr-FR"/>
        </w:rPr>
        <w:t xml:space="preserve">12830:2018 </w:t>
      </w:r>
      <w:r w:rsidR="00BB063C" w:rsidRPr="00540F90">
        <w:rPr>
          <w:i/>
          <w:iCs/>
          <w:u w:val="single"/>
          <w:lang w:val="fr-FR"/>
        </w:rPr>
        <w:t>par un organisme accrédité</w:t>
      </w:r>
      <w:r w:rsidR="00BB063C" w:rsidRPr="00540F90">
        <w:rPr>
          <w:i/>
          <w:iCs/>
          <w:lang w:val="fr-FR"/>
        </w:rPr>
        <w:t>.</w:t>
      </w:r>
      <w:r w:rsidR="00BB063C" w:rsidRPr="00540F90">
        <w:rPr>
          <w:lang w:val="fr-FR"/>
        </w:rPr>
        <w:t xml:space="preserve"> </w:t>
      </w:r>
      <w:r w:rsidR="00BB063C" w:rsidRPr="00540F90">
        <w:rPr>
          <w:i/>
          <w:iCs/>
          <w:u w:val="single"/>
          <w:lang w:val="fr-FR"/>
        </w:rPr>
        <w:t>La documentation doit être disponible pour l</w:t>
      </w:r>
      <w:r w:rsidR="00BB063C">
        <w:rPr>
          <w:i/>
          <w:iCs/>
          <w:u w:val="single"/>
          <w:lang w:val="fr-FR"/>
        </w:rPr>
        <w:t>’</w:t>
      </w:r>
      <w:r w:rsidR="00BB063C" w:rsidRPr="00540F90">
        <w:rPr>
          <w:i/>
          <w:iCs/>
          <w:u w:val="single"/>
          <w:lang w:val="fr-FR"/>
        </w:rPr>
        <w:t>approbation des autorités ATP compétentes</w:t>
      </w:r>
      <w:r w:rsidR="00BB063C">
        <w:rPr>
          <w:i/>
          <w:iCs/>
          <w:u w:val="single"/>
          <w:lang w:val="fr-FR"/>
        </w:rPr>
        <w:t>.</w:t>
      </w:r>
      <w:r w:rsidR="00BB063C" w:rsidRPr="00540F90">
        <w:rPr>
          <w:lang w:val="fr-FR"/>
        </w:rPr>
        <w:t xml:space="preserve"> </w:t>
      </w:r>
    </w:p>
    <w:p w14:paraId="6997840D" w14:textId="3F41DEFB" w:rsidR="00BB063C" w:rsidRPr="00540F90" w:rsidRDefault="000E1E7D" w:rsidP="000E1E7D">
      <w:pPr>
        <w:pStyle w:val="SingleTxtG"/>
        <w:ind w:left="1701" w:hanging="567"/>
        <w:rPr>
          <w:rFonts w:eastAsia="Calibri"/>
          <w:i/>
          <w:iCs/>
          <w:lang w:val="fr-FR"/>
        </w:rPr>
      </w:pPr>
      <w:r>
        <w:rPr>
          <w:i/>
          <w:iCs/>
          <w:lang w:val="fr-FR"/>
        </w:rPr>
        <w:t>4.</w:t>
      </w:r>
      <w:r>
        <w:rPr>
          <w:i/>
          <w:iCs/>
          <w:lang w:val="fr-FR"/>
        </w:rPr>
        <w:tab/>
      </w:r>
      <w:r w:rsidR="00BB063C" w:rsidRPr="00540F90">
        <w:rPr>
          <w:i/>
          <w:iCs/>
          <w:lang w:val="fr-FR"/>
        </w:rPr>
        <w:t>L</w:t>
      </w:r>
      <w:r w:rsidR="00BB063C">
        <w:rPr>
          <w:i/>
          <w:iCs/>
          <w:lang w:val="fr-FR"/>
        </w:rPr>
        <w:t>’</w:t>
      </w:r>
      <w:r w:rsidR="00BB063C" w:rsidRPr="00540F90">
        <w:rPr>
          <w:i/>
          <w:iCs/>
          <w:lang w:val="fr-FR"/>
        </w:rPr>
        <w:t>appareil doit être contrôlé pour conformité à la norme EN</w:t>
      </w:r>
      <w:r>
        <w:rPr>
          <w:i/>
          <w:iCs/>
          <w:lang w:val="fr-FR"/>
        </w:rPr>
        <w:t> </w:t>
      </w:r>
      <w:r w:rsidR="00BB063C" w:rsidRPr="00540F90">
        <w:rPr>
          <w:i/>
          <w:iCs/>
          <w:lang w:val="fr-FR"/>
        </w:rPr>
        <w:t xml:space="preserve">13486:2002 </w:t>
      </w:r>
      <w:r w:rsidR="00BB063C" w:rsidRPr="00540F90">
        <w:rPr>
          <w:i/>
          <w:iCs/>
          <w:strike/>
          <w:lang w:val="fr-FR"/>
        </w:rPr>
        <w:t>par un organisme accrédité</w:t>
      </w:r>
      <w:r w:rsidR="00BB063C" w:rsidRPr="00540F90">
        <w:rPr>
          <w:i/>
          <w:iCs/>
          <w:lang w:val="fr-FR"/>
        </w:rPr>
        <w:t xml:space="preserve"> et la documentation </w:t>
      </w:r>
      <w:r w:rsidR="00BB063C" w:rsidRPr="00540F90">
        <w:rPr>
          <w:i/>
          <w:iCs/>
          <w:u w:val="single"/>
          <w:lang w:val="fr-FR"/>
        </w:rPr>
        <w:t xml:space="preserve">relative </w:t>
      </w:r>
      <w:r w:rsidR="00BB063C">
        <w:rPr>
          <w:i/>
          <w:iCs/>
          <w:u w:val="single"/>
          <w:lang w:val="fr-FR"/>
        </w:rPr>
        <w:t xml:space="preserve">à la vérification </w:t>
      </w:r>
      <w:r w:rsidR="00BB063C" w:rsidRPr="00540F90">
        <w:rPr>
          <w:i/>
          <w:iCs/>
          <w:lang w:val="fr-FR"/>
        </w:rPr>
        <w:t xml:space="preserve">doit être </w:t>
      </w:r>
      <w:r w:rsidR="00BB063C" w:rsidRPr="001B1151">
        <w:rPr>
          <w:i/>
          <w:iCs/>
          <w:strike/>
          <w:lang w:val="fr-FR"/>
        </w:rPr>
        <w:t xml:space="preserve">disponible pour </w:t>
      </w:r>
      <w:r w:rsidR="00BB063C" w:rsidRPr="000714B1">
        <w:rPr>
          <w:i/>
          <w:iCs/>
          <w:strike/>
          <w:lang w:val="fr-FR"/>
        </w:rPr>
        <w:t>l</w:t>
      </w:r>
      <w:r w:rsidR="00BB063C">
        <w:rPr>
          <w:i/>
          <w:iCs/>
          <w:strike/>
          <w:lang w:val="fr-FR"/>
        </w:rPr>
        <w:t>’</w:t>
      </w:r>
      <w:r w:rsidR="00BB063C" w:rsidRPr="000714B1">
        <w:rPr>
          <w:i/>
          <w:iCs/>
          <w:strike/>
          <w:lang w:val="fr-FR"/>
        </w:rPr>
        <w:t>approbation</w:t>
      </w:r>
      <w:r w:rsidR="00BB063C" w:rsidRPr="00540F90">
        <w:rPr>
          <w:i/>
          <w:iCs/>
          <w:strike/>
          <w:lang w:val="fr-FR"/>
        </w:rPr>
        <w:t xml:space="preserve"> </w:t>
      </w:r>
      <w:r w:rsidR="00BB063C" w:rsidRPr="001B1151">
        <w:rPr>
          <w:i/>
          <w:iCs/>
          <w:u w:val="single"/>
          <w:lang w:val="fr-FR"/>
        </w:rPr>
        <w:t>mise à la disposition</w:t>
      </w:r>
      <w:r w:rsidR="00BB063C">
        <w:rPr>
          <w:i/>
          <w:iCs/>
          <w:strike/>
          <w:lang w:val="fr-FR"/>
        </w:rPr>
        <w:t xml:space="preserve"> </w:t>
      </w:r>
      <w:r w:rsidR="00BB063C" w:rsidRPr="001B1151">
        <w:rPr>
          <w:i/>
          <w:iCs/>
          <w:lang w:val="fr-FR"/>
        </w:rPr>
        <w:t>des</w:t>
      </w:r>
      <w:r w:rsidR="00BB063C" w:rsidRPr="00540F90">
        <w:rPr>
          <w:i/>
          <w:iCs/>
          <w:lang w:val="fr-FR"/>
        </w:rPr>
        <w:t xml:space="preserve"> autorités ATP compétentes.</w:t>
      </w:r>
    </w:p>
    <w:p w14:paraId="74B1D71D" w14:textId="34B49E2B" w:rsidR="00BB063C" w:rsidRPr="00540F90" w:rsidRDefault="000E1E7D" w:rsidP="000E1E7D">
      <w:pPr>
        <w:pStyle w:val="SingleTxtG"/>
        <w:ind w:left="1701" w:hanging="567"/>
        <w:rPr>
          <w:rFonts w:eastAsia="Calibri"/>
          <w:i/>
          <w:iCs/>
          <w:lang w:val="fr-FR"/>
        </w:rPr>
      </w:pPr>
      <w:r w:rsidRPr="000E1E7D">
        <w:rPr>
          <w:i/>
          <w:iCs/>
          <w:lang w:val="fr-FR"/>
        </w:rPr>
        <w:t>5.</w:t>
      </w:r>
      <w:r w:rsidRPr="000E1E7D">
        <w:rPr>
          <w:i/>
          <w:iCs/>
          <w:lang w:val="fr-FR"/>
        </w:rPr>
        <w:tab/>
      </w:r>
      <w:r w:rsidR="00BB063C" w:rsidRPr="00540F90">
        <w:rPr>
          <w:i/>
          <w:iCs/>
          <w:u w:val="single"/>
          <w:lang w:val="fr-FR"/>
        </w:rPr>
        <w:t xml:space="preserve">Les </w:t>
      </w:r>
      <w:r w:rsidR="00BB063C">
        <w:rPr>
          <w:i/>
          <w:iCs/>
          <w:u w:val="single"/>
          <w:lang w:val="fr-FR"/>
        </w:rPr>
        <w:t>vérifications</w:t>
      </w:r>
      <w:r w:rsidR="00BB063C" w:rsidRPr="00540F90">
        <w:rPr>
          <w:i/>
          <w:iCs/>
          <w:u w:val="single"/>
          <w:lang w:val="fr-FR"/>
        </w:rPr>
        <w:t xml:space="preserve"> doivent être effectué</w:t>
      </w:r>
      <w:r w:rsidR="00BB063C">
        <w:rPr>
          <w:i/>
          <w:iCs/>
          <w:u w:val="single"/>
          <w:lang w:val="fr-FR"/>
        </w:rPr>
        <w:t>e</w:t>
      </w:r>
      <w:r w:rsidR="00BB063C" w:rsidRPr="00540F90">
        <w:rPr>
          <w:i/>
          <w:iCs/>
          <w:u w:val="single"/>
          <w:lang w:val="fr-FR"/>
        </w:rPr>
        <w:t>s soit par des stations d</w:t>
      </w:r>
      <w:r w:rsidR="00BB063C">
        <w:rPr>
          <w:i/>
          <w:iCs/>
          <w:u w:val="single"/>
          <w:lang w:val="fr-FR"/>
        </w:rPr>
        <w:t>’</w:t>
      </w:r>
      <w:r w:rsidR="00BB063C" w:rsidRPr="00540F90">
        <w:rPr>
          <w:i/>
          <w:iCs/>
          <w:u w:val="single"/>
          <w:lang w:val="fr-FR"/>
        </w:rPr>
        <w:t>essais et des experts accrédités à cet effet soit par du personnel dûment formé, conformément aux procédures établies et au moyen d</w:t>
      </w:r>
      <w:r w:rsidR="00BB063C">
        <w:rPr>
          <w:i/>
          <w:iCs/>
          <w:u w:val="single"/>
          <w:lang w:val="fr-FR"/>
        </w:rPr>
        <w:t>’</w:t>
      </w:r>
      <w:r w:rsidR="00BB063C" w:rsidRPr="00540F90">
        <w:rPr>
          <w:i/>
          <w:iCs/>
          <w:u w:val="single"/>
          <w:lang w:val="fr-FR"/>
        </w:rPr>
        <w:t xml:space="preserve">un appareillage de mesure </w:t>
      </w:r>
      <w:r w:rsidR="00BB063C">
        <w:rPr>
          <w:i/>
          <w:iCs/>
          <w:u w:val="single"/>
          <w:lang w:val="fr-FR"/>
        </w:rPr>
        <w:t>dûment</w:t>
      </w:r>
      <w:r w:rsidR="00BB063C" w:rsidRPr="00540F90">
        <w:rPr>
          <w:i/>
          <w:iCs/>
          <w:u w:val="single"/>
          <w:lang w:val="fr-FR"/>
        </w:rPr>
        <w:t xml:space="preserve"> contrôlé et étalonné, à la satisfaction de l</w:t>
      </w:r>
      <w:r w:rsidR="00BB063C">
        <w:rPr>
          <w:i/>
          <w:iCs/>
          <w:u w:val="single"/>
          <w:lang w:val="fr-FR"/>
        </w:rPr>
        <w:t>’</w:t>
      </w:r>
      <w:r w:rsidR="00BB063C" w:rsidRPr="00540F90">
        <w:rPr>
          <w:i/>
          <w:iCs/>
          <w:u w:val="single"/>
          <w:lang w:val="fr-FR"/>
        </w:rPr>
        <w:t>autorité compétente qui les a désignés ou agréés.</w:t>
      </w:r>
      <w:r w:rsidR="00BB063C" w:rsidRPr="00540F90">
        <w:rPr>
          <w:lang w:val="fr-FR"/>
        </w:rPr>
        <w:t xml:space="preserve"> </w:t>
      </w:r>
    </w:p>
    <w:p w14:paraId="65965F0E" w14:textId="55215B5B" w:rsidR="00BB063C" w:rsidRPr="00540F90" w:rsidRDefault="000E1E7D" w:rsidP="000E1E7D">
      <w:pPr>
        <w:pStyle w:val="SingleTxtG"/>
        <w:ind w:left="1701" w:hanging="567"/>
        <w:rPr>
          <w:rFonts w:eastAsia="Calibri"/>
          <w:i/>
          <w:iCs/>
          <w:lang w:val="fr-FR"/>
        </w:rPr>
      </w:pPr>
      <w:r w:rsidRPr="000E1E7D">
        <w:rPr>
          <w:i/>
          <w:iCs/>
          <w:lang w:val="fr-FR"/>
        </w:rPr>
        <w:t>6.</w:t>
      </w:r>
      <w:r w:rsidRPr="000E1E7D">
        <w:rPr>
          <w:i/>
          <w:iCs/>
          <w:lang w:val="fr-FR"/>
        </w:rPr>
        <w:tab/>
      </w:r>
      <w:r w:rsidR="00BB063C" w:rsidRPr="00540F90">
        <w:rPr>
          <w:i/>
          <w:iCs/>
          <w:u w:val="single"/>
          <w:lang w:val="fr-FR"/>
        </w:rPr>
        <w:t>Mesures transitoires :</w:t>
      </w:r>
    </w:p>
    <w:p w14:paraId="54C98F1A" w14:textId="113FA002" w:rsidR="00BB063C" w:rsidRPr="00540F90" w:rsidRDefault="000E1E7D" w:rsidP="000E1E7D">
      <w:pPr>
        <w:pStyle w:val="SingleTxtG"/>
        <w:ind w:left="1701" w:hanging="567"/>
        <w:rPr>
          <w:rFonts w:eastAsia="Calibri"/>
          <w:i/>
          <w:iCs/>
          <w:lang w:val="fr-FR"/>
        </w:rPr>
      </w:pPr>
      <w:r w:rsidRPr="000E1E7D">
        <w:rPr>
          <w:i/>
          <w:iCs/>
          <w:u w:val="single"/>
          <w:lang w:val="fr-FR"/>
        </w:rPr>
        <w:t>6.1</w:t>
      </w:r>
      <w:r>
        <w:rPr>
          <w:i/>
          <w:iCs/>
          <w:lang w:val="fr-FR"/>
        </w:rPr>
        <w:tab/>
      </w:r>
      <w:r w:rsidR="00BB063C" w:rsidRPr="00540F90">
        <w:rPr>
          <w:i/>
          <w:iCs/>
          <w:lang w:val="fr-FR"/>
        </w:rPr>
        <w:t>Les enregistreurs de température en service conformes à la norme EN</w:t>
      </w:r>
      <w:r>
        <w:rPr>
          <w:i/>
          <w:iCs/>
          <w:lang w:val="fr-FR"/>
        </w:rPr>
        <w:t> </w:t>
      </w:r>
      <w:r w:rsidR="00BB063C" w:rsidRPr="00540F90">
        <w:rPr>
          <w:i/>
          <w:iCs/>
          <w:lang w:val="fr-FR"/>
        </w:rPr>
        <w:t>12830:1999 peuvent continuer à être utilisés.</w:t>
      </w:r>
    </w:p>
    <w:p w14:paraId="5383AB51" w14:textId="6136CA62" w:rsidR="00BB063C" w:rsidRPr="00540F90" w:rsidRDefault="000E1E7D" w:rsidP="000E1E7D">
      <w:pPr>
        <w:pStyle w:val="SingleTxtG"/>
        <w:ind w:left="1701" w:hanging="567"/>
        <w:rPr>
          <w:rFonts w:eastAsia="Calibri"/>
          <w:i/>
          <w:iCs/>
          <w:u w:val="single"/>
          <w:lang w:val="fr-FR"/>
        </w:rPr>
      </w:pPr>
      <w:r>
        <w:rPr>
          <w:i/>
          <w:iCs/>
          <w:u w:val="single"/>
          <w:lang w:val="fr-FR"/>
        </w:rPr>
        <w:t>6.2</w:t>
      </w:r>
      <w:r w:rsidRPr="000E1E7D">
        <w:rPr>
          <w:i/>
          <w:iCs/>
          <w:lang w:val="fr-FR"/>
        </w:rPr>
        <w:tab/>
      </w:r>
      <w:r w:rsidR="00BB063C" w:rsidRPr="00540F90">
        <w:rPr>
          <w:i/>
          <w:iCs/>
          <w:u w:val="single"/>
          <w:lang w:val="fr-FR"/>
        </w:rPr>
        <w:t xml:space="preserve">Les enregistreurs de température </w:t>
      </w:r>
      <w:r w:rsidR="00BB063C">
        <w:rPr>
          <w:i/>
          <w:iCs/>
          <w:u w:val="single"/>
          <w:lang w:val="fr-FR"/>
        </w:rPr>
        <w:t>ayant fait l’objet d’une certification de la conformité de type</w:t>
      </w:r>
      <w:r w:rsidR="00BB063C" w:rsidRPr="00540F90">
        <w:rPr>
          <w:i/>
          <w:iCs/>
          <w:u w:val="single"/>
          <w:lang w:val="fr-FR"/>
        </w:rPr>
        <w:t xml:space="preserve"> avant [mois-année] par un organisme non accrédité peuvent continuer à être utilisés ».</w:t>
      </w:r>
    </w:p>
    <w:p w14:paraId="7D501837" w14:textId="77777777" w:rsidR="00BB063C" w:rsidRPr="00540F90" w:rsidRDefault="00BB063C" w:rsidP="000E1E7D">
      <w:pPr>
        <w:pStyle w:val="HChG"/>
        <w:rPr>
          <w:lang w:val="fr-FR"/>
        </w:rPr>
      </w:pPr>
      <w:r w:rsidRPr="00540F90">
        <w:rPr>
          <w:lang w:val="fr-FR"/>
        </w:rPr>
        <w:tab/>
      </w:r>
      <w:r w:rsidRPr="00540F90">
        <w:rPr>
          <w:lang w:val="fr-FR"/>
        </w:rPr>
        <w:tab/>
        <w:t>Justification</w:t>
      </w:r>
    </w:p>
    <w:p w14:paraId="04BDF55D" w14:textId="77777777" w:rsidR="00BB063C" w:rsidRPr="00540F90" w:rsidRDefault="00BB063C" w:rsidP="000E1E7D">
      <w:pPr>
        <w:pStyle w:val="SingleTxtG"/>
        <w:rPr>
          <w:lang w:val="fr-FR"/>
        </w:rPr>
      </w:pPr>
      <w:r w:rsidRPr="00540F90">
        <w:rPr>
          <w:lang w:val="fr-FR"/>
        </w:rPr>
        <w:t>5.</w:t>
      </w:r>
      <w:r w:rsidRPr="00540F90">
        <w:rPr>
          <w:lang w:val="fr-FR"/>
        </w:rPr>
        <w:tab/>
      </w:r>
      <w:r>
        <w:rPr>
          <w:lang w:val="fr-FR"/>
        </w:rPr>
        <w:t>L</w:t>
      </w:r>
      <w:r w:rsidRPr="00540F90">
        <w:rPr>
          <w:lang w:val="fr-FR"/>
        </w:rPr>
        <w:t>e texte</w:t>
      </w:r>
      <w:r>
        <w:rPr>
          <w:lang w:val="fr-FR"/>
        </w:rPr>
        <w:t xml:space="preserve"> donne l’impression qu’une confusion existe entre</w:t>
      </w:r>
      <w:r w:rsidRPr="00540F90">
        <w:rPr>
          <w:lang w:val="fr-FR"/>
        </w:rPr>
        <w:t xml:space="preserve"> </w:t>
      </w:r>
      <w:r>
        <w:rPr>
          <w:lang w:val="fr-FR"/>
        </w:rPr>
        <w:t>la certification de la conformité de type</w:t>
      </w:r>
      <w:r w:rsidRPr="00540F90">
        <w:rPr>
          <w:lang w:val="fr-FR"/>
        </w:rPr>
        <w:t xml:space="preserve"> de l</w:t>
      </w:r>
      <w:r>
        <w:rPr>
          <w:lang w:val="fr-FR"/>
        </w:rPr>
        <w:t>’</w:t>
      </w:r>
      <w:r w:rsidRPr="00540F90">
        <w:rPr>
          <w:lang w:val="fr-FR"/>
        </w:rPr>
        <w:t xml:space="preserve">enregistreur et </w:t>
      </w:r>
      <w:r>
        <w:rPr>
          <w:lang w:val="fr-FR"/>
        </w:rPr>
        <w:t>la vérification</w:t>
      </w:r>
      <w:r w:rsidRPr="00540F90">
        <w:rPr>
          <w:lang w:val="fr-FR"/>
        </w:rPr>
        <w:t xml:space="preserve"> périodique et qu</w:t>
      </w:r>
      <w:r>
        <w:rPr>
          <w:lang w:val="fr-FR"/>
        </w:rPr>
        <w:t>’il n’est pas fait référence aux bonnes</w:t>
      </w:r>
      <w:r w:rsidRPr="00540F90">
        <w:rPr>
          <w:lang w:val="fr-FR"/>
        </w:rPr>
        <w:t xml:space="preserve"> normes</w:t>
      </w:r>
      <w:r>
        <w:rPr>
          <w:lang w:val="fr-FR"/>
        </w:rPr>
        <w:t xml:space="preserve"> dans chaque cas</w:t>
      </w:r>
      <w:r w:rsidRPr="00540F90">
        <w:rPr>
          <w:lang w:val="fr-FR"/>
        </w:rPr>
        <w:t>. L</w:t>
      </w:r>
      <w:r>
        <w:rPr>
          <w:lang w:val="fr-FR"/>
        </w:rPr>
        <w:t xml:space="preserve">a certification de la conformité </w:t>
      </w:r>
      <w:r w:rsidRPr="00540F90">
        <w:rPr>
          <w:lang w:val="fr-FR"/>
        </w:rPr>
        <w:t>de type devrait nécessiter l</w:t>
      </w:r>
      <w:r>
        <w:rPr>
          <w:lang w:val="fr-FR"/>
        </w:rPr>
        <w:t>’</w:t>
      </w:r>
      <w:r w:rsidRPr="00540F90">
        <w:rPr>
          <w:lang w:val="fr-FR"/>
        </w:rPr>
        <w:t>intervention d</w:t>
      </w:r>
      <w:r>
        <w:rPr>
          <w:lang w:val="fr-FR"/>
        </w:rPr>
        <w:t>’</w:t>
      </w:r>
      <w:r w:rsidRPr="00540F90">
        <w:rPr>
          <w:lang w:val="fr-FR"/>
        </w:rPr>
        <w:t>un laboratoire d</w:t>
      </w:r>
      <w:r>
        <w:rPr>
          <w:lang w:val="fr-FR"/>
        </w:rPr>
        <w:t>’</w:t>
      </w:r>
      <w:r w:rsidRPr="00540F90">
        <w:rPr>
          <w:lang w:val="fr-FR"/>
        </w:rPr>
        <w:t xml:space="preserve">essai accrédité. Pour introduire cette modification, il faut adopter une mesure transitoire </w:t>
      </w:r>
      <w:r>
        <w:rPr>
          <w:lang w:val="fr-FR"/>
        </w:rPr>
        <w:t>visant</w:t>
      </w:r>
      <w:r w:rsidRPr="00540F90">
        <w:rPr>
          <w:lang w:val="fr-FR"/>
        </w:rPr>
        <w:t xml:space="preserve"> les enregistreurs existants qui ont été </w:t>
      </w:r>
      <w:r>
        <w:rPr>
          <w:lang w:val="fr-FR"/>
        </w:rPr>
        <w:t>certifiés</w:t>
      </w:r>
      <w:r w:rsidRPr="00540F90">
        <w:rPr>
          <w:lang w:val="fr-FR"/>
        </w:rPr>
        <w:t xml:space="preserve"> autrement. </w:t>
      </w:r>
    </w:p>
    <w:p w14:paraId="067A9C2C" w14:textId="12E3D146" w:rsidR="00BB063C" w:rsidRPr="00540F90" w:rsidRDefault="00BB063C" w:rsidP="004933EA">
      <w:pPr>
        <w:pStyle w:val="SingleTxtG"/>
        <w:keepLines/>
        <w:rPr>
          <w:rFonts w:eastAsia="Calibri"/>
          <w:lang w:val="fr-FR"/>
        </w:rPr>
      </w:pPr>
      <w:r w:rsidRPr="00540F90">
        <w:rPr>
          <w:lang w:val="fr-FR"/>
        </w:rPr>
        <w:lastRenderedPageBreak/>
        <w:t>6.</w:t>
      </w:r>
      <w:r w:rsidRPr="00540F90">
        <w:rPr>
          <w:lang w:val="fr-FR"/>
        </w:rPr>
        <w:tab/>
        <w:t>Les prescriptions relatives à l</w:t>
      </w:r>
      <w:r>
        <w:rPr>
          <w:lang w:val="fr-FR"/>
        </w:rPr>
        <w:t>’</w:t>
      </w:r>
      <w:r w:rsidRPr="00540F90">
        <w:rPr>
          <w:lang w:val="fr-FR"/>
        </w:rPr>
        <w:t>enregistreur de température proviennent de la législation de l</w:t>
      </w:r>
      <w:r>
        <w:rPr>
          <w:lang w:val="fr-FR"/>
        </w:rPr>
        <w:t>’</w:t>
      </w:r>
      <w:r w:rsidRPr="00540F90">
        <w:rPr>
          <w:lang w:val="fr-FR"/>
        </w:rPr>
        <w:t>Union européenne. Le libellé de l</w:t>
      </w:r>
      <w:r>
        <w:rPr>
          <w:lang w:val="fr-FR"/>
        </w:rPr>
        <w:t>’</w:t>
      </w:r>
      <w:r w:rsidRPr="00540F90">
        <w:rPr>
          <w:lang w:val="fr-FR"/>
        </w:rPr>
        <w:t>appendice</w:t>
      </w:r>
      <w:r w:rsidR="000E1E7D">
        <w:rPr>
          <w:lang w:val="fr-FR"/>
        </w:rPr>
        <w:t> </w:t>
      </w:r>
      <w:r w:rsidRPr="00540F90">
        <w:rPr>
          <w:lang w:val="fr-FR"/>
        </w:rPr>
        <w:t>1 de l</w:t>
      </w:r>
      <w:r>
        <w:rPr>
          <w:lang w:val="fr-FR"/>
        </w:rPr>
        <w:t>’</w:t>
      </w:r>
      <w:r w:rsidRPr="00540F90">
        <w:rPr>
          <w:lang w:val="fr-FR"/>
        </w:rPr>
        <w:t>annexe</w:t>
      </w:r>
      <w:r w:rsidR="000E1E7D">
        <w:rPr>
          <w:lang w:val="fr-FR"/>
        </w:rPr>
        <w:t> </w:t>
      </w:r>
      <w:r w:rsidRPr="00540F90">
        <w:rPr>
          <w:lang w:val="fr-FR"/>
        </w:rPr>
        <w:t>2 est fondé sur la directive 92/1/CEE de la Commission, désormais abrogée et remplacée par le règlement (CE) n</w:t>
      </w:r>
      <w:r w:rsidR="000E1E7D" w:rsidRPr="000E1E7D">
        <w:rPr>
          <w:vertAlign w:val="superscript"/>
          <w:lang w:val="fr-FR"/>
        </w:rPr>
        <w:t>o</w:t>
      </w:r>
      <w:r w:rsidR="000E1E7D">
        <w:rPr>
          <w:lang w:val="fr-FR"/>
        </w:rPr>
        <w:t> </w:t>
      </w:r>
      <w:r w:rsidRPr="00540F90">
        <w:rPr>
          <w:lang w:val="fr-FR"/>
        </w:rPr>
        <w:t>37/2005 de la Commission [</w:t>
      </w:r>
      <w:hyperlink r:id="rId8" w:history="1">
        <w:r w:rsidR="000E1E7D" w:rsidRPr="005A7BE8">
          <w:rPr>
            <w:rStyle w:val="Lienhypertexte"/>
            <w:lang w:val="fr-FR"/>
          </w:rPr>
          <w:t>https://eur-lex.europa.eu/legal-content/FR/TXT/?uri=celex% 3A32005R0037</w:t>
        </w:r>
      </w:hyperlink>
      <w:r w:rsidRPr="00540F90">
        <w:rPr>
          <w:lang w:val="fr-FR"/>
        </w:rPr>
        <w:t>]. Ni la directive abrogée ni le nouveau règlement n</w:t>
      </w:r>
      <w:r>
        <w:rPr>
          <w:lang w:val="fr-FR"/>
        </w:rPr>
        <w:t>’</w:t>
      </w:r>
      <w:r w:rsidRPr="00540F90">
        <w:rPr>
          <w:lang w:val="fr-FR"/>
        </w:rPr>
        <w:t>exigent l</w:t>
      </w:r>
      <w:r>
        <w:rPr>
          <w:lang w:val="fr-FR"/>
        </w:rPr>
        <w:t>’</w:t>
      </w:r>
      <w:r w:rsidRPr="00540F90">
        <w:rPr>
          <w:lang w:val="fr-FR"/>
        </w:rPr>
        <w:t>accréditation de l</w:t>
      </w:r>
      <w:r>
        <w:rPr>
          <w:lang w:val="fr-FR"/>
        </w:rPr>
        <w:t>’</w:t>
      </w:r>
      <w:r w:rsidRPr="00540F90">
        <w:rPr>
          <w:lang w:val="fr-FR"/>
        </w:rPr>
        <w:t>organisme ou de l</w:t>
      </w:r>
      <w:r>
        <w:rPr>
          <w:lang w:val="fr-FR"/>
        </w:rPr>
        <w:t>’</w:t>
      </w:r>
      <w:r w:rsidRPr="00540F90">
        <w:rPr>
          <w:lang w:val="fr-FR"/>
        </w:rPr>
        <w:t>expert.</w:t>
      </w:r>
    </w:p>
    <w:p w14:paraId="28C5FDFB" w14:textId="0C7925F4" w:rsidR="00BB063C" w:rsidRPr="00540F90" w:rsidRDefault="00BB063C" w:rsidP="000E1E7D">
      <w:pPr>
        <w:pStyle w:val="SingleTxtG"/>
        <w:rPr>
          <w:rFonts w:eastAsia="Calibri"/>
          <w:lang w:val="fr-FR"/>
        </w:rPr>
      </w:pPr>
      <w:r w:rsidRPr="00540F90">
        <w:rPr>
          <w:lang w:val="fr-FR"/>
        </w:rPr>
        <w:t>7.</w:t>
      </w:r>
      <w:r w:rsidRPr="00540F90">
        <w:rPr>
          <w:lang w:val="fr-FR"/>
        </w:rPr>
        <w:tab/>
        <w:t>Les paragraphes sont désormais numérotés. Au paragraphe</w:t>
      </w:r>
      <w:r w:rsidR="000E1E7D">
        <w:rPr>
          <w:lang w:val="fr-FR"/>
        </w:rPr>
        <w:t> </w:t>
      </w:r>
      <w:r w:rsidRPr="00540F90">
        <w:rPr>
          <w:lang w:val="fr-FR"/>
        </w:rPr>
        <w:t>2 de la version anglaise, « must » est remplacé par « shall », qui est normalement utilisé dans les traités des Nations</w:t>
      </w:r>
      <w:r w:rsidR="000E1E7D">
        <w:rPr>
          <w:lang w:val="fr-FR"/>
        </w:rPr>
        <w:t> </w:t>
      </w:r>
      <w:r w:rsidRPr="00540F90">
        <w:rPr>
          <w:lang w:val="fr-FR"/>
        </w:rPr>
        <w:t>Unies.</w:t>
      </w:r>
    </w:p>
    <w:p w14:paraId="4EAD5049" w14:textId="7EF40F69" w:rsidR="00BB063C" w:rsidRPr="000E1E7D" w:rsidRDefault="00BB063C" w:rsidP="000E1E7D">
      <w:pPr>
        <w:pStyle w:val="SingleTxtG"/>
      </w:pPr>
      <w:r w:rsidRPr="00540F90">
        <w:rPr>
          <w:lang w:val="fr-FR"/>
        </w:rPr>
        <w:t>8.</w:t>
      </w:r>
      <w:r w:rsidRPr="000E1E7D">
        <w:tab/>
        <w:t>Pour rendre l’enchaînement plus logique, on a fait remonter la disposition devenue l’actuel paragraphe</w:t>
      </w:r>
      <w:r w:rsidR="000E1E7D">
        <w:t> </w:t>
      </w:r>
      <w:r w:rsidRPr="000E1E7D">
        <w:t xml:space="preserve">3, et il a été ajouté que la certification de la conformité de type devait être accordée par un organisme accrédité. Comme il s’agit là d’une nouvelle prescription, une mesure transitoire relative aux enregistreurs existants a été ajoutée. </w:t>
      </w:r>
    </w:p>
    <w:p w14:paraId="69EDF302" w14:textId="4869E0F4" w:rsidR="00BB063C" w:rsidRPr="000E1E7D" w:rsidRDefault="00BB063C" w:rsidP="000E1E7D">
      <w:pPr>
        <w:pStyle w:val="SingleTxtG"/>
      </w:pPr>
      <w:r w:rsidRPr="000E1E7D">
        <w:t>9.</w:t>
      </w:r>
      <w:r w:rsidRPr="000E1E7D">
        <w:tab/>
        <w:t>Toujours dans une optique d’ordre logique des dispositions, l’actuel paragraphe</w:t>
      </w:r>
      <w:r w:rsidR="000E1E7D">
        <w:t> </w:t>
      </w:r>
      <w:r w:rsidRPr="000E1E7D">
        <w:t>4 figure plus bas que l’ancienne version. Les prescriptions relatives à l’accréditation en sont supprimées.</w:t>
      </w:r>
    </w:p>
    <w:p w14:paraId="6890828B" w14:textId="7A07430E" w:rsidR="00BB063C" w:rsidRPr="000E1E7D" w:rsidRDefault="00BB063C" w:rsidP="000E1E7D">
      <w:pPr>
        <w:pStyle w:val="SingleTxtG"/>
      </w:pPr>
      <w:r w:rsidRPr="000E1E7D">
        <w:t>10.</w:t>
      </w:r>
      <w:r w:rsidRPr="000E1E7D">
        <w:tab/>
        <w:t>Le paragraphe</w:t>
      </w:r>
      <w:r w:rsidR="000E1E7D">
        <w:t> </w:t>
      </w:r>
      <w:r w:rsidRPr="000E1E7D">
        <w:t>5 prévoit des obligations pour les organismes chargés de la vérification, qui peuvent être accrédités. À défaut d’accréditation, ces organismes doivent se conformer aux prescriptions de base pour garantir le niveau de vérification requis.</w:t>
      </w:r>
    </w:p>
    <w:p w14:paraId="0AED0124" w14:textId="77777777" w:rsidR="00BB063C" w:rsidRPr="00540F90" w:rsidRDefault="00BB063C" w:rsidP="000E1E7D">
      <w:pPr>
        <w:pStyle w:val="SingleTxtG"/>
        <w:rPr>
          <w:rFonts w:eastAsia="Calibri"/>
          <w:lang w:val="fr-FR"/>
        </w:rPr>
      </w:pPr>
      <w:r w:rsidRPr="000E1E7D">
        <w:t>11.</w:t>
      </w:r>
      <w:r w:rsidRPr="000E1E7D">
        <w:tab/>
        <w:t>Il</w:t>
      </w:r>
      <w:r w:rsidRPr="00540F90">
        <w:rPr>
          <w:lang w:val="fr-FR"/>
        </w:rPr>
        <w:t xml:space="preserve"> est à noter </w:t>
      </w:r>
      <w:r>
        <w:rPr>
          <w:lang w:val="fr-FR"/>
        </w:rPr>
        <w:t>que, dans</w:t>
      </w:r>
      <w:r w:rsidRPr="00540F90">
        <w:rPr>
          <w:lang w:val="fr-FR"/>
        </w:rPr>
        <w:t xml:space="preserve"> certain nombre de Parties contractantes</w:t>
      </w:r>
      <w:r>
        <w:rPr>
          <w:lang w:val="fr-FR"/>
        </w:rPr>
        <w:t>, la législation nationale peut prescrire</w:t>
      </w:r>
      <w:r w:rsidRPr="00540F90">
        <w:rPr>
          <w:lang w:val="fr-FR"/>
        </w:rPr>
        <w:t xml:space="preserve"> </w:t>
      </w:r>
      <w:r>
        <w:rPr>
          <w:lang w:val="fr-FR"/>
        </w:rPr>
        <w:t>le recours à</w:t>
      </w:r>
      <w:r w:rsidRPr="00540F90">
        <w:rPr>
          <w:lang w:val="fr-FR"/>
        </w:rPr>
        <w:t xml:space="preserve"> des organismes accrédités. En </w:t>
      </w:r>
      <w:r>
        <w:rPr>
          <w:lang w:val="fr-FR"/>
        </w:rPr>
        <w:t xml:space="preserve">leur </w:t>
      </w:r>
      <w:r w:rsidRPr="00540F90">
        <w:rPr>
          <w:lang w:val="fr-FR"/>
        </w:rPr>
        <w:t xml:space="preserve">laissant le choix </w:t>
      </w:r>
      <w:r>
        <w:rPr>
          <w:lang w:val="fr-FR"/>
        </w:rPr>
        <w:t>entre organismes</w:t>
      </w:r>
      <w:r w:rsidRPr="00540F90">
        <w:rPr>
          <w:lang w:val="fr-FR"/>
        </w:rPr>
        <w:t xml:space="preserve"> accrédités (sans contrôle supplémentaire) ou</w:t>
      </w:r>
      <w:r>
        <w:rPr>
          <w:lang w:val="fr-FR"/>
        </w:rPr>
        <w:t xml:space="preserve"> organismes</w:t>
      </w:r>
      <w:r w:rsidRPr="00540F90">
        <w:rPr>
          <w:lang w:val="fr-FR"/>
        </w:rPr>
        <w:t xml:space="preserve"> non accrédités </w:t>
      </w:r>
      <w:r>
        <w:rPr>
          <w:lang w:val="fr-FR"/>
        </w:rPr>
        <w:t xml:space="preserve">placés </w:t>
      </w:r>
      <w:r w:rsidRPr="00540F90">
        <w:rPr>
          <w:lang w:val="fr-FR"/>
        </w:rPr>
        <w:t>sous la supervision de l</w:t>
      </w:r>
      <w:r>
        <w:rPr>
          <w:lang w:val="fr-FR"/>
        </w:rPr>
        <w:t>’</w:t>
      </w:r>
      <w:r w:rsidRPr="00540F90">
        <w:rPr>
          <w:lang w:val="fr-FR"/>
        </w:rPr>
        <w:t xml:space="preserve">autorité compétente, on </w:t>
      </w:r>
      <w:r>
        <w:rPr>
          <w:lang w:val="fr-FR"/>
        </w:rPr>
        <w:t>leur permet de maintenir</w:t>
      </w:r>
      <w:r w:rsidRPr="00540F90">
        <w:rPr>
          <w:lang w:val="fr-FR"/>
        </w:rPr>
        <w:t xml:space="preserve"> le statu quo.</w:t>
      </w:r>
    </w:p>
    <w:p w14:paraId="4151721B" w14:textId="77777777" w:rsidR="00BB063C" w:rsidRPr="00540F90" w:rsidRDefault="00BB063C" w:rsidP="00D90D66">
      <w:pPr>
        <w:pStyle w:val="SingleTxtG"/>
        <w:rPr>
          <w:rFonts w:eastAsia="Calibri"/>
          <w:lang w:val="fr-FR"/>
        </w:rPr>
      </w:pPr>
      <w:r w:rsidRPr="00540F90">
        <w:rPr>
          <w:lang w:val="fr-FR"/>
        </w:rPr>
        <w:t>12.</w:t>
      </w:r>
      <w:r w:rsidRPr="00540F90">
        <w:rPr>
          <w:lang w:val="fr-FR"/>
        </w:rPr>
        <w:tab/>
      </w:r>
      <w:r w:rsidRPr="00D90D66">
        <w:t>D’autres</w:t>
      </w:r>
      <w:r w:rsidRPr="00540F90">
        <w:rPr>
          <w:lang w:val="fr-FR"/>
        </w:rPr>
        <w:t xml:space="preserve"> questions concernant l</w:t>
      </w:r>
      <w:r>
        <w:rPr>
          <w:lang w:val="fr-FR"/>
        </w:rPr>
        <w:t>’</w:t>
      </w:r>
      <w:r w:rsidRPr="00540F90">
        <w:rPr>
          <w:lang w:val="fr-FR"/>
        </w:rPr>
        <w:t>enregistreur de température doivent faire l</w:t>
      </w:r>
      <w:r>
        <w:rPr>
          <w:lang w:val="fr-FR"/>
        </w:rPr>
        <w:t>’</w:t>
      </w:r>
      <w:r w:rsidRPr="00540F90">
        <w:rPr>
          <w:lang w:val="fr-FR"/>
        </w:rPr>
        <w:t>objet d</w:t>
      </w:r>
      <w:r>
        <w:rPr>
          <w:lang w:val="fr-FR"/>
        </w:rPr>
        <w:t>’</w:t>
      </w:r>
      <w:r w:rsidRPr="00540F90">
        <w:rPr>
          <w:lang w:val="fr-FR"/>
        </w:rPr>
        <w:t>un examen plus approfondi.</w:t>
      </w:r>
    </w:p>
    <w:tbl>
      <w:tblPr>
        <w:tblW w:w="7371" w:type="dxa"/>
        <w:tblInd w:w="1134" w:type="dxa"/>
        <w:tblLayout w:type="fixed"/>
        <w:tblCellMar>
          <w:left w:w="0" w:type="dxa"/>
          <w:right w:w="0" w:type="dxa"/>
        </w:tblCellMar>
        <w:tblLook w:val="01E0" w:firstRow="1" w:lastRow="1" w:firstColumn="1" w:lastColumn="1" w:noHBand="0" w:noVBand="0"/>
      </w:tblPr>
      <w:tblGrid>
        <w:gridCol w:w="1471"/>
        <w:gridCol w:w="5900"/>
      </w:tblGrid>
      <w:tr w:rsidR="00BB063C" w:rsidRPr="001B1151" w14:paraId="51FD9699" w14:textId="77777777" w:rsidTr="00D90D66">
        <w:tc>
          <w:tcPr>
            <w:tcW w:w="1421" w:type="dxa"/>
            <w:shd w:val="clear" w:color="auto" w:fill="auto"/>
          </w:tcPr>
          <w:p w14:paraId="6CDEA865" w14:textId="77777777" w:rsidR="00BB063C" w:rsidRPr="00540F90" w:rsidRDefault="00BB063C" w:rsidP="00372B0C">
            <w:pPr>
              <w:pStyle w:val="SingleTxtG"/>
              <w:ind w:left="0" w:right="0"/>
              <w:rPr>
                <w:lang w:val="fr-FR"/>
              </w:rPr>
            </w:pPr>
            <w:r w:rsidRPr="00540F90">
              <w:rPr>
                <w:lang w:val="fr-FR"/>
              </w:rPr>
              <w:t>Coût :</w:t>
            </w:r>
          </w:p>
        </w:tc>
        <w:tc>
          <w:tcPr>
            <w:tcW w:w="5700" w:type="dxa"/>
            <w:shd w:val="clear" w:color="auto" w:fill="auto"/>
          </w:tcPr>
          <w:p w14:paraId="34EF0E1F" w14:textId="77777777" w:rsidR="00BB063C" w:rsidRPr="00540F90" w:rsidRDefault="00BB063C" w:rsidP="004933EA">
            <w:pPr>
              <w:pStyle w:val="SingleTxtG"/>
              <w:ind w:left="0" w:right="0"/>
              <w:rPr>
                <w:lang w:val="fr-FR"/>
              </w:rPr>
            </w:pPr>
            <w:r w:rsidRPr="00540F90">
              <w:rPr>
                <w:lang w:val="fr-FR"/>
              </w:rPr>
              <w:t>L</w:t>
            </w:r>
            <w:r>
              <w:rPr>
                <w:lang w:val="fr-FR"/>
              </w:rPr>
              <w:t>’</w:t>
            </w:r>
            <w:r w:rsidRPr="00540F90">
              <w:rPr>
                <w:lang w:val="fr-FR"/>
              </w:rPr>
              <w:t>amendement permettra d</w:t>
            </w:r>
            <w:r>
              <w:rPr>
                <w:lang w:val="fr-FR"/>
              </w:rPr>
              <w:t>’</w:t>
            </w:r>
            <w:r w:rsidRPr="00540F90">
              <w:rPr>
                <w:lang w:val="fr-FR"/>
              </w:rPr>
              <w:t>harmoniser l</w:t>
            </w:r>
            <w:r>
              <w:rPr>
                <w:lang w:val="fr-FR"/>
              </w:rPr>
              <w:t>es</w:t>
            </w:r>
            <w:r w:rsidRPr="00540F90">
              <w:rPr>
                <w:lang w:val="fr-FR"/>
              </w:rPr>
              <w:t xml:space="preserve"> méthode</w:t>
            </w:r>
            <w:r>
              <w:rPr>
                <w:lang w:val="fr-FR"/>
              </w:rPr>
              <w:t>s</w:t>
            </w:r>
            <w:r w:rsidRPr="00540F90">
              <w:rPr>
                <w:lang w:val="fr-FR"/>
              </w:rPr>
              <w:t xml:space="preserve"> de travail et les coûts liés </w:t>
            </w:r>
            <w:r>
              <w:rPr>
                <w:lang w:val="fr-FR"/>
              </w:rPr>
              <w:t>à la vérification</w:t>
            </w:r>
            <w:r w:rsidRPr="00540F90">
              <w:rPr>
                <w:lang w:val="fr-FR"/>
              </w:rPr>
              <w:t xml:space="preserve"> de l</w:t>
            </w:r>
            <w:r>
              <w:rPr>
                <w:lang w:val="fr-FR"/>
              </w:rPr>
              <w:t>’</w:t>
            </w:r>
            <w:r w:rsidRPr="00540F90">
              <w:rPr>
                <w:lang w:val="fr-FR"/>
              </w:rPr>
              <w:t>enregistreur de température.</w:t>
            </w:r>
          </w:p>
        </w:tc>
      </w:tr>
      <w:tr w:rsidR="00BB063C" w:rsidRPr="001B1151" w14:paraId="6B01B929" w14:textId="77777777" w:rsidTr="00D90D66">
        <w:tc>
          <w:tcPr>
            <w:tcW w:w="1421" w:type="dxa"/>
            <w:shd w:val="clear" w:color="auto" w:fill="auto"/>
          </w:tcPr>
          <w:p w14:paraId="08875589" w14:textId="77777777" w:rsidR="00BB063C" w:rsidRPr="00540F90" w:rsidRDefault="00BB063C" w:rsidP="00372B0C">
            <w:pPr>
              <w:pStyle w:val="SingleTxtG"/>
              <w:ind w:left="0" w:right="0"/>
              <w:rPr>
                <w:lang w:val="fr-FR"/>
              </w:rPr>
            </w:pPr>
            <w:r w:rsidRPr="00540F90">
              <w:rPr>
                <w:lang w:val="fr-FR"/>
              </w:rPr>
              <w:t>Faisabilité :</w:t>
            </w:r>
          </w:p>
        </w:tc>
        <w:tc>
          <w:tcPr>
            <w:tcW w:w="5700" w:type="dxa"/>
            <w:shd w:val="clear" w:color="auto" w:fill="auto"/>
          </w:tcPr>
          <w:p w14:paraId="4AE9161A" w14:textId="77777777" w:rsidR="00BB063C" w:rsidRPr="00540F90" w:rsidRDefault="00BB063C" w:rsidP="00372B0C">
            <w:pPr>
              <w:pStyle w:val="SingleTxtG"/>
              <w:ind w:left="0" w:right="0"/>
              <w:rPr>
                <w:lang w:val="fr-FR"/>
              </w:rPr>
            </w:pPr>
            <w:r w:rsidRPr="00540F90">
              <w:rPr>
                <w:lang w:val="fr-FR"/>
              </w:rPr>
              <w:t>Aucune difficulté n</w:t>
            </w:r>
            <w:r>
              <w:rPr>
                <w:lang w:val="fr-FR"/>
              </w:rPr>
              <w:t>’</w:t>
            </w:r>
            <w:r w:rsidRPr="00540F90">
              <w:rPr>
                <w:lang w:val="fr-FR"/>
              </w:rPr>
              <w:t>est à prévoir concernant la faisabilité.</w:t>
            </w:r>
          </w:p>
        </w:tc>
      </w:tr>
      <w:tr w:rsidR="00BB063C" w:rsidRPr="001B1151" w14:paraId="02DF9AC0" w14:textId="77777777" w:rsidTr="00D90D66">
        <w:tc>
          <w:tcPr>
            <w:tcW w:w="1421" w:type="dxa"/>
            <w:shd w:val="clear" w:color="auto" w:fill="auto"/>
          </w:tcPr>
          <w:p w14:paraId="3C29524E" w14:textId="77777777" w:rsidR="00BB063C" w:rsidRPr="00540F90" w:rsidRDefault="00BB063C" w:rsidP="00372B0C">
            <w:pPr>
              <w:pStyle w:val="SingleTxtG"/>
              <w:ind w:left="0" w:right="3"/>
              <w:rPr>
                <w:lang w:val="fr-FR"/>
              </w:rPr>
            </w:pPr>
            <w:r w:rsidRPr="00540F90">
              <w:rPr>
                <w:lang w:val="fr-FR"/>
              </w:rPr>
              <w:t>Résultats :</w:t>
            </w:r>
          </w:p>
        </w:tc>
        <w:tc>
          <w:tcPr>
            <w:tcW w:w="5700" w:type="dxa"/>
            <w:shd w:val="clear" w:color="auto" w:fill="auto"/>
          </w:tcPr>
          <w:p w14:paraId="18475048" w14:textId="77777777" w:rsidR="00BB063C" w:rsidRPr="00540F90" w:rsidRDefault="00BB063C" w:rsidP="004933EA">
            <w:pPr>
              <w:pStyle w:val="SingleTxtG"/>
              <w:ind w:left="0" w:right="0"/>
              <w:rPr>
                <w:lang w:val="fr-FR"/>
              </w:rPr>
            </w:pPr>
            <w:r w:rsidRPr="00540F90">
              <w:rPr>
                <w:lang w:val="fr-FR"/>
              </w:rPr>
              <w:t xml:space="preserve">Aucune incidence sur la consommation de </w:t>
            </w:r>
            <w:r>
              <w:rPr>
                <w:lang w:val="fr-FR"/>
              </w:rPr>
              <w:t>carburant</w:t>
            </w:r>
            <w:r w:rsidRPr="00540F90">
              <w:rPr>
                <w:lang w:val="fr-FR"/>
              </w:rPr>
              <w:t xml:space="preserve"> ni sur le facteur d</w:t>
            </w:r>
            <w:r>
              <w:rPr>
                <w:lang w:val="fr-FR"/>
              </w:rPr>
              <w:t>’</w:t>
            </w:r>
            <w:r w:rsidRPr="00540F90">
              <w:rPr>
                <w:lang w:val="fr-FR"/>
              </w:rPr>
              <w:t>isolation</w:t>
            </w:r>
            <w:r>
              <w:rPr>
                <w:lang w:val="fr-FR"/>
              </w:rPr>
              <w:t> ?</w:t>
            </w:r>
          </w:p>
        </w:tc>
      </w:tr>
      <w:tr w:rsidR="00BB063C" w:rsidRPr="001B1151" w14:paraId="20E27A41" w14:textId="77777777" w:rsidTr="00D90D66">
        <w:tc>
          <w:tcPr>
            <w:tcW w:w="1421" w:type="dxa"/>
            <w:shd w:val="clear" w:color="auto" w:fill="auto"/>
          </w:tcPr>
          <w:p w14:paraId="57405AE4" w14:textId="77777777" w:rsidR="00BB063C" w:rsidRPr="00540F90" w:rsidRDefault="00BB063C" w:rsidP="00372B0C">
            <w:pPr>
              <w:pStyle w:val="SingleTxtG"/>
              <w:ind w:left="0" w:right="0"/>
              <w:rPr>
                <w:lang w:val="fr-FR"/>
              </w:rPr>
            </w:pPr>
            <w:r w:rsidRPr="00540F90">
              <w:rPr>
                <w:lang w:val="fr-FR"/>
              </w:rPr>
              <w:t>Applicabilité :</w:t>
            </w:r>
          </w:p>
        </w:tc>
        <w:tc>
          <w:tcPr>
            <w:tcW w:w="5700" w:type="dxa"/>
            <w:shd w:val="clear" w:color="auto" w:fill="auto"/>
          </w:tcPr>
          <w:p w14:paraId="5AEBBDF0" w14:textId="77777777" w:rsidR="00BB063C" w:rsidRPr="00540F90" w:rsidRDefault="00BB063C" w:rsidP="00372B0C">
            <w:pPr>
              <w:pStyle w:val="SingleTxtG"/>
              <w:ind w:left="0" w:right="0"/>
              <w:rPr>
                <w:lang w:val="fr-FR"/>
              </w:rPr>
            </w:pPr>
            <w:r w:rsidRPr="00540F90">
              <w:rPr>
                <w:lang w:val="fr-FR"/>
              </w:rPr>
              <w:t xml:space="preserve">Les nouvelles prescriptions relatives aux organismes non accrédités effectuant des </w:t>
            </w:r>
            <w:r>
              <w:rPr>
                <w:lang w:val="fr-FR"/>
              </w:rPr>
              <w:t>vérifications</w:t>
            </w:r>
            <w:r w:rsidRPr="00540F90">
              <w:rPr>
                <w:lang w:val="fr-FR"/>
              </w:rPr>
              <w:t xml:space="preserve"> permettent d</w:t>
            </w:r>
            <w:r>
              <w:rPr>
                <w:lang w:val="fr-FR"/>
              </w:rPr>
              <w:t>’</w:t>
            </w:r>
            <w:r w:rsidRPr="00540F90">
              <w:rPr>
                <w:lang w:val="fr-FR"/>
              </w:rPr>
              <w:t>améliorer l</w:t>
            </w:r>
            <w:r>
              <w:rPr>
                <w:lang w:val="fr-FR"/>
              </w:rPr>
              <w:t>’</w:t>
            </w:r>
            <w:r w:rsidRPr="00540F90">
              <w:rPr>
                <w:lang w:val="fr-FR"/>
              </w:rPr>
              <w:t xml:space="preserve">applicabilité de </w:t>
            </w:r>
            <w:r>
              <w:rPr>
                <w:lang w:val="fr-FR"/>
              </w:rPr>
              <w:t>l’ATP</w:t>
            </w:r>
            <w:r w:rsidRPr="00540F90">
              <w:rPr>
                <w:lang w:val="fr-FR"/>
              </w:rPr>
              <w:t xml:space="preserve">. </w:t>
            </w:r>
          </w:p>
        </w:tc>
      </w:tr>
    </w:tbl>
    <w:p w14:paraId="49AE52BC" w14:textId="3FB3DB01" w:rsidR="00BB063C" w:rsidRPr="00AF58B2" w:rsidRDefault="00AF58B2" w:rsidP="00AF58B2">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BB063C" w:rsidRPr="00AF58B2" w:rsidSect="00BC39D9">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0BB0" w14:textId="77777777" w:rsidR="00823EEE" w:rsidRDefault="00823EEE" w:rsidP="00F95C08">
      <w:pPr>
        <w:spacing w:line="240" w:lineRule="auto"/>
      </w:pPr>
    </w:p>
  </w:endnote>
  <w:endnote w:type="continuationSeparator" w:id="0">
    <w:p w14:paraId="2E4884C3" w14:textId="77777777" w:rsidR="00823EEE" w:rsidRPr="00AC3823" w:rsidRDefault="00823EEE" w:rsidP="00AC3823">
      <w:pPr>
        <w:pStyle w:val="Pieddepage"/>
      </w:pPr>
    </w:p>
  </w:endnote>
  <w:endnote w:type="continuationNotice" w:id="1">
    <w:p w14:paraId="106E81B4" w14:textId="77777777" w:rsidR="00823EEE" w:rsidRDefault="00823E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1E04" w14:textId="7E528F60" w:rsidR="00BC39D9" w:rsidRPr="00BC39D9" w:rsidRDefault="00BC39D9" w:rsidP="00BC39D9">
    <w:pPr>
      <w:pStyle w:val="Pieddepage"/>
      <w:tabs>
        <w:tab w:val="right" w:pos="9638"/>
      </w:tabs>
    </w:pPr>
    <w:r w:rsidRPr="00BC39D9">
      <w:rPr>
        <w:b/>
        <w:sz w:val="18"/>
      </w:rPr>
      <w:fldChar w:fldCharType="begin"/>
    </w:r>
    <w:r w:rsidRPr="00BC39D9">
      <w:rPr>
        <w:b/>
        <w:sz w:val="18"/>
      </w:rPr>
      <w:instrText xml:space="preserve"> PAGE  \* MERGEFORMAT </w:instrText>
    </w:r>
    <w:r w:rsidRPr="00BC39D9">
      <w:rPr>
        <w:b/>
        <w:sz w:val="18"/>
      </w:rPr>
      <w:fldChar w:fldCharType="separate"/>
    </w:r>
    <w:r w:rsidRPr="00BC39D9">
      <w:rPr>
        <w:b/>
        <w:noProof/>
        <w:sz w:val="18"/>
      </w:rPr>
      <w:t>2</w:t>
    </w:r>
    <w:r w:rsidRPr="00BC39D9">
      <w:rPr>
        <w:b/>
        <w:sz w:val="18"/>
      </w:rPr>
      <w:fldChar w:fldCharType="end"/>
    </w:r>
    <w:r>
      <w:rPr>
        <w:b/>
        <w:sz w:val="18"/>
      </w:rPr>
      <w:tab/>
    </w:r>
    <w:r>
      <w:t>GE.23-15393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0955" w14:textId="227CD30E" w:rsidR="00BC39D9" w:rsidRPr="00BC39D9" w:rsidRDefault="00BC39D9" w:rsidP="00BC39D9">
    <w:pPr>
      <w:pStyle w:val="Pieddepage"/>
      <w:tabs>
        <w:tab w:val="right" w:pos="9638"/>
      </w:tabs>
      <w:rPr>
        <w:b/>
        <w:sz w:val="18"/>
      </w:rPr>
    </w:pPr>
    <w:r>
      <w:t>GE.23-15393</w:t>
    </w:r>
    <w:r>
      <w:tab/>
    </w:r>
    <w:r w:rsidRPr="00BC39D9">
      <w:rPr>
        <w:b/>
        <w:sz w:val="18"/>
      </w:rPr>
      <w:fldChar w:fldCharType="begin"/>
    </w:r>
    <w:r w:rsidRPr="00BC39D9">
      <w:rPr>
        <w:b/>
        <w:sz w:val="18"/>
      </w:rPr>
      <w:instrText xml:space="preserve"> PAGE  \* MERGEFORMAT </w:instrText>
    </w:r>
    <w:r w:rsidRPr="00BC39D9">
      <w:rPr>
        <w:b/>
        <w:sz w:val="18"/>
      </w:rPr>
      <w:fldChar w:fldCharType="separate"/>
    </w:r>
    <w:r w:rsidRPr="00BC39D9">
      <w:rPr>
        <w:b/>
        <w:noProof/>
        <w:sz w:val="18"/>
      </w:rPr>
      <w:t>3</w:t>
    </w:r>
    <w:r w:rsidRPr="00BC39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E39A" w14:textId="4866F802" w:rsidR="007F20FA" w:rsidRPr="00BC39D9" w:rsidRDefault="00BC39D9" w:rsidP="00BC39D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C662B1B" wp14:editId="7476A7A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23-15393  (F)</w:t>
    </w:r>
    <w:r>
      <w:rPr>
        <w:noProof/>
        <w:sz w:val="20"/>
      </w:rPr>
      <w:drawing>
        <wp:anchor distT="0" distB="0" distL="114300" distR="114300" simplePos="0" relativeHeight="251660288" behindDoc="0" locked="0" layoutInCell="1" allowOverlap="1" wp14:anchorId="58D4989F" wp14:editId="3EE3FD76">
          <wp:simplePos x="0" y="0"/>
          <wp:positionH relativeFrom="margin">
            <wp:posOffset>5489575</wp:posOffset>
          </wp:positionH>
          <wp:positionV relativeFrom="margin">
            <wp:posOffset>8891905</wp:posOffset>
          </wp:positionV>
          <wp:extent cx="638175" cy="638175"/>
          <wp:effectExtent l="0" t="0" r="9525" b="9525"/>
          <wp:wrapNone/>
          <wp:docPr id="21078305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63C">
      <w:rPr>
        <w:sz w:val="20"/>
      </w:rPr>
      <w:t xml:space="preserve">    010923    050923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E274" w14:textId="77777777" w:rsidR="00823EEE" w:rsidRPr="00AC3823" w:rsidRDefault="00823EEE" w:rsidP="00AC3823">
      <w:pPr>
        <w:pStyle w:val="Pieddepage"/>
        <w:tabs>
          <w:tab w:val="right" w:pos="2155"/>
        </w:tabs>
        <w:spacing w:after="80" w:line="240" w:lineRule="atLeast"/>
        <w:ind w:left="680"/>
        <w:rPr>
          <w:u w:val="single"/>
        </w:rPr>
      </w:pPr>
      <w:r>
        <w:rPr>
          <w:u w:val="single"/>
        </w:rPr>
        <w:tab/>
      </w:r>
    </w:p>
  </w:footnote>
  <w:footnote w:type="continuationSeparator" w:id="0">
    <w:p w14:paraId="61017B7A" w14:textId="77777777" w:rsidR="00823EEE" w:rsidRPr="00AC3823" w:rsidRDefault="00823EEE" w:rsidP="00AC3823">
      <w:pPr>
        <w:pStyle w:val="Pieddepage"/>
        <w:tabs>
          <w:tab w:val="right" w:pos="2155"/>
        </w:tabs>
        <w:spacing w:after="80" w:line="240" w:lineRule="atLeast"/>
        <w:ind w:left="680"/>
        <w:rPr>
          <w:u w:val="single"/>
        </w:rPr>
      </w:pPr>
      <w:r>
        <w:rPr>
          <w:u w:val="single"/>
        </w:rPr>
        <w:tab/>
      </w:r>
    </w:p>
  </w:footnote>
  <w:footnote w:type="continuationNotice" w:id="1">
    <w:p w14:paraId="1E2FC37F" w14:textId="77777777" w:rsidR="00823EEE" w:rsidRPr="00AC3823" w:rsidRDefault="00823EE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458A" w14:textId="224F256E" w:rsidR="00BC39D9" w:rsidRPr="00BC39D9" w:rsidRDefault="00B75DF2">
    <w:pPr>
      <w:pStyle w:val="En-tte"/>
    </w:pPr>
    <w:r>
      <w:fldChar w:fldCharType="begin"/>
    </w:r>
    <w:r>
      <w:instrText xml:space="preserve"> TITLE  \* MERGEFORMAT </w:instrText>
    </w:r>
    <w:r>
      <w:fldChar w:fldCharType="separate"/>
    </w:r>
    <w:r>
      <w:t>ECE/TRANS/WP.11/2023/17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CCF4" w14:textId="43C7B31E" w:rsidR="00BC39D9" w:rsidRPr="00BC39D9" w:rsidRDefault="00B75DF2" w:rsidP="00BC39D9">
    <w:pPr>
      <w:pStyle w:val="En-tte"/>
      <w:jc w:val="right"/>
    </w:pPr>
    <w:r>
      <w:fldChar w:fldCharType="begin"/>
    </w:r>
    <w:r>
      <w:instrText xml:space="preserve"> TITLE  \* MERGEFORMAT </w:instrText>
    </w:r>
    <w:r>
      <w:fldChar w:fldCharType="separate"/>
    </w:r>
    <w:r>
      <w:t>ECE/TRANS/WP.11/2023/17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CF6EE0"/>
    <w:multiLevelType w:val="multilevel"/>
    <w:tmpl w:val="7D42F090"/>
    <w:lvl w:ilvl="0">
      <w:start w:val="1"/>
      <w:numFmt w:val="decimal"/>
      <w:lvlText w:val="%1."/>
      <w:lvlJc w:val="left"/>
      <w:pPr>
        <w:ind w:left="927" w:hanging="360"/>
      </w:pPr>
      <w:rPr>
        <w:rFonts w:hint="default"/>
      </w:rPr>
    </w:lvl>
    <w:lvl w:ilvl="1">
      <w:start w:val="1"/>
      <w:numFmt w:val="decimal"/>
      <w:isLgl/>
      <w:lvlText w:val="%1.%2"/>
      <w:lvlJc w:val="left"/>
      <w:pPr>
        <w:ind w:left="1353" w:hanging="360"/>
      </w:pPr>
      <w:rPr>
        <w:rFonts w:hint="default"/>
        <w:u w:val="single"/>
      </w:rPr>
    </w:lvl>
    <w:lvl w:ilvl="2">
      <w:start w:val="1"/>
      <w:numFmt w:val="decimal"/>
      <w:isLgl/>
      <w:lvlText w:val="%1.%2.%3"/>
      <w:lvlJc w:val="left"/>
      <w:pPr>
        <w:ind w:left="2007" w:hanging="720"/>
      </w:pPr>
      <w:rPr>
        <w:rFonts w:hint="default"/>
        <w:u w:val="single"/>
      </w:rPr>
    </w:lvl>
    <w:lvl w:ilvl="3">
      <w:start w:val="1"/>
      <w:numFmt w:val="decimal"/>
      <w:isLgl/>
      <w:lvlText w:val="%1.%2.%3.%4"/>
      <w:lvlJc w:val="left"/>
      <w:pPr>
        <w:ind w:left="2367" w:hanging="720"/>
      </w:pPr>
      <w:rPr>
        <w:rFonts w:hint="default"/>
        <w:u w:val="single"/>
      </w:rPr>
    </w:lvl>
    <w:lvl w:ilvl="4">
      <w:start w:val="1"/>
      <w:numFmt w:val="decimal"/>
      <w:isLgl/>
      <w:lvlText w:val="%1.%2.%3.%4.%5"/>
      <w:lvlJc w:val="left"/>
      <w:pPr>
        <w:ind w:left="3087" w:hanging="1080"/>
      </w:pPr>
      <w:rPr>
        <w:rFonts w:hint="default"/>
        <w:u w:val="single"/>
      </w:rPr>
    </w:lvl>
    <w:lvl w:ilvl="5">
      <w:start w:val="1"/>
      <w:numFmt w:val="decimal"/>
      <w:isLgl/>
      <w:lvlText w:val="%1.%2.%3.%4.%5.%6"/>
      <w:lvlJc w:val="left"/>
      <w:pPr>
        <w:ind w:left="3447" w:hanging="1080"/>
      </w:pPr>
      <w:rPr>
        <w:rFonts w:hint="default"/>
        <w:u w:val="single"/>
      </w:rPr>
    </w:lvl>
    <w:lvl w:ilvl="6">
      <w:start w:val="1"/>
      <w:numFmt w:val="decimal"/>
      <w:isLgl/>
      <w:lvlText w:val="%1.%2.%3.%4.%5.%6.%7"/>
      <w:lvlJc w:val="left"/>
      <w:pPr>
        <w:ind w:left="4167" w:hanging="1440"/>
      </w:pPr>
      <w:rPr>
        <w:rFonts w:hint="default"/>
        <w:u w:val="single"/>
      </w:rPr>
    </w:lvl>
    <w:lvl w:ilvl="7">
      <w:start w:val="1"/>
      <w:numFmt w:val="decimal"/>
      <w:isLgl/>
      <w:lvlText w:val="%1.%2.%3.%4.%5.%6.%7.%8"/>
      <w:lvlJc w:val="left"/>
      <w:pPr>
        <w:ind w:left="4527" w:hanging="1440"/>
      </w:pPr>
      <w:rPr>
        <w:rFonts w:hint="default"/>
        <w:u w:val="single"/>
      </w:rPr>
    </w:lvl>
    <w:lvl w:ilvl="8">
      <w:start w:val="1"/>
      <w:numFmt w:val="decimal"/>
      <w:isLgl/>
      <w:lvlText w:val="%1.%2.%3.%4.%5.%6.%7.%8.%9"/>
      <w:lvlJc w:val="left"/>
      <w:pPr>
        <w:ind w:left="4887" w:hanging="1440"/>
      </w:pPr>
      <w:rPr>
        <w:rFonts w:hint="default"/>
        <w:u w:val="single"/>
      </w:rPr>
    </w:lvl>
  </w:abstractNum>
  <w:num w:numId="1" w16cid:durableId="1845241687">
    <w:abstractNumId w:val="12"/>
  </w:num>
  <w:num w:numId="2" w16cid:durableId="254748769">
    <w:abstractNumId w:val="11"/>
  </w:num>
  <w:num w:numId="3" w16cid:durableId="22556964">
    <w:abstractNumId w:val="10"/>
  </w:num>
  <w:num w:numId="4" w16cid:durableId="762577873">
    <w:abstractNumId w:val="8"/>
  </w:num>
  <w:num w:numId="5" w16cid:durableId="1265386023">
    <w:abstractNumId w:val="3"/>
  </w:num>
  <w:num w:numId="6" w16cid:durableId="1666976853">
    <w:abstractNumId w:val="2"/>
  </w:num>
  <w:num w:numId="7" w16cid:durableId="1790927090">
    <w:abstractNumId w:val="1"/>
  </w:num>
  <w:num w:numId="8" w16cid:durableId="1258826678">
    <w:abstractNumId w:val="0"/>
  </w:num>
  <w:num w:numId="9" w16cid:durableId="1018773232">
    <w:abstractNumId w:val="9"/>
  </w:num>
  <w:num w:numId="10" w16cid:durableId="1957638197">
    <w:abstractNumId w:val="7"/>
  </w:num>
  <w:num w:numId="11" w16cid:durableId="1377588718">
    <w:abstractNumId w:val="6"/>
  </w:num>
  <w:num w:numId="12" w16cid:durableId="1049304015">
    <w:abstractNumId w:val="5"/>
  </w:num>
  <w:num w:numId="13" w16cid:durableId="53309994">
    <w:abstractNumId w:val="4"/>
  </w:num>
  <w:num w:numId="14" w16cid:durableId="56361055">
    <w:abstractNumId w:val="12"/>
  </w:num>
  <w:num w:numId="15" w16cid:durableId="1236552672">
    <w:abstractNumId w:val="11"/>
  </w:num>
  <w:num w:numId="16" w16cid:durableId="94444181">
    <w:abstractNumId w:val="10"/>
  </w:num>
  <w:num w:numId="17" w16cid:durableId="14889825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EE"/>
    <w:rsid w:val="00017F94"/>
    <w:rsid w:val="00023842"/>
    <w:rsid w:val="000334F9"/>
    <w:rsid w:val="00045FEB"/>
    <w:rsid w:val="0007796D"/>
    <w:rsid w:val="000B7790"/>
    <w:rsid w:val="000E1E7D"/>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933EA"/>
    <w:rsid w:val="004E2EED"/>
    <w:rsid w:val="004E468C"/>
    <w:rsid w:val="005505B7"/>
    <w:rsid w:val="00573BE5"/>
    <w:rsid w:val="00586ED3"/>
    <w:rsid w:val="00596AA9"/>
    <w:rsid w:val="0071601D"/>
    <w:rsid w:val="007A62E6"/>
    <w:rsid w:val="007F20FA"/>
    <w:rsid w:val="0080684C"/>
    <w:rsid w:val="00823EEE"/>
    <w:rsid w:val="00871C75"/>
    <w:rsid w:val="008776DC"/>
    <w:rsid w:val="008D5EF9"/>
    <w:rsid w:val="009446C0"/>
    <w:rsid w:val="009705C8"/>
    <w:rsid w:val="009C1CF4"/>
    <w:rsid w:val="009F6B74"/>
    <w:rsid w:val="00A3029F"/>
    <w:rsid w:val="00A30353"/>
    <w:rsid w:val="00A51FBA"/>
    <w:rsid w:val="00AC3823"/>
    <w:rsid w:val="00AE323C"/>
    <w:rsid w:val="00AF0CB5"/>
    <w:rsid w:val="00AF58B2"/>
    <w:rsid w:val="00B00181"/>
    <w:rsid w:val="00B00B0D"/>
    <w:rsid w:val="00B45F2E"/>
    <w:rsid w:val="00B75DF2"/>
    <w:rsid w:val="00B765F7"/>
    <w:rsid w:val="00B77993"/>
    <w:rsid w:val="00B937B6"/>
    <w:rsid w:val="00BA0CA9"/>
    <w:rsid w:val="00BB063C"/>
    <w:rsid w:val="00BC39D9"/>
    <w:rsid w:val="00C02897"/>
    <w:rsid w:val="00C97039"/>
    <w:rsid w:val="00D3439C"/>
    <w:rsid w:val="00D7622E"/>
    <w:rsid w:val="00D90D66"/>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B33D"/>
  <w15:docId w15:val="{B0707E82-CC61-405E-95C0-97E85754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BB063C"/>
    <w:rPr>
      <w:rFonts w:ascii="Times New Roman" w:eastAsiaTheme="minorHAnsi" w:hAnsi="Times New Roman" w:cs="Times New Roman"/>
      <w:sz w:val="20"/>
      <w:szCs w:val="20"/>
      <w:lang w:eastAsia="en-US"/>
    </w:rPr>
  </w:style>
  <w:style w:type="character" w:customStyle="1" w:styleId="HChGChar">
    <w:name w:val="_ H _Ch_G Char"/>
    <w:link w:val="HChG"/>
    <w:rsid w:val="00BB063C"/>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0E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25%203A32005R0037"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54D8F-497F-45C5-86C2-98B9AE55FD00}"/>
</file>

<file path=customXml/itemProps2.xml><?xml version="1.0" encoding="utf-8"?>
<ds:datastoreItem xmlns:ds="http://schemas.openxmlformats.org/officeDocument/2006/customXml" ds:itemID="{23B27386-CDB3-4B67-A44E-924AC76A0F0B}"/>
</file>

<file path=docProps/app.xml><?xml version="1.0" encoding="utf-8"?>
<Properties xmlns="http://schemas.openxmlformats.org/officeDocument/2006/extended-properties" xmlns:vt="http://schemas.openxmlformats.org/officeDocument/2006/docPropsVTypes">
  <Template>ECE_TRANS.dotm</Template>
  <TotalTime>2</TotalTime>
  <Pages>3</Pages>
  <Words>1074</Words>
  <Characters>6339</Characters>
  <Application>Microsoft Office Word</Application>
  <DocSecurity>0</DocSecurity>
  <Lines>123</Lines>
  <Paragraphs>54</Paragraphs>
  <ScaleCrop>false</ScaleCrop>
  <HeadingPairs>
    <vt:vector size="2" baseType="variant">
      <vt:variant>
        <vt:lpstr>Titre</vt:lpstr>
      </vt:variant>
      <vt:variant>
        <vt:i4>1</vt:i4>
      </vt:variant>
    </vt:vector>
  </HeadingPairs>
  <TitlesOfParts>
    <vt:vector size="1" baseType="lpstr">
      <vt:lpstr>ECE/TRANS/WP.11/2023/17</vt:lpstr>
    </vt:vector>
  </TitlesOfParts>
  <Company>DCM</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ECE/TRANS/WP.11/2023/17</dc:title>
  <dc:subject/>
  <dc:creator>Christine CHAUTAGNAT</dc:creator>
  <cp:keywords/>
  <cp:lastModifiedBy>Christine Chautagnat</cp:lastModifiedBy>
  <cp:revision>3</cp:revision>
  <cp:lastPrinted>2023-09-05T05:44:00Z</cp:lastPrinted>
  <dcterms:created xsi:type="dcterms:W3CDTF">2023-09-05T05:44:00Z</dcterms:created>
  <dcterms:modified xsi:type="dcterms:W3CDTF">2023-09-05T05:45:00Z</dcterms:modified>
</cp:coreProperties>
</file>