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FAE4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2C45B1" w14:textId="77777777" w:rsidR="002D5AAC" w:rsidRDefault="002D5AAC" w:rsidP="00B04A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7A70C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44E467" w14:textId="68BC553D" w:rsidR="002D5AAC" w:rsidRDefault="00B04AB9" w:rsidP="00B04AB9">
            <w:pPr>
              <w:jc w:val="right"/>
            </w:pPr>
            <w:r w:rsidRPr="00B04AB9">
              <w:rPr>
                <w:sz w:val="40"/>
              </w:rPr>
              <w:t>ECE</w:t>
            </w:r>
            <w:r>
              <w:t>/TRANS/WP.11/250/Add.1</w:t>
            </w:r>
          </w:p>
        </w:tc>
      </w:tr>
      <w:tr w:rsidR="002D5AAC" w:rsidRPr="00DB7643" w14:paraId="140753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24004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97A39D" wp14:editId="4E6CA76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2BF43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C460E90" w14:textId="77777777" w:rsidR="002D5AAC" w:rsidRDefault="00B04A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65F9E1" w14:textId="77777777" w:rsidR="00B04AB9" w:rsidRDefault="00B04AB9" w:rsidP="00B04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August 2023</w:t>
            </w:r>
          </w:p>
          <w:p w14:paraId="3B91AAE4" w14:textId="77777777" w:rsidR="00B04AB9" w:rsidRDefault="00B04AB9" w:rsidP="00B04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45D4F3" w14:textId="197479A9" w:rsidR="00B04AB9" w:rsidRPr="008D53B6" w:rsidRDefault="00B04AB9" w:rsidP="00B04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2404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FCC6BA" w14:textId="77777777" w:rsidR="00B04AB9" w:rsidRPr="006D0AF6" w:rsidRDefault="00B04AB9" w:rsidP="00B04AB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9607009" w14:textId="77777777" w:rsidR="00B04AB9" w:rsidRPr="006D0AF6" w:rsidRDefault="00B04AB9" w:rsidP="00B04AB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63B6F864" w14:textId="77777777" w:rsidR="00B04AB9" w:rsidRPr="006D0AF6" w:rsidRDefault="00B04AB9" w:rsidP="00B04AB9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7D63ED1D" w14:textId="77777777" w:rsidR="00B04AB9" w:rsidRPr="006D0AF6" w:rsidRDefault="00B04AB9" w:rsidP="00B04AB9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7D8C7B1A" w14:textId="77777777" w:rsidR="00B04AB9" w:rsidRDefault="00B04AB9" w:rsidP="00B04AB9">
      <w:r>
        <w:t>Пункт 1 предварительной повестки дня</w:t>
      </w:r>
    </w:p>
    <w:p w14:paraId="115B812B" w14:textId="77777777" w:rsidR="00B04AB9" w:rsidRPr="0067090D" w:rsidRDefault="00B04AB9" w:rsidP="00B04AB9">
      <w:pPr>
        <w:jc w:val="both"/>
        <w:rPr>
          <w:b/>
        </w:rPr>
      </w:pPr>
      <w:r>
        <w:rPr>
          <w:b/>
          <w:bCs/>
        </w:rPr>
        <w:t>Утверждение повестки дня</w:t>
      </w:r>
    </w:p>
    <w:p w14:paraId="7E7717AC" w14:textId="77777777" w:rsidR="00B04AB9" w:rsidRDefault="00B04AB9" w:rsidP="00B04AB9">
      <w:pPr>
        <w:pStyle w:val="HChG"/>
      </w:pPr>
      <w:r>
        <w:tab/>
      </w:r>
      <w:r>
        <w:tab/>
      </w:r>
      <w:r w:rsidRPr="00B04AB9">
        <w:t>Предварительная</w:t>
      </w:r>
      <w:r>
        <w:t xml:space="preserve"> повестка дня восьмидесятой сессии</w:t>
      </w:r>
    </w:p>
    <w:p w14:paraId="39D42582" w14:textId="77777777" w:rsidR="00B04AB9" w:rsidRDefault="00B04AB9" w:rsidP="00B04AB9">
      <w:pPr>
        <w:pStyle w:val="H23G"/>
      </w:pPr>
      <w:r>
        <w:tab/>
      </w:r>
      <w:r>
        <w:tab/>
      </w:r>
      <w:r w:rsidRPr="00B04AB9">
        <w:t>Добавление</w:t>
      </w:r>
    </w:p>
    <w:p w14:paraId="1AAFC82B" w14:textId="77777777" w:rsidR="00B04AB9" w:rsidRDefault="00B04AB9" w:rsidP="00B04AB9">
      <w:pPr>
        <w:pStyle w:val="HChG"/>
      </w:pPr>
      <w:r>
        <w:tab/>
      </w:r>
      <w:r>
        <w:tab/>
      </w:r>
      <w:r>
        <w:rPr>
          <w:bCs/>
        </w:rPr>
        <w:t>Аннотации</w:t>
      </w:r>
    </w:p>
    <w:p w14:paraId="649EC839" w14:textId="4F10118C" w:rsidR="00B04AB9" w:rsidRDefault="00B04AB9" w:rsidP="00B04AB9">
      <w:pPr>
        <w:pStyle w:val="H1G"/>
      </w:pPr>
      <w:r>
        <w:tab/>
        <w:t>1.</w:t>
      </w:r>
      <w:r>
        <w:tab/>
      </w:r>
      <w:r w:rsidRPr="00B04AB9">
        <w:t>Утверждение</w:t>
      </w:r>
      <w:r>
        <w:t xml:space="preserve"> повестки дня</w:t>
      </w:r>
    </w:p>
    <w:p w14:paraId="3A743229" w14:textId="77777777" w:rsidR="00B04AB9" w:rsidRDefault="00B04AB9" w:rsidP="00B04AB9">
      <w:pPr>
        <w:pStyle w:val="SingleTxtG"/>
        <w:ind w:firstLine="567"/>
      </w:pPr>
      <w:r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16B5279D" w14:textId="27320849" w:rsidR="00B04AB9" w:rsidRDefault="00B04AB9" w:rsidP="00B04AB9">
      <w:pPr>
        <w:pStyle w:val="H1G"/>
      </w:pPr>
      <w:r>
        <w:tab/>
        <w:t>2.</w:t>
      </w:r>
      <w:r>
        <w:tab/>
        <w:t>Деятельность органов ЕЭК, представляющая интерес для Рабочей группы</w:t>
      </w:r>
    </w:p>
    <w:p w14:paraId="3EBD67E9" w14:textId="0EA0372F" w:rsidR="00B04AB9" w:rsidRDefault="00B04AB9" w:rsidP="00B04AB9">
      <w:pPr>
        <w:pStyle w:val="H23G"/>
      </w:pPr>
      <w:r>
        <w:tab/>
        <w:t>a)</w:t>
      </w:r>
      <w:r>
        <w:tab/>
        <w:t>Комитет по внутреннему транспорту</w:t>
      </w:r>
    </w:p>
    <w:p w14:paraId="03482021" w14:textId="0007A1CB" w:rsidR="00B04AB9" w:rsidRDefault="00B04AB9" w:rsidP="00B04AB9">
      <w:pPr>
        <w:pStyle w:val="SingleTxtG"/>
        <w:ind w:firstLine="567"/>
      </w:pPr>
      <w:r>
        <w:t xml:space="preserve">Рабочей группе предлагается принять к сведению пункты 118–120 доклада о работе восемьдесят пятой сессии Комитета по внутреннему транспорту (КВТ) </w:t>
      </w:r>
      <w:r w:rsidR="00132830">
        <w:br/>
      </w:r>
      <w:r>
        <w:t>(21–24 февраля 2023 года) (ECE/TRANS/328).</w:t>
      </w:r>
    </w:p>
    <w:p w14:paraId="0105343C" w14:textId="77777777" w:rsidR="00B04AB9" w:rsidRDefault="00B04AB9" w:rsidP="00B04AB9">
      <w:pPr>
        <w:pStyle w:val="SingleTxtG"/>
        <w:ind w:firstLine="567"/>
      </w:pPr>
      <w:r>
        <w:t>Рабочей группе также предлагается принять к сведению приложение I к документу ECE/TRANS/328, в котором содержится министерская декларация, озаглавленная «Задействование всего потенциала решений в области внутреннего транспорта в глобальной борьбе с изменением климата».</w:t>
      </w:r>
    </w:p>
    <w:p w14:paraId="3FB195A6" w14:textId="0016D43E" w:rsidR="00B04AB9" w:rsidRPr="00CA24F8" w:rsidRDefault="00B04AB9" w:rsidP="00B04AB9">
      <w:pPr>
        <w:pStyle w:val="H23G"/>
      </w:pPr>
      <w:r>
        <w:tab/>
      </w:r>
      <w:r>
        <w:tab/>
        <w:t xml:space="preserve">Разработка стратегии КВТ по сокращению выбросов парниковых газов </w:t>
      </w:r>
      <w:r>
        <w:br/>
        <w:t>на внутреннем транспорте</w:t>
      </w:r>
    </w:p>
    <w:p w14:paraId="1AC6E674" w14:textId="77777777" w:rsidR="00B04AB9" w:rsidRPr="00CA24F8" w:rsidRDefault="00B04AB9" w:rsidP="00B04AB9">
      <w:pPr>
        <w:pStyle w:val="SingleTxtG"/>
        <w:ind w:firstLine="567"/>
      </w:pPr>
      <w:r>
        <w:t>Рабочая группа, возможно, пожелает обсудить сообщение секретариата КВТ (неофициальный документ INF.3).</w:t>
      </w:r>
    </w:p>
    <w:p w14:paraId="5B83BF1D" w14:textId="77777777" w:rsidR="00B04AB9" w:rsidRPr="00266004" w:rsidRDefault="00B04AB9" w:rsidP="00B04AB9">
      <w:pPr>
        <w:pStyle w:val="H23G"/>
      </w:pPr>
      <w:r>
        <w:tab/>
        <w:t>b)</w:t>
      </w:r>
      <w:r>
        <w:tab/>
        <w:t xml:space="preserve">Рабочая группа по </w:t>
      </w:r>
      <w:r w:rsidRPr="00B04AB9">
        <w:t>сельскохозяйственным</w:t>
      </w:r>
      <w:r>
        <w:t xml:space="preserve"> стандартам качества (WP.7)</w:t>
      </w:r>
    </w:p>
    <w:p w14:paraId="6847A69B" w14:textId="77777777" w:rsidR="00B04AB9" w:rsidRPr="00975E7E" w:rsidRDefault="00B04AB9" w:rsidP="00B04AB9">
      <w:pPr>
        <w:pStyle w:val="SingleTxtG"/>
        <w:ind w:firstLine="360"/>
      </w:pPr>
      <w:r>
        <w:t>Для WP.11 представляют интерес следующие мероприятия Рабочей группы по сельскохозяйстве</w:t>
      </w:r>
      <w:r w:rsidRPr="00975E7E">
        <w:t>нным стандартам качества (WP.7):</w:t>
      </w:r>
    </w:p>
    <w:p w14:paraId="1FCF77CE" w14:textId="77777777" w:rsidR="00B04AB9" w:rsidRPr="00975E7E" w:rsidRDefault="00EE31AE" w:rsidP="00132830">
      <w:pPr>
        <w:pStyle w:val="Bullet1G"/>
      </w:pPr>
      <w:hyperlink r:id="rId8" w:history="1">
        <w:r w:rsidR="00B04AB9" w:rsidRPr="00975E7E">
          <w:t>тридцать первая сессия Специализированной секции по разработке стандартов на мясо (GE.11), 28–29 августа 2023 года, Женева, Швейцария;</w:t>
        </w:r>
      </w:hyperlink>
    </w:p>
    <w:p w14:paraId="7533D819" w14:textId="77777777" w:rsidR="00B04AB9" w:rsidRPr="00975E7E" w:rsidRDefault="00EE31AE" w:rsidP="00132830">
      <w:pPr>
        <w:pStyle w:val="Bullet1G"/>
      </w:pPr>
      <w:hyperlink r:id="rId9" w:history="1">
        <w:r w:rsidR="00B04AB9" w:rsidRPr="00975E7E">
          <w:t>семьдесят восьмая сессия Рабочей группы по сельскохозяйственным стандартам качества (WP.7), 13–15 ноября 2023 года, Женева, Швейцария.</w:t>
        </w:r>
      </w:hyperlink>
    </w:p>
    <w:p w14:paraId="60F6351C" w14:textId="0A8EA2FC" w:rsidR="00B04AB9" w:rsidRPr="00266004" w:rsidRDefault="00B04AB9" w:rsidP="00B04AB9">
      <w:pPr>
        <w:pStyle w:val="SingleTxtG"/>
        <w:ind w:firstLine="567"/>
        <w:rPr>
          <w:spacing w:val="-3"/>
        </w:rPr>
      </w:pPr>
      <w:r>
        <w:t xml:space="preserve">С новейшим инструментом ЕЭК ООН по борьбе с продовольственными потерями и пищевыми отходами можно ознакомиться по адресу </w:t>
      </w:r>
      <w:hyperlink r:id="rId10" w:history="1">
        <w:r w:rsidR="00132830" w:rsidRPr="005374F1">
          <w:rPr>
            <w:rStyle w:val="af1"/>
          </w:rPr>
          <w:t>https://unece.org/trade/wp7/food-loss-and-waste</w:t>
        </w:r>
      </w:hyperlink>
      <w:r>
        <w:t>.</w:t>
      </w:r>
    </w:p>
    <w:p w14:paraId="60606117" w14:textId="25F037C0" w:rsidR="00B04AB9" w:rsidRPr="00266004" w:rsidRDefault="00B04AB9" w:rsidP="00B04AB9">
      <w:pPr>
        <w:pStyle w:val="SingleTxtG"/>
        <w:ind w:firstLine="567"/>
        <w:rPr>
          <w:spacing w:val="-3"/>
        </w:rPr>
      </w:pPr>
      <w:r>
        <w:t xml:space="preserve">Для получения более подробной информации об этих и других мероприятиях см. веб-сайт WP.7: </w:t>
      </w:r>
      <w:hyperlink r:id="rId11" w:history="1">
        <w:r w:rsidR="00132830" w:rsidRPr="005374F1">
          <w:rPr>
            <w:rStyle w:val="af1"/>
          </w:rPr>
          <w:t>https://unece.org/trade/working-party-agricultural-quality-standards-wp7</w:t>
        </w:r>
      </w:hyperlink>
      <w:r>
        <w:t>.</w:t>
      </w:r>
    </w:p>
    <w:p w14:paraId="6C799B1A" w14:textId="77777777" w:rsidR="00B04AB9" w:rsidRPr="00FC56FA" w:rsidRDefault="00B04AB9" w:rsidP="00B04AB9">
      <w:pPr>
        <w:pStyle w:val="H1G"/>
      </w:pPr>
      <w:r>
        <w:tab/>
        <w:t>3.</w:t>
      </w:r>
      <w:r>
        <w:tab/>
        <w:t xml:space="preserve">Деятельность других международных организаций, занимающихся вопросами, которые </w:t>
      </w:r>
      <w:r w:rsidRPr="00B04AB9">
        <w:t>представляют</w:t>
      </w:r>
      <w:r>
        <w:t xml:space="preserve"> интерес для Рабочей группы</w:t>
      </w:r>
    </w:p>
    <w:p w14:paraId="104015EE" w14:textId="77777777" w:rsidR="00B04AB9" w:rsidRPr="00B04AB9" w:rsidRDefault="00B04AB9" w:rsidP="00B04AB9">
      <w:pPr>
        <w:pStyle w:val="H23G"/>
      </w:pPr>
      <w:r>
        <w:tab/>
        <w:t>a)</w:t>
      </w:r>
      <w:r>
        <w:tab/>
        <w:t>Международный институт холода (МИХ)</w:t>
      </w:r>
    </w:p>
    <w:p w14:paraId="05960B14" w14:textId="77777777" w:rsidR="00B04AB9" w:rsidRPr="00FC56FA" w:rsidRDefault="00B04AB9" w:rsidP="00B04AB9">
      <w:pPr>
        <w:pStyle w:val="SingleTxtG"/>
        <w:ind w:firstLine="567"/>
      </w:pPr>
      <w:r>
        <w:t>Рабочая группа будет проинформирована о результатах совещания Подкомиссии МИХ по перевозкам холодильным транспортом, которое проходило в городе Селца, Словения, 18–19 апреля 2023 года (неофициальный документ INF.2).</w:t>
      </w:r>
    </w:p>
    <w:p w14:paraId="6833B9E8" w14:textId="77777777" w:rsidR="00B04AB9" w:rsidRPr="00FC56FA" w:rsidRDefault="00B04AB9" w:rsidP="00B04AB9">
      <w:pPr>
        <w:pStyle w:val="H23G"/>
      </w:pPr>
      <w:r>
        <w:tab/>
        <w:t>b)</w:t>
      </w:r>
      <w:r>
        <w:tab/>
        <w:t xml:space="preserve">«Трансфригорут </w:t>
      </w:r>
      <w:r w:rsidRPr="00B04AB9">
        <w:t>интернэшнл</w:t>
      </w:r>
      <w:r>
        <w:t>»</w:t>
      </w:r>
    </w:p>
    <w:p w14:paraId="236FE99A" w14:textId="77777777" w:rsidR="00B04AB9" w:rsidRPr="00FC56FA" w:rsidRDefault="00B04AB9" w:rsidP="00B04AB9">
      <w:pPr>
        <w:pStyle w:val="SingleTxtG"/>
        <w:ind w:firstLine="567"/>
      </w:pPr>
      <w:r>
        <w:t>Представителю «Трансфригорут интернэшнл» предлагается сообщить о деятельности этой федерации за последнее время.</w:t>
      </w:r>
    </w:p>
    <w:p w14:paraId="17617723" w14:textId="77777777" w:rsidR="00B04AB9" w:rsidRPr="00FC56FA" w:rsidRDefault="00B04AB9" w:rsidP="00B04AB9">
      <w:pPr>
        <w:pStyle w:val="H23G"/>
      </w:pPr>
      <w:r>
        <w:tab/>
        <w:t>c)</w:t>
      </w:r>
      <w:r>
        <w:tab/>
        <w:t xml:space="preserve">Организации по </w:t>
      </w:r>
      <w:r w:rsidRPr="00B04AB9">
        <w:t>стандартизации</w:t>
      </w:r>
    </w:p>
    <w:p w14:paraId="11244A6A" w14:textId="77777777" w:rsidR="00B04AB9" w:rsidRPr="00FC56FA" w:rsidRDefault="00B04AB9" w:rsidP="00B04AB9">
      <w:pPr>
        <w:pStyle w:val="SingleTxtG"/>
        <w:ind w:firstLine="567"/>
      </w:pPr>
      <w:r>
        <w:t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об ожидаемом влиянии этих стандартов на СПС.</w:t>
      </w:r>
    </w:p>
    <w:p w14:paraId="38479009" w14:textId="77777777" w:rsidR="00B04AB9" w:rsidRPr="00867E93" w:rsidRDefault="00B04AB9" w:rsidP="00B04AB9">
      <w:pPr>
        <w:pStyle w:val="H1G"/>
      </w:pPr>
      <w:r>
        <w:tab/>
        <w:t>4.</w:t>
      </w:r>
      <w:r>
        <w:tab/>
        <w:t xml:space="preserve">Статус и осуществление Соглашения о международных </w:t>
      </w:r>
      <w:r w:rsidRPr="00B04AB9">
        <w:t>перевозках</w:t>
      </w:r>
      <w:r>
        <w:t xml:space="preserve"> скоропортящихся пищевых продуктов и о специальных транспортных средствах, предназначенных для этих перевозок (СПС)</w:t>
      </w:r>
    </w:p>
    <w:p w14:paraId="2C6D86B5" w14:textId="77777777" w:rsidR="00B04AB9" w:rsidRPr="00867E93" w:rsidRDefault="00B04AB9" w:rsidP="00B04AB9">
      <w:pPr>
        <w:pStyle w:val="H23G"/>
      </w:pPr>
      <w:r>
        <w:tab/>
        <w:t>a)</w:t>
      </w:r>
      <w:r>
        <w:tab/>
        <w:t xml:space="preserve">Состояние </w:t>
      </w:r>
      <w:r w:rsidRPr="00B04AB9">
        <w:t>применения</w:t>
      </w:r>
      <w:r>
        <w:t xml:space="preserve"> Соглашения</w:t>
      </w:r>
    </w:p>
    <w:p w14:paraId="00D594A4" w14:textId="77777777" w:rsidR="00B04AB9" w:rsidRPr="00867E93" w:rsidRDefault="00B04AB9" w:rsidP="00B04AB9">
      <w:pPr>
        <w:pStyle w:val="SingleTxtG"/>
        <w:ind w:firstLine="567"/>
      </w:pPr>
      <w:r>
        <w:t>За период, прошедший после прошлой сессии, к СПС не присоединилось ни одной новой страны, поэтому число Договаривающихся сторон по-прежнему составляет 52.</w:t>
      </w:r>
    </w:p>
    <w:p w14:paraId="1CB4049D" w14:textId="77777777" w:rsidR="00B04AB9" w:rsidRPr="00B04AB9" w:rsidRDefault="00B04AB9" w:rsidP="00B04AB9">
      <w:pPr>
        <w:pStyle w:val="H23G"/>
      </w:pPr>
      <w:r>
        <w:tab/>
        <w:t>b)</w:t>
      </w:r>
      <w:r>
        <w:tab/>
        <w:t>Состояние поправок</w:t>
      </w:r>
    </w:p>
    <w:p w14:paraId="4121B4E2" w14:textId="0B97980C" w:rsidR="00B04AB9" w:rsidRPr="001F42FE" w:rsidRDefault="00B04AB9" w:rsidP="00B04AB9">
      <w:pPr>
        <w:pStyle w:val="SingleTxtG"/>
        <w:ind w:firstLine="567"/>
      </w:pPr>
      <w:r>
        <w:t xml:space="preserve">Предложенные поправки к СПС, которые были приняты WP.11 на ее семьдесят седьмой, семьдесят восьмой и семьдесят девятой сессиях, состоявшихся в Женеве </w:t>
      </w:r>
      <w:r w:rsidR="00132830">
        <w:br/>
      </w:r>
      <w:r>
        <w:t>26–29 октября 2021 года, 3–6 мая 2022 года и 25–28 октября 2022 года, и которые содержатся в приложении к докладу ECE/TRANS/WP.11/245, приложении II к докладу ECE/TRANS/WP.11/247 и приложении II к докладу ECE/TRANS/WP.11/249, были доведены до сведения Договаривающихся сторон СПС Договорной секцией Организации Объединенных Наций 3 февраля 2023 года (уведомление депозитария C.N.30.2023.TREATIES-XI.B.22).</w:t>
      </w:r>
    </w:p>
    <w:p w14:paraId="452509C5" w14:textId="77777777" w:rsidR="00B04AB9" w:rsidRPr="001F42FE" w:rsidRDefault="00B04AB9" w:rsidP="00B04AB9">
      <w:pPr>
        <w:pStyle w:val="SingleTxtG"/>
        <w:ind w:firstLine="567"/>
      </w:pPr>
      <w:r>
        <w:t xml:space="preserve">В соответствии с пунктом 2 b) статьи 18 СПС 30 марта 2023 года правительство Германии проинформировало Генерального секретаря о том, что, хотя оно и намерено принять эти предложения, условия их принятия пока не выполнены (C.N.101.2023.TREATIES-XI.B.22). Поэтому поправки, принятые на сессиях WP.11 в 2021 и 2022 годах, будут считаться принятыми только в том случае, если до истечения </w:t>
      </w:r>
      <w:r>
        <w:lastRenderedPageBreak/>
        <w:t>девятимесячного срока после первоначального шестимесячного периода уведомления правительство Германии не представит возражений против предложенных поправок.</w:t>
      </w:r>
    </w:p>
    <w:p w14:paraId="38F4AD9F" w14:textId="77777777" w:rsidR="00B04AB9" w:rsidRPr="00D77AF0" w:rsidRDefault="00B04AB9" w:rsidP="00B04AB9">
      <w:pPr>
        <w:pStyle w:val="H23G"/>
      </w:pPr>
      <w:r>
        <w:tab/>
        <w:t>c)</w:t>
      </w:r>
      <w:r>
        <w:tab/>
        <w:t xml:space="preserve">Испытательные станции, официально </w:t>
      </w:r>
      <w:r w:rsidRPr="00B04AB9">
        <w:t>назначаемые</w:t>
      </w:r>
      <w:r>
        <w:t xml:space="preserve"> компетентными органами стран — участниц СПС</w:t>
      </w:r>
    </w:p>
    <w:p w14:paraId="1DB58B8C" w14:textId="2A83AEC6" w:rsidR="00B04AB9" w:rsidRPr="00D77AF0" w:rsidRDefault="00B04AB9" w:rsidP="00B04AB9">
      <w:pPr>
        <w:pStyle w:val="SingleTxtG"/>
        <w:ind w:firstLine="567"/>
      </w:pPr>
      <w:r>
        <w:t xml:space="preserve">Нынешний перечень официально назначенных испытательных станций доступен по адресу: </w:t>
      </w:r>
      <w:hyperlink r:id="rId12" w:history="1">
        <w:r w:rsidRPr="005374F1">
          <w:rPr>
            <w:rStyle w:val="af1"/>
          </w:rPr>
          <w:t>https://unece.org/atp-competent-authorities-and-testing-stations</w:t>
        </w:r>
      </w:hyperlink>
      <w:r>
        <w:t>.</w:t>
      </w:r>
    </w:p>
    <w:p w14:paraId="58B74B15" w14:textId="77777777" w:rsidR="00B04AB9" w:rsidRPr="00A7507C" w:rsidRDefault="00B04AB9" w:rsidP="00B04AB9">
      <w:pPr>
        <w:pStyle w:val="H23G"/>
      </w:pPr>
      <w:r>
        <w:tab/>
        <w:t>d)</w:t>
      </w:r>
      <w:r>
        <w:tab/>
        <w:t xml:space="preserve">Обмен информацией между Сторонами в соответствии со </w:t>
      </w:r>
      <w:r w:rsidRPr="00B04AB9">
        <w:t>статьей</w:t>
      </w:r>
      <w:r>
        <w:t xml:space="preserve"> 6 СПС</w:t>
      </w:r>
    </w:p>
    <w:p w14:paraId="0AC83A93" w14:textId="77777777" w:rsidR="00B04AB9" w:rsidRPr="00A7507C" w:rsidRDefault="00B04AB9" w:rsidP="00B04AB9">
      <w:pPr>
        <w:pStyle w:val="SingleTxtG"/>
        <w:ind w:firstLine="567"/>
      </w:pPr>
      <w:r>
        <w:t xml:space="preserve">На своей семьдесят девятой сессии WP.11 поблагодарила 21 страну, представившую данные в ответ на вопросник об осуществлении СПС в 2021 году, подчеркнув необходимость в обязательном порядке располагать информацией от всех Договаривающихся сторон СПС и тот факт, что такая информация служит одним из средств согласования усилий по осуществлению Соглашения. </w:t>
      </w:r>
    </w:p>
    <w:p w14:paraId="3E7BD9FE" w14:textId="77777777" w:rsidR="00B04AB9" w:rsidRPr="00A7507C" w:rsidRDefault="00B04AB9" w:rsidP="00B04AB9">
      <w:pPr>
        <w:pStyle w:val="SingleTxtG"/>
        <w:ind w:firstLine="567"/>
      </w:pPr>
      <w:r>
        <w:t>Информация, полученная за 2022 год, представлена в документе ECE/TRANS/WP.11/2023/1.</w:t>
      </w:r>
    </w:p>
    <w:p w14:paraId="3066AEC8" w14:textId="78D62C73" w:rsidR="00B04AB9" w:rsidRPr="00A7507C" w:rsidRDefault="00B04AB9" w:rsidP="00B04AB9">
      <w:pPr>
        <w:pStyle w:val="SingleTxtG"/>
        <w:ind w:firstLine="567"/>
      </w:pPr>
      <w:r>
        <w:t xml:space="preserve">По поручению Рабочей группы, высказанному в ходе ее семьдесят третьей сессии, секретариат направил всем Договаривающимся сторонам письмо с просьбой выполнять свои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станций. Вся информация, поступившая в секретариат, включена в перечень компетентных органов и официально назначаемых испытательных станций, размещенный по следующему адресу </w:t>
      </w:r>
      <w:hyperlink r:id="rId13" w:history="1">
        <w:r w:rsidR="00132830" w:rsidRPr="005374F1">
          <w:rPr>
            <w:rStyle w:val="af1"/>
          </w:rPr>
          <w:t>https://unece.org/atp-competent-authorities-and-testing-stations</w:t>
        </w:r>
      </w:hyperlink>
      <w:r>
        <w:t>.</w:t>
      </w:r>
    </w:p>
    <w:p w14:paraId="6E4BE966" w14:textId="77777777" w:rsidR="00B04AB9" w:rsidRPr="000D1B40" w:rsidRDefault="00B04AB9" w:rsidP="00B04AB9">
      <w:pPr>
        <w:pStyle w:val="H23G"/>
      </w:pPr>
      <w:r>
        <w:tab/>
        <w:t>e)</w:t>
      </w:r>
      <w:r>
        <w:tab/>
        <w:t xml:space="preserve">Обмен передовой практикой для более </w:t>
      </w:r>
      <w:r w:rsidRPr="00B04AB9">
        <w:t>эффективного</w:t>
      </w:r>
      <w:r>
        <w:t xml:space="preserve"> осуществления СПС</w:t>
      </w:r>
    </w:p>
    <w:p w14:paraId="7145D77A" w14:textId="77777777" w:rsidR="00B04AB9" w:rsidRDefault="00B04AB9" w:rsidP="00B04AB9">
      <w:pPr>
        <w:pStyle w:val="H23G"/>
      </w:pPr>
      <w:r>
        <w:tab/>
      </w:r>
      <w:r>
        <w:tab/>
        <w:t>Руководство по передовой практике монтажа встраиваемого и/или оснащенного дефлектором термического оборудования, а также термического оборудования на подрамной конструкции или термического оборудования, допускающего возможность его смещения</w:t>
      </w:r>
    </w:p>
    <w:p w14:paraId="1F68530A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Франции (ECE/TRANS/WP.11/2023/2).</w:t>
      </w:r>
    </w:p>
    <w:p w14:paraId="004679E2" w14:textId="58E4FAA8" w:rsidR="00B04AB9" w:rsidRDefault="00B04AB9" w:rsidP="00B04AB9">
      <w:pPr>
        <w:pStyle w:val="H23G"/>
      </w:pPr>
      <w:r>
        <w:tab/>
      </w:r>
      <w:r>
        <w:tab/>
        <w:t>Руководство по оформлению заявления о соответствии (пункт 7.3.6 добавления</w:t>
      </w:r>
      <w:r>
        <w:rPr>
          <w:lang w:val="en-US"/>
        </w:rPr>
        <w:t> </w:t>
      </w:r>
      <w:r>
        <w:t>2 к приложению 1) и определению параметров многокамерных транспортных средств с мультитемпературным режимом (</w:t>
      </w:r>
      <w:r w:rsidRPr="00B04AB9">
        <w:t>МКМТ</w:t>
      </w:r>
      <w:r>
        <w:t>): Использование инструментария для определения параметров транспортных средств с мультитемпературным режимом в конкретных случаях</w:t>
      </w:r>
    </w:p>
    <w:p w14:paraId="2ABE7F03" w14:textId="77777777" w:rsidR="00B04AB9" w:rsidRPr="005A3C3E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Франции (ECE/TRANS/WP.11/2023/6).</w:t>
      </w:r>
    </w:p>
    <w:p w14:paraId="691B5A80" w14:textId="0599D13B" w:rsidR="00B04AB9" w:rsidRPr="00262D61" w:rsidRDefault="00B04AB9" w:rsidP="00B04AB9">
      <w:pPr>
        <w:pStyle w:val="H23G"/>
      </w:pPr>
      <w:r>
        <w:tab/>
        <w:t>f)</w:t>
      </w:r>
      <w:r>
        <w:tab/>
        <w:t xml:space="preserve">Толкование </w:t>
      </w:r>
      <w:r w:rsidRPr="00B04AB9">
        <w:t>СПС</w:t>
      </w:r>
    </w:p>
    <w:p w14:paraId="596BC281" w14:textId="77777777" w:rsidR="00B04AB9" w:rsidRPr="00262D61" w:rsidRDefault="00B04AB9" w:rsidP="00B04AB9">
      <w:pPr>
        <w:pStyle w:val="H23G"/>
      </w:pPr>
      <w:r>
        <w:tab/>
      </w:r>
      <w:r>
        <w:tab/>
        <w:t xml:space="preserve">Вопросы, касающиеся </w:t>
      </w:r>
      <w:r w:rsidRPr="00B04AB9">
        <w:t>толкования</w:t>
      </w:r>
    </w:p>
    <w:p w14:paraId="1611BF2F" w14:textId="77777777" w:rsidR="00B04AB9" w:rsidRPr="00262D61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Финляндии (ECE/TRANS/WP.11/2023/9).</w:t>
      </w:r>
    </w:p>
    <w:p w14:paraId="41E02C44" w14:textId="77777777" w:rsidR="00B04AB9" w:rsidRPr="00262D61" w:rsidRDefault="00B04AB9" w:rsidP="00B04AB9">
      <w:pPr>
        <w:pStyle w:val="SingleTxtG"/>
        <w:ind w:firstLine="567"/>
      </w:pPr>
      <w:r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500EFD66" w14:textId="77777777" w:rsidR="00B04AB9" w:rsidRPr="007E2757" w:rsidRDefault="00B04AB9" w:rsidP="00B04AB9">
      <w:pPr>
        <w:pStyle w:val="H1G"/>
      </w:pPr>
      <w:r>
        <w:lastRenderedPageBreak/>
        <w:tab/>
        <w:t>5.</w:t>
      </w:r>
      <w:r>
        <w:tab/>
        <w:t xml:space="preserve">Предложения по </w:t>
      </w:r>
      <w:r w:rsidRPr="00B04AB9">
        <w:t>поправкам</w:t>
      </w:r>
      <w:r>
        <w:t xml:space="preserve"> к СПС</w:t>
      </w:r>
    </w:p>
    <w:p w14:paraId="6A1C23F2" w14:textId="77777777" w:rsidR="00B04AB9" w:rsidRPr="007E2757" w:rsidRDefault="00B04AB9" w:rsidP="00B04AB9">
      <w:pPr>
        <w:pStyle w:val="H23G"/>
      </w:pPr>
      <w:r>
        <w:tab/>
        <w:t>a)</w:t>
      </w:r>
      <w:r>
        <w:tab/>
        <w:t xml:space="preserve">Предложения, по которым еще </w:t>
      </w:r>
      <w:r w:rsidRPr="00B04AB9">
        <w:t>не</w:t>
      </w:r>
      <w:r>
        <w:t xml:space="preserve"> приняты решения</w:t>
      </w:r>
    </w:p>
    <w:p w14:paraId="549BD859" w14:textId="77777777" w:rsidR="00B04AB9" w:rsidRPr="007E2757" w:rsidRDefault="00B04AB9" w:rsidP="00B04AB9">
      <w:pPr>
        <w:pStyle w:val="H23G"/>
      </w:pPr>
      <w:r>
        <w:tab/>
      </w:r>
      <w:r>
        <w:tab/>
        <w:t>Предложение по поправкам к пункту 7.3.7 добавления 2 к приложению 1</w:t>
      </w:r>
    </w:p>
    <w:p w14:paraId="79C7BB93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предложения Франции (ECE/TRANS/WP.11/2023/3, ECE/TRANS/WP.11/2023/4 и ECE/TRANS/WP.11/2023/5).</w:t>
      </w:r>
    </w:p>
    <w:p w14:paraId="7E73F028" w14:textId="77777777" w:rsidR="00B04AB9" w:rsidRPr="007E2757" w:rsidRDefault="00B04AB9" w:rsidP="00B04AB9">
      <w:pPr>
        <w:pStyle w:val="H23G"/>
      </w:pPr>
      <w:r>
        <w:tab/>
      </w:r>
      <w:r>
        <w:tab/>
        <w:t xml:space="preserve">Определение понятия </w:t>
      </w:r>
      <w:r w:rsidRPr="00B04AB9">
        <w:t>автономности</w:t>
      </w:r>
      <w:r>
        <w:t xml:space="preserve"> транспортного средства</w:t>
      </w:r>
    </w:p>
    <w:p w14:paraId="40D1352D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Франции (ECE/TRANS/WP.11/2023/7).</w:t>
      </w:r>
    </w:p>
    <w:p w14:paraId="34F1E8EC" w14:textId="77777777" w:rsidR="00B04AB9" w:rsidRPr="007E2757" w:rsidRDefault="00B04AB9" w:rsidP="00B04AB9">
      <w:pPr>
        <w:pStyle w:val="H23G"/>
      </w:pPr>
      <w:r>
        <w:tab/>
      </w:r>
      <w:r>
        <w:tab/>
        <w:t xml:space="preserve">Классификация транспортных </w:t>
      </w:r>
      <w:r w:rsidRPr="00B04AB9">
        <w:t>средств</w:t>
      </w:r>
      <w:r>
        <w:t>, работающих от источников электроэнергии</w:t>
      </w:r>
    </w:p>
    <w:p w14:paraId="3F817CF4" w14:textId="77777777" w:rsidR="00B04AB9" w:rsidRPr="007E2757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Франции (ECE/TRANS/WP.11/2023/8).</w:t>
      </w:r>
    </w:p>
    <w:p w14:paraId="65A36099" w14:textId="78FC7715" w:rsidR="00B04AB9" w:rsidRPr="00171CB4" w:rsidRDefault="00B04AB9" w:rsidP="00B04AB9">
      <w:pPr>
        <w:pStyle w:val="H23G"/>
      </w:pPr>
      <w:r>
        <w:tab/>
        <w:t>b)</w:t>
      </w:r>
      <w:r>
        <w:tab/>
      </w:r>
      <w:r w:rsidRPr="00B04AB9">
        <w:t>Новые</w:t>
      </w:r>
      <w:r>
        <w:t xml:space="preserve"> предложения</w:t>
      </w:r>
    </w:p>
    <w:p w14:paraId="47BDC41E" w14:textId="77777777" w:rsidR="00B04AB9" w:rsidRPr="00171CB4" w:rsidRDefault="00B04AB9" w:rsidP="00B04AB9">
      <w:pPr>
        <w:pStyle w:val="H23G"/>
      </w:pPr>
      <w:r>
        <w:tab/>
      </w:r>
      <w:r>
        <w:tab/>
        <w:t xml:space="preserve">Поправка к </w:t>
      </w:r>
      <w:r w:rsidRPr="00B04AB9">
        <w:t>пункту</w:t>
      </w:r>
      <w:r>
        <w:t xml:space="preserve"> 6.2.2</w:t>
      </w:r>
    </w:p>
    <w:p w14:paraId="56199A60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Италии (ECE/TRANS/WP.11/2023/11).</w:t>
      </w:r>
    </w:p>
    <w:p w14:paraId="2F4428CC" w14:textId="77777777" w:rsidR="00B04AB9" w:rsidRPr="00171CB4" w:rsidRDefault="00B04AB9" w:rsidP="00B04AB9">
      <w:pPr>
        <w:pStyle w:val="H23G"/>
      </w:pPr>
      <w:r>
        <w:tab/>
      </w:r>
      <w:r>
        <w:tab/>
        <w:t xml:space="preserve">Предлагаемый перечень основных компонентов и их ключевых </w:t>
      </w:r>
      <w:r w:rsidRPr="00B04AB9">
        <w:t>характеристик</w:t>
      </w:r>
    </w:p>
    <w:p w14:paraId="64DDDE5E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«Трансфригорут интернэшнл» (ECE/TRANS/WP.11/2023/12).</w:t>
      </w:r>
    </w:p>
    <w:p w14:paraId="2EA8A832" w14:textId="77777777" w:rsidR="00B04AB9" w:rsidRDefault="00B04AB9" w:rsidP="00B04AB9">
      <w:pPr>
        <w:pStyle w:val="H23G"/>
      </w:pPr>
      <w:r>
        <w:tab/>
      </w:r>
      <w:r>
        <w:tab/>
        <w:t xml:space="preserve">Предложения по поправкам к </w:t>
      </w:r>
      <w:r w:rsidRPr="00B04AB9">
        <w:t>СПС</w:t>
      </w:r>
    </w:p>
    <w:p w14:paraId="17495D29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Нидерландов (ECE/TRANS/WP.11/2023/14).</w:t>
      </w:r>
    </w:p>
    <w:p w14:paraId="74879CF2" w14:textId="5899AC50" w:rsidR="00B04AB9" w:rsidRDefault="00B04AB9" w:rsidP="00B04AB9">
      <w:pPr>
        <w:pStyle w:val="H23G"/>
      </w:pPr>
      <w:r>
        <w:tab/>
      </w:r>
      <w:r>
        <w:tab/>
        <w:t xml:space="preserve">Требования, касающиеся монтажа рефрижераторных установок </w:t>
      </w:r>
      <w:r>
        <w:br/>
        <w:t xml:space="preserve">на транспортных </w:t>
      </w:r>
      <w:r w:rsidRPr="00B04AB9">
        <w:t>средствах</w:t>
      </w:r>
      <w:r>
        <w:t xml:space="preserve"> </w:t>
      </w:r>
    </w:p>
    <w:p w14:paraId="119CF2D1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Нидерландов (ECE/TRANS/WP.11/2023/15).</w:t>
      </w:r>
    </w:p>
    <w:p w14:paraId="4D1BFBFD" w14:textId="77777777" w:rsidR="00B04AB9" w:rsidRDefault="00B04AB9" w:rsidP="00B04AB9">
      <w:pPr>
        <w:pStyle w:val="H23G"/>
      </w:pPr>
      <w:r>
        <w:tab/>
      </w:r>
      <w:r>
        <w:tab/>
        <w:t xml:space="preserve">Исправление к статье 3 добавления 1 к </w:t>
      </w:r>
      <w:r w:rsidRPr="00B04AB9">
        <w:t>приложению</w:t>
      </w:r>
      <w:r>
        <w:t xml:space="preserve"> 1, касающееся текста СПС на английском и русском языках</w:t>
      </w:r>
    </w:p>
    <w:p w14:paraId="459EFE5D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Нидерландов (ECE/TRANS/WP.11/2023/16).</w:t>
      </w:r>
    </w:p>
    <w:p w14:paraId="7F910D5F" w14:textId="77777777" w:rsidR="00B04AB9" w:rsidRDefault="00B04AB9" w:rsidP="00B04AB9">
      <w:pPr>
        <w:pStyle w:val="H23G"/>
      </w:pPr>
      <w:r>
        <w:tab/>
      </w:r>
      <w:r>
        <w:tab/>
        <w:t xml:space="preserve">Периодическая поверка регистраторов </w:t>
      </w:r>
      <w:r w:rsidRPr="00B04AB9">
        <w:t>температуры</w:t>
      </w:r>
    </w:p>
    <w:p w14:paraId="7ABB02AC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Нидерландов (ECE/TRANS/WP.11/2023/17).</w:t>
      </w:r>
    </w:p>
    <w:p w14:paraId="736288C7" w14:textId="65A3448D" w:rsidR="00B04AB9" w:rsidRDefault="00B04AB9" w:rsidP="00B04AB9">
      <w:pPr>
        <w:pStyle w:val="H23G"/>
      </w:pPr>
      <w:r>
        <w:tab/>
      </w:r>
      <w:r>
        <w:tab/>
        <w:t>Предложение о внесении поправок в пункт 6.3 и пункт 6.4 ii) добавления 2 к</w:t>
      </w:r>
      <w:r>
        <w:rPr>
          <w:lang w:val="en-US"/>
        </w:rPr>
        <w:t> </w:t>
      </w:r>
      <w:r>
        <w:t xml:space="preserve">приложению 1 к СПС, касающихся испытаний в </w:t>
      </w:r>
      <w:r w:rsidRPr="00B04AB9">
        <w:t>процессе</w:t>
      </w:r>
      <w:r>
        <w:t xml:space="preserve"> эксплуатации </w:t>
      </w:r>
      <w:r w:rsidRPr="00DB7643">
        <w:t>отапливаемых транспортных средств и транспортных средств-рефрижераторов и отапливаемых</w:t>
      </w:r>
    </w:p>
    <w:p w14:paraId="262623B8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Финляндии (ECE/TRANS/WP.11/2023/18).</w:t>
      </w:r>
    </w:p>
    <w:p w14:paraId="20351333" w14:textId="77777777" w:rsidR="00B04AB9" w:rsidRDefault="00B04AB9" w:rsidP="00B04AB9">
      <w:pPr>
        <w:pStyle w:val="H23G"/>
      </w:pPr>
      <w:r>
        <w:lastRenderedPageBreak/>
        <w:tab/>
      </w:r>
      <w:r>
        <w:tab/>
        <w:t>Рефрижераторные установки, приводимые в действие за счет движения транспортного средства</w:t>
      </w:r>
    </w:p>
    <w:p w14:paraId="2F2E5EB3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Нидерландов (ECE/TRANS/WP.11/2023/19).</w:t>
      </w:r>
    </w:p>
    <w:p w14:paraId="20F3C455" w14:textId="77777777" w:rsidR="00B04AB9" w:rsidRDefault="00B04AB9" w:rsidP="00B04AB9">
      <w:pPr>
        <w:pStyle w:val="H23G"/>
        <w:rPr>
          <w:szCs w:val="24"/>
        </w:rPr>
      </w:pPr>
      <w:r>
        <w:tab/>
      </w:r>
      <w:r>
        <w:tab/>
        <w:t>Поправка к пункту 6 c) iii) b) добавления 1 к приложению 1</w:t>
      </w:r>
    </w:p>
    <w:p w14:paraId="42BFB969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Соединенного Королевства (ECE/TRANS/WP.11/2023/20).</w:t>
      </w:r>
    </w:p>
    <w:p w14:paraId="5038C464" w14:textId="77777777" w:rsidR="00B04AB9" w:rsidRDefault="00B04AB9" w:rsidP="00B04AB9">
      <w:pPr>
        <w:pStyle w:val="H23G"/>
      </w:pPr>
      <w:r>
        <w:tab/>
      </w:r>
      <w:r>
        <w:tab/>
        <w:t>Поправка к пункту 1 приложения 1 и к добавлению 4 к приложению 1</w:t>
      </w:r>
    </w:p>
    <w:p w14:paraId="2CD3029A" w14:textId="77777777" w:rsidR="00B04AB9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Соединенного Королевства (ECE/TRANS/WP.11/2023/21).</w:t>
      </w:r>
    </w:p>
    <w:p w14:paraId="3617925B" w14:textId="77777777" w:rsidR="00B04AB9" w:rsidRPr="009E7666" w:rsidRDefault="00B04AB9" w:rsidP="00B04AB9">
      <w:pPr>
        <w:pStyle w:val="H1G"/>
      </w:pPr>
      <w:r>
        <w:tab/>
        <w:t>6.</w:t>
      </w:r>
      <w:r>
        <w:tab/>
        <w:t xml:space="preserve">Справочник </w:t>
      </w:r>
      <w:r w:rsidRPr="00B04AB9">
        <w:t>СПС</w:t>
      </w:r>
    </w:p>
    <w:p w14:paraId="415680AE" w14:textId="087158BE" w:rsidR="00B04AB9" w:rsidRPr="009E7666" w:rsidRDefault="00B04AB9" w:rsidP="00B04AB9">
      <w:pPr>
        <w:pStyle w:val="H23G"/>
      </w:pPr>
      <w:r>
        <w:tab/>
      </w:r>
      <w:r>
        <w:tab/>
        <w:t xml:space="preserve">Поправки к пункту 4 комментариев к добавлению 1 к приложению 2 Справочника СПС: места размещения щупов для измерения температуры </w:t>
      </w:r>
      <w:r w:rsidR="0039278A">
        <w:br/>
      </w:r>
      <w:r>
        <w:t>во время перевозки</w:t>
      </w:r>
    </w:p>
    <w:p w14:paraId="2E9361F6" w14:textId="77777777" w:rsidR="00B04AB9" w:rsidRPr="009E7666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Франции (ECE/TRANS/WP.11/2023/10).</w:t>
      </w:r>
    </w:p>
    <w:p w14:paraId="6721F088" w14:textId="1DB021B5" w:rsidR="00B04AB9" w:rsidRPr="005D63A0" w:rsidRDefault="00B04AB9" w:rsidP="00B04AB9">
      <w:pPr>
        <w:pStyle w:val="SingleTxtG"/>
        <w:ind w:firstLine="567"/>
      </w:pPr>
      <w:r>
        <w:t>С последним вариантом Справочника СПС на английском, русском и французском языках можно ознакомиться на веб-сайте Отдела транспорта по следующей ссылке</w:t>
      </w:r>
      <w:r w:rsidR="0039278A" w:rsidRPr="0039278A">
        <w:t xml:space="preserve"> </w:t>
      </w:r>
      <w:hyperlink r:id="rId14" w:history="1">
        <w:r w:rsidR="0039278A" w:rsidRPr="005374F1">
          <w:rPr>
            <w:rStyle w:val="af1"/>
          </w:rPr>
          <w:t>https://unece.org/atp-handbook</w:t>
        </w:r>
      </w:hyperlink>
      <w:r>
        <w:t>.</w:t>
      </w:r>
    </w:p>
    <w:p w14:paraId="1C158D44" w14:textId="77777777" w:rsidR="00B04AB9" w:rsidRPr="009C4E69" w:rsidRDefault="00B04AB9" w:rsidP="00B04AB9">
      <w:pPr>
        <w:pStyle w:val="H1G"/>
      </w:pPr>
      <w:r>
        <w:tab/>
        <w:t>7.</w:t>
      </w:r>
      <w:r>
        <w:tab/>
        <w:t xml:space="preserve">Доклады неофициальных </w:t>
      </w:r>
      <w:r w:rsidRPr="00B04AB9">
        <w:t>рабочих</w:t>
      </w:r>
      <w:r>
        <w:t xml:space="preserve"> групп</w:t>
      </w:r>
    </w:p>
    <w:p w14:paraId="01D926D9" w14:textId="77777777" w:rsidR="00B04AB9" w:rsidRPr="009C4E69" w:rsidRDefault="00B04AB9" w:rsidP="00B04AB9">
      <w:pPr>
        <w:pStyle w:val="SingleTxtG"/>
        <w:ind w:firstLine="567"/>
      </w:pPr>
      <w:r>
        <w:t>Доклады неофициальных рабочих групп, поступившие после опубликования настоящей аннотированной повестки дня, будут представлены в качестве неофициальных документов.</w:t>
      </w:r>
    </w:p>
    <w:p w14:paraId="02B40EB4" w14:textId="3371CC5C" w:rsidR="00B04AB9" w:rsidRPr="00A35A38" w:rsidRDefault="00B04AB9" w:rsidP="00B04AB9">
      <w:pPr>
        <w:pStyle w:val="H1G"/>
      </w:pPr>
      <w:r>
        <w:tab/>
        <w:t>8.</w:t>
      </w:r>
      <w:r>
        <w:tab/>
        <w:t>Сфера действия СПС</w:t>
      </w:r>
    </w:p>
    <w:p w14:paraId="50A4C7E3" w14:textId="77777777" w:rsidR="00B04AB9" w:rsidRPr="00A35A38" w:rsidRDefault="00B04AB9" w:rsidP="00B04AB9">
      <w:pPr>
        <w:pStyle w:val="H23G"/>
      </w:pPr>
      <w:r>
        <w:tab/>
      </w:r>
      <w:r>
        <w:tab/>
        <w:t>Сфера действия СПС</w:t>
      </w:r>
    </w:p>
    <w:p w14:paraId="5C953EA7" w14:textId="77777777" w:rsidR="00B04AB9" w:rsidRPr="00A35A38" w:rsidRDefault="00B04AB9" w:rsidP="00B04AB9">
      <w:pPr>
        <w:pStyle w:val="SingleTxtG"/>
        <w:ind w:firstLine="567"/>
      </w:pPr>
      <w:r>
        <w:t>Рабочая группа, возможно, пожелает обсудить предложение «Трансфригорут интернэшнл» (ECE/TRANS/WP.11/2023/13).</w:t>
      </w:r>
    </w:p>
    <w:p w14:paraId="64917424" w14:textId="77777777" w:rsidR="00B04AB9" w:rsidRPr="00A35A38" w:rsidRDefault="00B04AB9" w:rsidP="00B04AB9">
      <w:pPr>
        <w:pStyle w:val="SingleTxtG"/>
        <w:ind w:firstLine="567"/>
      </w:pPr>
      <w:r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3B21835D" w14:textId="77777777" w:rsidR="00B04AB9" w:rsidRPr="0095619B" w:rsidRDefault="00B04AB9" w:rsidP="00B04AB9">
      <w:pPr>
        <w:pStyle w:val="H23G"/>
        <w:jc w:val="both"/>
      </w:pPr>
      <w:r>
        <w:tab/>
      </w:r>
      <w:r>
        <w:tab/>
      </w:r>
      <w:r>
        <w:rPr>
          <w:bCs/>
        </w:rPr>
        <w:t>Будущее СПС</w:t>
      </w:r>
    </w:p>
    <w:p w14:paraId="0FB94B0C" w14:textId="6CB5498C" w:rsidR="00B04AB9" w:rsidRPr="0095619B" w:rsidRDefault="00B04AB9" w:rsidP="00B04AB9">
      <w:pPr>
        <w:pStyle w:val="SingleTxtG"/>
        <w:ind w:firstLine="567"/>
      </w:pPr>
      <w:r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опубликована, и с ней можно ознакомиться на веб-сайте ЕЭК ООН </w:t>
      </w:r>
      <w:hyperlink r:id="rId15" w:history="1">
        <w:r w:rsidR="0039278A" w:rsidRPr="005374F1">
          <w:rPr>
            <w:rStyle w:val="af1"/>
          </w:rPr>
          <w:t>https://unece.org/road-map-accession-and-implementation-atp</w:t>
        </w:r>
      </w:hyperlink>
      <w:r>
        <w:t>.</w:t>
      </w:r>
    </w:p>
    <w:p w14:paraId="5280D10B" w14:textId="77777777" w:rsidR="00B04AB9" w:rsidRPr="009C4E69" w:rsidRDefault="00B04AB9" w:rsidP="00B04AB9">
      <w:pPr>
        <w:pStyle w:val="H1G"/>
      </w:pPr>
      <w:r>
        <w:tab/>
        <w:t>9.</w:t>
      </w:r>
      <w:r>
        <w:tab/>
        <w:t xml:space="preserve">Энергетическая </w:t>
      </w:r>
      <w:r w:rsidRPr="00B04AB9">
        <w:t>маркировка</w:t>
      </w:r>
      <w:r>
        <w:t>, хладагенты и вспенивающие вещества</w:t>
      </w:r>
    </w:p>
    <w:p w14:paraId="32E069FD" w14:textId="77777777" w:rsidR="00B04AB9" w:rsidRPr="009C4E69" w:rsidRDefault="00B04AB9" w:rsidP="00B04AB9">
      <w:pPr>
        <w:pStyle w:val="SingleTxtG"/>
        <w:ind w:firstLine="567"/>
      </w:pPr>
      <w:r>
        <w:t xml:space="preserve"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14:paraId="664EE454" w14:textId="77777777" w:rsidR="00B04AB9" w:rsidRPr="00603665" w:rsidRDefault="00B04AB9" w:rsidP="00B04AB9">
      <w:pPr>
        <w:pStyle w:val="H1G"/>
      </w:pPr>
      <w:r>
        <w:lastRenderedPageBreak/>
        <w:tab/>
        <w:t>10.</w:t>
      </w:r>
      <w:r>
        <w:tab/>
      </w:r>
      <w:r w:rsidRPr="00B04AB9">
        <w:t>Программа</w:t>
      </w:r>
      <w:r>
        <w:t xml:space="preserve"> работы </w:t>
      </w:r>
    </w:p>
    <w:p w14:paraId="7B9A470C" w14:textId="77777777" w:rsidR="00B04AB9" w:rsidRPr="00603665" w:rsidRDefault="00B04AB9" w:rsidP="00B04AB9">
      <w:pPr>
        <w:pStyle w:val="H23G"/>
      </w:pPr>
      <w:r>
        <w:tab/>
      </w:r>
      <w:r>
        <w:tab/>
        <w:t xml:space="preserve">Сроки проведения восемьдесят первой </w:t>
      </w:r>
      <w:r w:rsidRPr="00B04AB9">
        <w:t>сессии</w:t>
      </w:r>
    </w:p>
    <w:p w14:paraId="68A4A413" w14:textId="77777777" w:rsidR="00B04AB9" w:rsidRPr="00603665" w:rsidRDefault="00B04AB9" w:rsidP="00B04AB9">
      <w:pPr>
        <w:pStyle w:val="SingleTxtG"/>
        <w:ind w:firstLine="567"/>
      </w:pPr>
      <w:r>
        <w:t>Для проведения восемьдесят первой сессии WP.11 были зарезервированы даты с 29 октября по 1 ноября 2024 года (со вторника по пятницу).</w:t>
      </w:r>
    </w:p>
    <w:p w14:paraId="0F374B8A" w14:textId="77777777" w:rsidR="00B04AB9" w:rsidRPr="00DF07AA" w:rsidRDefault="00B04AB9" w:rsidP="00B04AB9">
      <w:pPr>
        <w:pStyle w:val="H1G"/>
      </w:pPr>
      <w:r>
        <w:tab/>
        <w:t>11.</w:t>
      </w:r>
      <w:r>
        <w:tab/>
        <w:t xml:space="preserve">Выборы </w:t>
      </w:r>
      <w:r w:rsidRPr="00B04AB9">
        <w:t>должностных</w:t>
      </w:r>
      <w:r>
        <w:t xml:space="preserve"> лиц</w:t>
      </w:r>
    </w:p>
    <w:p w14:paraId="5759B06B" w14:textId="77777777" w:rsidR="00B04AB9" w:rsidRDefault="00B04AB9" w:rsidP="00B04AB9">
      <w:pPr>
        <w:pStyle w:val="SingleTxtG"/>
        <w:ind w:firstLine="567"/>
      </w:pPr>
      <w:r>
        <w:t xml:space="preserve">WP.11, как ожидается, изберет Председателя и заместителей Председателя своей сессии, которая состоится в 2024 году. </w:t>
      </w:r>
    </w:p>
    <w:p w14:paraId="26D1D70F" w14:textId="77777777" w:rsidR="00B04AB9" w:rsidRDefault="00B04AB9" w:rsidP="00B04AB9">
      <w:pPr>
        <w:pStyle w:val="SingleTxtG"/>
        <w:ind w:firstLine="567"/>
      </w:pPr>
      <w:r>
        <w:t xml:space="preserve">Выборы проводятся в соответствии с правилами 12, 36 и 37 Правил процедуры WP.11 (см. документ ECE/TRANS/WP.11/229), в которых говорится следующее: </w:t>
      </w:r>
    </w:p>
    <w:p w14:paraId="5B341A49" w14:textId="77777777" w:rsidR="00B04AB9" w:rsidRDefault="00B04AB9" w:rsidP="00B04AB9">
      <w:pPr>
        <w:pStyle w:val="SingleTxtG"/>
        <w:ind w:firstLine="567"/>
      </w:pPr>
      <w:r w:rsidRPr="006411A7">
        <w:t>«</w:t>
      </w:r>
      <w:r>
        <w:rPr>
          <w:b/>
          <w:bCs/>
          <w:i/>
          <w:iCs/>
        </w:rPr>
        <w:t>Правило 12</w:t>
      </w:r>
      <w:r>
        <w:t xml:space="preserve"> </w:t>
      </w:r>
    </w:p>
    <w:p w14:paraId="78E1596D" w14:textId="77777777" w:rsidR="00B04AB9" w:rsidRDefault="00B04AB9" w:rsidP="00B04AB9">
      <w:pPr>
        <w:pStyle w:val="SingleTxtG"/>
        <w:ind w:firstLine="567"/>
      </w:pPr>
      <w:r>
        <w:rPr>
          <w:i/>
          <w:iCs/>
        </w:rPr>
        <w:t>Ежегодно WP.11 избирает из числа представителей полноправных участников, определенных в правиле 1, Председателя и заместителя Председателя,</w:t>
      </w:r>
      <w:r>
        <w:t xml:space="preserve"> </w:t>
      </w:r>
      <w:r>
        <w:rPr>
          <w:i/>
          <w:iCs/>
        </w:rPr>
        <w:t>которые вступают в должность в начале первой сессии следующего после их избрания года.</w:t>
      </w:r>
      <w:r>
        <w:t xml:space="preserve"> </w:t>
      </w:r>
      <w:r>
        <w:rPr>
          <w:i/>
          <w:iCs/>
        </w:rPr>
        <w:t>Эти должностные лица могут быть переизбраны.</w:t>
      </w:r>
      <w:r>
        <w:t xml:space="preserve"> </w:t>
      </w:r>
    </w:p>
    <w:p w14:paraId="7830B4EA" w14:textId="77777777" w:rsidR="00B04AB9" w:rsidRDefault="00B04AB9" w:rsidP="00B04AB9">
      <w:pPr>
        <w:pStyle w:val="SingleTxtG"/>
        <w:ind w:firstLine="567"/>
      </w:pPr>
      <w:r>
        <w:rPr>
          <w:b/>
          <w:bCs/>
          <w:i/>
          <w:iCs/>
        </w:rPr>
        <w:t>Правило 36</w:t>
      </w:r>
      <w:r>
        <w:t xml:space="preserve"> </w:t>
      </w:r>
    </w:p>
    <w:p w14:paraId="7F995AD5" w14:textId="77777777" w:rsidR="00B04AB9" w:rsidRDefault="00B04AB9" w:rsidP="00B04AB9">
      <w:pPr>
        <w:pStyle w:val="SingleTxtG"/>
        <w:ind w:firstLine="567"/>
        <w:rPr>
          <w:sz w:val="18"/>
          <w:szCs w:val="18"/>
        </w:rPr>
      </w:pPr>
      <w:r>
        <w:rPr>
          <w:i/>
          <w:iCs/>
        </w:rPr>
        <w:t>Голосование WP.11 обычно проводится поднятием руки.</w:t>
      </w:r>
      <w:r>
        <w:t xml:space="preserve"> </w:t>
      </w:r>
      <w:r>
        <w:rPr>
          <w:i/>
          <w:iCs/>
        </w:rPr>
        <w:t>Если какой-либо представитель требует проведения поименного голосования, то оно проводится путем поименной переклички в английском алфавитном порядке названий участников.</w:t>
      </w:r>
      <w:r>
        <w:t xml:space="preserve"> </w:t>
      </w:r>
    </w:p>
    <w:p w14:paraId="393E97E3" w14:textId="77777777" w:rsidR="00B04AB9" w:rsidRDefault="00B04AB9" w:rsidP="00B04AB9">
      <w:pPr>
        <w:pStyle w:val="SingleTxtG"/>
        <w:ind w:firstLine="567"/>
      </w:pPr>
      <w:r>
        <w:rPr>
          <w:b/>
          <w:bCs/>
          <w:i/>
          <w:iCs/>
        </w:rPr>
        <w:t>Правило 37</w:t>
      </w:r>
      <w:r>
        <w:t xml:space="preserve"> </w:t>
      </w:r>
    </w:p>
    <w:p w14:paraId="3155B8B5" w14:textId="77777777" w:rsidR="00B04AB9" w:rsidRDefault="00B04AB9" w:rsidP="00B04AB9">
      <w:pPr>
        <w:pStyle w:val="SingleTxtG"/>
        <w:ind w:firstLine="567"/>
      </w:pPr>
      <w:r>
        <w:rPr>
          <w:i/>
          <w:iCs/>
        </w:rPr>
        <w:t>Все выборы проводятся голосованием поднятием руки</w:t>
      </w:r>
      <w:r w:rsidRPr="006411A7">
        <w:t>».</w:t>
      </w:r>
    </w:p>
    <w:p w14:paraId="409BB80B" w14:textId="77777777" w:rsidR="00B04AB9" w:rsidRPr="009C4E69" w:rsidRDefault="00B04AB9" w:rsidP="00B04AB9">
      <w:pPr>
        <w:pStyle w:val="H1G"/>
      </w:pPr>
      <w:r>
        <w:tab/>
        <w:t>12.</w:t>
      </w:r>
      <w:r>
        <w:tab/>
        <w:t xml:space="preserve">Прочие </w:t>
      </w:r>
      <w:r w:rsidRPr="00B04AB9">
        <w:t>вопросы</w:t>
      </w:r>
    </w:p>
    <w:p w14:paraId="30F051FE" w14:textId="77777777" w:rsidR="00B04AB9" w:rsidRPr="00DB7643" w:rsidRDefault="00B04AB9" w:rsidP="00B04AB9">
      <w:pPr>
        <w:pStyle w:val="SingleTxtG"/>
        <w:ind w:firstLine="567"/>
      </w:pPr>
      <w:r>
        <w:t>WP.11, возможно, пожелает рассмотреть в рамках этого пункта повестки дня любые другие вопросы.</w:t>
      </w:r>
    </w:p>
    <w:p w14:paraId="0E864881" w14:textId="77777777" w:rsidR="00B04AB9" w:rsidRPr="00692C71" w:rsidRDefault="00B04AB9" w:rsidP="00B04AB9">
      <w:pPr>
        <w:pStyle w:val="H1G"/>
      </w:pPr>
      <w:r>
        <w:tab/>
        <w:t>13.</w:t>
      </w:r>
      <w:r>
        <w:tab/>
      </w:r>
      <w:r w:rsidRPr="00B04AB9">
        <w:t>Утверждение</w:t>
      </w:r>
      <w:r>
        <w:t xml:space="preserve"> доклада</w:t>
      </w:r>
    </w:p>
    <w:p w14:paraId="50983E6D" w14:textId="77777777" w:rsidR="00B04AB9" w:rsidRPr="00692C71" w:rsidRDefault="00B04AB9" w:rsidP="00B04AB9">
      <w:pPr>
        <w:pStyle w:val="SingleTxtG"/>
        <w:spacing w:after="0"/>
        <w:ind w:firstLine="567"/>
      </w:pPr>
      <w:r>
        <w:t>Ожидается, что WP.11 утвердит доклад о работе своей восьмидесятой сессии на основе проекта, подготовленного секретариатом.</w:t>
      </w:r>
    </w:p>
    <w:p w14:paraId="7B9FB2F6" w14:textId="77777777" w:rsidR="00B04AB9" w:rsidRPr="001C6714" w:rsidRDefault="00B04AB9" w:rsidP="00B04AB9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45867" w14:textId="77777777" w:rsidR="00E12C5F" w:rsidRPr="008D53B6" w:rsidRDefault="00E12C5F" w:rsidP="00D9145B"/>
    <w:sectPr w:rsidR="00E12C5F" w:rsidRPr="008D53B6" w:rsidSect="00B04AB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08E2" w14:textId="77777777" w:rsidR="00F2315D" w:rsidRPr="00A312BC" w:rsidRDefault="00F2315D" w:rsidP="00A312BC"/>
  </w:endnote>
  <w:endnote w:type="continuationSeparator" w:id="0">
    <w:p w14:paraId="50AFE611" w14:textId="77777777" w:rsidR="00F2315D" w:rsidRPr="00A312BC" w:rsidRDefault="00F231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1B" w14:textId="74BF5C15" w:rsidR="00B04AB9" w:rsidRPr="00B04AB9" w:rsidRDefault="00B04AB9">
    <w:pPr>
      <w:pStyle w:val="a8"/>
    </w:pPr>
    <w:r w:rsidRPr="00B04AB9">
      <w:rPr>
        <w:b/>
        <w:sz w:val="18"/>
      </w:rPr>
      <w:fldChar w:fldCharType="begin"/>
    </w:r>
    <w:r w:rsidRPr="00B04AB9">
      <w:rPr>
        <w:b/>
        <w:sz w:val="18"/>
      </w:rPr>
      <w:instrText xml:space="preserve"> PAGE  \* MERGEFORMAT </w:instrText>
    </w:r>
    <w:r w:rsidRPr="00B04AB9">
      <w:rPr>
        <w:b/>
        <w:sz w:val="18"/>
      </w:rPr>
      <w:fldChar w:fldCharType="separate"/>
    </w:r>
    <w:r w:rsidRPr="00B04AB9">
      <w:rPr>
        <w:b/>
        <w:noProof/>
        <w:sz w:val="18"/>
      </w:rPr>
      <w:t>2</w:t>
    </w:r>
    <w:r w:rsidRPr="00B04AB9">
      <w:rPr>
        <w:b/>
        <w:sz w:val="18"/>
      </w:rPr>
      <w:fldChar w:fldCharType="end"/>
    </w:r>
    <w:r>
      <w:rPr>
        <w:b/>
        <w:sz w:val="18"/>
      </w:rPr>
      <w:tab/>
    </w:r>
    <w:r>
      <w:t>GE.23-15620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221" w14:textId="7F1DF226" w:rsidR="00B04AB9" w:rsidRPr="00B04AB9" w:rsidRDefault="00B04AB9" w:rsidP="00B04AB9">
    <w:pPr>
      <w:pStyle w:val="a8"/>
      <w:tabs>
        <w:tab w:val="clear" w:pos="9639"/>
        <w:tab w:val="right" w:pos="9638"/>
      </w:tabs>
      <w:rPr>
        <w:b/>
        <w:sz w:val="18"/>
      </w:rPr>
    </w:pPr>
    <w:r>
      <w:t>GE.23-15620</w:t>
    </w:r>
    <w:r>
      <w:tab/>
    </w:r>
    <w:r w:rsidRPr="00B04AB9">
      <w:rPr>
        <w:b/>
        <w:sz w:val="18"/>
      </w:rPr>
      <w:fldChar w:fldCharType="begin"/>
    </w:r>
    <w:r w:rsidRPr="00B04AB9">
      <w:rPr>
        <w:b/>
        <w:sz w:val="18"/>
      </w:rPr>
      <w:instrText xml:space="preserve"> PAGE  \* MERGEFORMAT </w:instrText>
    </w:r>
    <w:r w:rsidRPr="00B04AB9">
      <w:rPr>
        <w:b/>
        <w:sz w:val="18"/>
      </w:rPr>
      <w:fldChar w:fldCharType="separate"/>
    </w:r>
    <w:r w:rsidRPr="00B04AB9">
      <w:rPr>
        <w:b/>
        <w:noProof/>
        <w:sz w:val="18"/>
      </w:rPr>
      <w:t>3</w:t>
    </w:r>
    <w:r w:rsidRPr="00B04A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65F" w14:textId="03F38CFD" w:rsidR="00042B72" w:rsidRPr="003F0F07" w:rsidRDefault="00B04AB9" w:rsidP="00B04AB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03054D" wp14:editId="063F69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23-15620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0EC4B2" wp14:editId="713222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07">
      <w:rPr>
        <w:lang w:val="en-US"/>
      </w:rPr>
      <w:t xml:space="preserve">   170823  210823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347" w14:textId="77777777" w:rsidR="00F2315D" w:rsidRPr="001075E9" w:rsidRDefault="00F231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480CF4" w14:textId="77777777" w:rsidR="00F2315D" w:rsidRDefault="00F231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8437" w14:textId="1F693145" w:rsidR="00B04AB9" w:rsidRPr="00B04AB9" w:rsidRDefault="00EE31A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ECE/TRANS/WP.11/250/Add.1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9621" w14:textId="3F4DC657" w:rsidR="00B04AB9" w:rsidRPr="00B04AB9" w:rsidRDefault="00EE31AE" w:rsidP="00B04AB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ECE/TRANS/WP.11/250/Add.1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66724796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283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127"/>
    <w:rsid w:val="00307FB6"/>
    <w:rsid w:val="00317339"/>
    <w:rsid w:val="00322004"/>
    <w:rsid w:val="003402C2"/>
    <w:rsid w:val="00381C24"/>
    <w:rsid w:val="00387CD4"/>
    <w:rsid w:val="0039278A"/>
    <w:rsid w:val="003958D0"/>
    <w:rsid w:val="003A0D43"/>
    <w:rsid w:val="003A48CE"/>
    <w:rsid w:val="003B00E5"/>
    <w:rsid w:val="003E0B46"/>
    <w:rsid w:val="003F0F07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1BBC"/>
    <w:rsid w:val="00617A43"/>
    <w:rsid w:val="006345DB"/>
    <w:rsid w:val="00640F49"/>
    <w:rsid w:val="006411A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AB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D7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764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31AE"/>
    <w:rsid w:val="00EF1360"/>
    <w:rsid w:val="00EF3220"/>
    <w:rsid w:val="00F2315D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9A0B"/>
  <w15:docId w15:val="{76AFC469-D948-4D9D-8B65-2D0D5CB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4AB9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B0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ge11-29th-2021" TargetMode="External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unece.org/atp-competent-authorities-and-testing-sta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de/working-party-agricultural-quality-standards-wp7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unece.org/road-map-accession-and-implementation-atp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unece.org/trade/wp7/food-loss-and-wast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p7/wp7-76th-2021" TargetMode="External"/><Relationship Id="rId14" Type="http://schemas.openxmlformats.org/officeDocument/2006/relationships/hyperlink" Target="https://unece.org/atp-handbook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ABA91-F939-4DA0-AD76-95489847BE5A}"/>
</file>

<file path=customXml/itemProps2.xml><?xml version="1.0" encoding="utf-8"?>
<ds:datastoreItem xmlns:ds="http://schemas.openxmlformats.org/officeDocument/2006/customXml" ds:itemID="{DB2B7956-94F9-4982-A571-F996A1E7329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6</Pages>
  <Words>1416</Words>
  <Characters>10669</Characters>
  <Application>Microsoft Office Word</Application>
  <DocSecurity>0</DocSecurity>
  <Lines>235</Lines>
  <Paragraphs>118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ECE/TRANS/WP.11/250/Add.1</vt:lpstr>
      <vt:lpstr>A/</vt:lpstr>
      <vt:lpstr>A/</vt:lpstr>
    </vt:vector>
  </TitlesOfParts>
  <Company>DCM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ECE/TRANS/WP.11/250/Add.1</dc:title>
  <dc:subject/>
  <dc:creator>Anna BLAGODATSKIKH</dc:creator>
  <cp:keywords/>
  <cp:lastModifiedBy>Anna Blagodatskikh</cp:lastModifiedBy>
  <cp:revision>3</cp:revision>
  <cp:lastPrinted>2023-08-21T08:08:00Z</cp:lastPrinted>
  <dcterms:created xsi:type="dcterms:W3CDTF">2023-08-21T08:08:00Z</dcterms:created>
  <dcterms:modified xsi:type="dcterms:W3CDTF">2023-08-21T08:09:00Z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