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26F51625" w14:textId="77777777" w:rsidTr="005B08D1">
        <w:trPr>
          <w:cantSplit/>
          <w:trHeight w:hRule="exact" w:val="851"/>
        </w:trPr>
        <w:tc>
          <w:tcPr>
            <w:tcW w:w="9781" w:type="dxa"/>
            <w:tcBorders>
              <w:bottom w:val="single" w:sz="4" w:space="0" w:color="auto"/>
            </w:tcBorders>
            <w:vAlign w:val="bottom"/>
          </w:tcPr>
          <w:p w14:paraId="42A74B00" w14:textId="3524B1FF" w:rsidR="000C2B80" w:rsidRPr="00A92B1E" w:rsidRDefault="000C2B80" w:rsidP="000C2B80">
            <w:pPr>
              <w:ind w:firstLine="284"/>
              <w:jc w:val="right"/>
              <w:rPr>
                <w:color w:val="000000"/>
                <w:spacing w:val="-3"/>
              </w:rPr>
            </w:pPr>
            <w:r w:rsidRPr="00A92B1E">
              <w:rPr>
                <w:b/>
                <w:color w:val="000000"/>
                <w:spacing w:val="-3"/>
                <w:sz w:val="40"/>
                <w:szCs w:val="40"/>
              </w:rPr>
              <w:t>INF.</w:t>
            </w:r>
            <w:r w:rsidR="00B952D1">
              <w:rPr>
                <w:b/>
                <w:color w:val="000000"/>
                <w:spacing w:val="-3"/>
                <w:sz w:val="40"/>
                <w:szCs w:val="40"/>
              </w:rPr>
              <w:t>5</w:t>
            </w:r>
          </w:p>
        </w:tc>
      </w:tr>
      <w:tr w:rsidR="000C2B80" w:rsidRPr="00A92B1E" w14:paraId="3CA81C08" w14:textId="77777777" w:rsidTr="00373060">
        <w:trPr>
          <w:cantSplit/>
          <w:trHeight w:hRule="exact" w:val="270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592CC886" w14:textId="77777777" w:rsidTr="00787570">
              <w:trPr>
                <w:cantSplit/>
                <w:trHeight w:val="3119"/>
              </w:trPr>
              <w:tc>
                <w:tcPr>
                  <w:tcW w:w="7230" w:type="dxa"/>
                </w:tcPr>
                <w:p w14:paraId="235F51E6" w14:textId="77777777" w:rsidR="000C2B80" w:rsidRPr="00B952D1" w:rsidRDefault="000C2B80" w:rsidP="000C2B80">
                  <w:pPr>
                    <w:spacing w:before="120"/>
                    <w:rPr>
                      <w:b/>
                      <w:sz w:val="28"/>
                      <w:szCs w:val="28"/>
                    </w:rPr>
                  </w:pPr>
                  <w:r w:rsidRPr="00B952D1">
                    <w:rPr>
                      <w:b/>
                      <w:sz w:val="28"/>
                      <w:szCs w:val="28"/>
                    </w:rPr>
                    <w:t>Economic Commission for Europe</w:t>
                  </w:r>
                </w:p>
                <w:p w14:paraId="1AD5B0D6" w14:textId="77777777" w:rsidR="000C2B80" w:rsidRPr="00B952D1" w:rsidRDefault="000C2B80" w:rsidP="000C2B80">
                  <w:pPr>
                    <w:spacing w:before="120"/>
                    <w:rPr>
                      <w:sz w:val="28"/>
                      <w:szCs w:val="28"/>
                    </w:rPr>
                  </w:pPr>
                  <w:r w:rsidRPr="00B952D1">
                    <w:rPr>
                      <w:sz w:val="28"/>
                      <w:szCs w:val="28"/>
                    </w:rPr>
                    <w:t>Inland Transport Committee</w:t>
                  </w:r>
                </w:p>
                <w:p w14:paraId="12EDB1C6" w14:textId="77777777" w:rsidR="000C2B80" w:rsidRPr="00B952D1" w:rsidRDefault="000C2B80" w:rsidP="000C2B80">
                  <w:pPr>
                    <w:spacing w:before="120"/>
                    <w:rPr>
                      <w:b/>
                    </w:rPr>
                  </w:pPr>
                  <w:r w:rsidRPr="00B952D1">
                    <w:rPr>
                      <w:b/>
                    </w:rPr>
                    <w:t>Working Party on the Transport of Perishable Foodstuffs</w:t>
                  </w:r>
                </w:p>
                <w:p w14:paraId="43C9BCF7" w14:textId="77777777" w:rsidR="00B11CBD" w:rsidRPr="00B952D1" w:rsidRDefault="00887F31" w:rsidP="00B11CBD">
                  <w:pPr>
                    <w:spacing w:before="120"/>
                    <w:rPr>
                      <w:b/>
                      <w:lang w:eastAsia="fr-FR"/>
                    </w:rPr>
                  </w:pPr>
                  <w:r w:rsidRPr="00B952D1">
                    <w:rPr>
                      <w:b/>
                      <w:lang w:eastAsia="fr-FR"/>
                    </w:rPr>
                    <w:t>Eightieth</w:t>
                  </w:r>
                  <w:r w:rsidR="00B11CBD" w:rsidRPr="00B952D1">
                    <w:rPr>
                      <w:b/>
                      <w:lang w:eastAsia="fr-FR"/>
                    </w:rPr>
                    <w:t xml:space="preserve"> session</w:t>
                  </w:r>
                </w:p>
                <w:p w14:paraId="2D6326E0" w14:textId="77777777" w:rsidR="00B11CBD" w:rsidRPr="00B952D1" w:rsidRDefault="00B11CBD" w:rsidP="00B11CBD">
                  <w:pPr>
                    <w:rPr>
                      <w:lang w:eastAsia="fr-FR"/>
                    </w:rPr>
                  </w:pPr>
                  <w:r w:rsidRPr="00B952D1">
                    <w:rPr>
                      <w:lang w:eastAsia="fr-FR"/>
                    </w:rPr>
                    <w:t xml:space="preserve">Geneva, </w:t>
                  </w:r>
                  <w:r w:rsidR="00CC2E0B" w:rsidRPr="00B952D1">
                    <w:rPr>
                      <w:lang w:eastAsia="fr-FR"/>
                    </w:rPr>
                    <w:t>2</w:t>
                  </w:r>
                  <w:r w:rsidR="00887F31" w:rsidRPr="00B952D1">
                    <w:rPr>
                      <w:lang w:eastAsia="fr-FR"/>
                    </w:rPr>
                    <w:t>4</w:t>
                  </w:r>
                  <w:r w:rsidRPr="00B952D1">
                    <w:rPr>
                      <w:lang w:eastAsia="fr-FR"/>
                    </w:rPr>
                    <w:t>-</w:t>
                  </w:r>
                  <w:r w:rsidR="00CC2E0B" w:rsidRPr="00B952D1">
                    <w:rPr>
                      <w:lang w:eastAsia="fr-FR"/>
                    </w:rPr>
                    <w:t>2</w:t>
                  </w:r>
                  <w:r w:rsidR="00887F31" w:rsidRPr="00B952D1">
                    <w:rPr>
                      <w:lang w:eastAsia="fr-FR"/>
                    </w:rPr>
                    <w:t>7</w:t>
                  </w:r>
                  <w:r w:rsidRPr="00B952D1">
                    <w:rPr>
                      <w:lang w:eastAsia="fr-FR"/>
                    </w:rPr>
                    <w:t xml:space="preserve"> </w:t>
                  </w:r>
                  <w:r w:rsidR="00CC2E0B" w:rsidRPr="00B952D1">
                    <w:rPr>
                      <w:lang w:eastAsia="fr-FR"/>
                    </w:rPr>
                    <w:t>October</w:t>
                  </w:r>
                  <w:r w:rsidRPr="00B952D1">
                    <w:rPr>
                      <w:lang w:eastAsia="fr-FR"/>
                    </w:rPr>
                    <w:t xml:space="preserve"> 202</w:t>
                  </w:r>
                  <w:r w:rsidR="00887F31" w:rsidRPr="00B952D1">
                    <w:rPr>
                      <w:lang w:eastAsia="fr-FR"/>
                    </w:rPr>
                    <w:t>3</w:t>
                  </w:r>
                </w:p>
                <w:p w14:paraId="4FD71C5E" w14:textId="77777777" w:rsidR="00FB7F41" w:rsidRPr="00B952D1" w:rsidRDefault="00B11CBD" w:rsidP="00B11CBD">
                  <w:pPr>
                    <w:rPr>
                      <w:lang w:eastAsia="fr-FR"/>
                    </w:rPr>
                  </w:pPr>
                  <w:r w:rsidRPr="00B952D1">
                    <w:rPr>
                      <w:lang w:eastAsia="fr-FR"/>
                    </w:rPr>
                    <w:t xml:space="preserve">Item </w:t>
                  </w:r>
                  <w:r w:rsidR="00073058" w:rsidRPr="00B952D1">
                    <w:rPr>
                      <w:lang w:eastAsia="fr-FR"/>
                    </w:rPr>
                    <w:t>2</w:t>
                  </w:r>
                  <w:r w:rsidR="00221675" w:rsidRPr="00B952D1">
                    <w:rPr>
                      <w:lang w:eastAsia="fr-FR"/>
                    </w:rPr>
                    <w:t xml:space="preserve"> (a)</w:t>
                  </w:r>
                  <w:r w:rsidRPr="00B952D1">
                    <w:rPr>
                      <w:lang w:eastAsia="fr-FR"/>
                    </w:rPr>
                    <w:t xml:space="preserve"> </w:t>
                  </w:r>
                  <w:r w:rsidR="00CB78BA" w:rsidRPr="00B952D1">
                    <w:rPr>
                      <w:lang w:eastAsia="fr-FR"/>
                    </w:rPr>
                    <w:t>of the provisional agenda</w:t>
                  </w:r>
                </w:p>
                <w:p w14:paraId="0A681672" w14:textId="77777777" w:rsidR="000C2B80" w:rsidRPr="00B952D1" w:rsidRDefault="00073058" w:rsidP="002A26AF">
                  <w:pPr>
                    <w:jc w:val="both"/>
                    <w:rPr>
                      <w:b/>
                      <w:bCs/>
                    </w:rPr>
                  </w:pPr>
                  <w:r w:rsidRPr="00B952D1">
                    <w:rPr>
                      <w:b/>
                      <w:bCs/>
                    </w:rPr>
                    <w:t>Activities of ECE bodies of interest to the Working Party:</w:t>
                  </w:r>
                </w:p>
                <w:p w14:paraId="5631D427" w14:textId="77777777" w:rsidR="002A26AF" w:rsidRPr="00B952D1" w:rsidRDefault="00373060" w:rsidP="002A26AF">
                  <w:pPr>
                    <w:jc w:val="both"/>
                    <w:rPr>
                      <w:b/>
                    </w:rPr>
                  </w:pPr>
                  <w:r w:rsidRPr="00B952D1">
                    <w:rPr>
                      <w:b/>
                      <w:bCs/>
                    </w:rPr>
                    <w:t>Inland Transport Committee</w:t>
                  </w:r>
                </w:p>
              </w:tc>
              <w:tc>
                <w:tcPr>
                  <w:tcW w:w="2409" w:type="dxa"/>
                </w:tcPr>
                <w:p w14:paraId="50A4B39C" w14:textId="77777777" w:rsidR="000C2B80" w:rsidRPr="00B952D1" w:rsidRDefault="000C2B80" w:rsidP="000C2B80">
                  <w:pPr>
                    <w:rPr>
                      <w:b/>
                    </w:rPr>
                  </w:pPr>
                </w:p>
                <w:p w14:paraId="598B4089" w14:textId="77777777" w:rsidR="000C2B80" w:rsidRPr="00B952D1" w:rsidRDefault="000C2B80" w:rsidP="000C2B80">
                  <w:pPr>
                    <w:rPr>
                      <w:b/>
                    </w:rPr>
                  </w:pPr>
                </w:p>
                <w:p w14:paraId="4E37B1F1" w14:textId="736BB5C2" w:rsidR="000C2B80" w:rsidRPr="00B952D1" w:rsidRDefault="00B952D1" w:rsidP="000C2B80">
                  <w:pPr>
                    <w:spacing w:after="120"/>
                    <w:rPr>
                      <w:bCs/>
                    </w:rPr>
                  </w:pPr>
                  <w:r w:rsidRPr="00B952D1">
                    <w:t>9</w:t>
                  </w:r>
                  <w:r w:rsidR="00E7067E" w:rsidRPr="00B952D1">
                    <w:t xml:space="preserve"> </w:t>
                  </w:r>
                  <w:r w:rsidR="00C12CC1" w:rsidRPr="00B952D1">
                    <w:t>October</w:t>
                  </w:r>
                  <w:r w:rsidR="00E7067E" w:rsidRPr="00B952D1">
                    <w:t xml:space="preserve"> </w:t>
                  </w:r>
                  <w:r w:rsidR="000C2B80" w:rsidRPr="00B952D1">
                    <w:rPr>
                      <w:bCs/>
                    </w:rPr>
                    <w:t>202</w:t>
                  </w:r>
                  <w:r w:rsidR="00887F31" w:rsidRPr="00B952D1">
                    <w:rPr>
                      <w:bCs/>
                    </w:rPr>
                    <w:t>3</w:t>
                  </w:r>
                </w:p>
                <w:p w14:paraId="49B25327" w14:textId="77777777" w:rsidR="000C2B80" w:rsidRPr="00B952D1" w:rsidRDefault="000C2B80" w:rsidP="000C2B80">
                  <w:pPr>
                    <w:rPr>
                      <w:bCs/>
                    </w:rPr>
                  </w:pPr>
                  <w:r w:rsidRPr="00B952D1">
                    <w:rPr>
                      <w:bCs/>
                    </w:rPr>
                    <w:t>English</w:t>
                  </w:r>
                </w:p>
              </w:tc>
            </w:tr>
          </w:tbl>
          <w:p w14:paraId="26158FDA"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243C6980" w14:textId="77777777" w:rsidR="000C2B80" w:rsidRPr="00A92B1E" w:rsidRDefault="000C2B80" w:rsidP="000C2B80">
            <w:pPr>
              <w:spacing w:before="120"/>
              <w:ind w:right="425" w:firstLine="284"/>
              <w:rPr>
                <w:color w:val="000000"/>
                <w:spacing w:val="-3"/>
              </w:rPr>
            </w:pPr>
          </w:p>
        </w:tc>
      </w:tr>
    </w:tbl>
    <w:p w14:paraId="18483228" w14:textId="77777777" w:rsidR="00881AD2" w:rsidRPr="00A0006C" w:rsidRDefault="001020C6" w:rsidP="00881AD2">
      <w:pPr>
        <w:pStyle w:val="HChG"/>
        <w:rPr>
          <w:lang w:eastAsia="de-DE"/>
        </w:rPr>
      </w:pPr>
      <w:r>
        <w:tab/>
      </w:r>
      <w:r>
        <w:tab/>
      </w:r>
      <w:r w:rsidR="00881AD2" w:rsidRPr="00A0006C">
        <w:t>ITC strategy on climate change</w:t>
      </w:r>
      <w:r w:rsidR="00881AD2" w:rsidRPr="000070B1">
        <w:t xml:space="preserve"> </w:t>
      </w:r>
      <w:r w:rsidR="00881AD2">
        <w:rPr>
          <w:lang w:val="fr-CH"/>
        </w:rPr>
        <w:t xml:space="preserve">mitigation - </w:t>
      </w:r>
      <w:r w:rsidR="00881AD2">
        <w:t>Draft contribution</w:t>
      </w:r>
    </w:p>
    <w:p w14:paraId="24B8D471" w14:textId="77777777" w:rsidR="00881AD2" w:rsidRPr="00A0006C" w:rsidRDefault="00881AD2" w:rsidP="00881AD2">
      <w:pPr>
        <w:pStyle w:val="HChG"/>
        <w:tabs>
          <w:tab w:val="left" w:pos="1134"/>
          <w:tab w:val="left" w:pos="1701"/>
          <w:tab w:val="left" w:pos="2268"/>
          <w:tab w:val="left" w:pos="2835"/>
          <w:tab w:val="left" w:pos="3402"/>
          <w:tab w:val="left" w:pos="7623"/>
        </w:tabs>
        <w:spacing w:before="240" w:after="120"/>
        <w:rPr>
          <w:sz w:val="24"/>
          <w:szCs w:val="24"/>
        </w:rPr>
      </w:pPr>
      <w:r w:rsidRPr="00A0006C">
        <w:rPr>
          <w:sz w:val="24"/>
          <w:szCs w:val="24"/>
        </w:rPr>
        <w:tab/>
      </w:r>
      <w:r w:rsidRPr="00A0006C">
        <w:rPr>
          <w:sz w:val="24"/>
          <w:szCs w:val="24"/>
        </w:rPr>
        <w:tab/>
        <w:t>Note by the secretariat</w:t>
      </w:r>
      <w:r>
        <w:rPr>
          <w:sz w:val="24"/>
          <w:szCs w:val="24"/>
        </w:rPr>
        <w:t xml:space="preserve"> </w:t>
      </w:r>
      <w:r w:rsidR="005B36D9">
        <w:rPr>
          <w:sz w:val="24"/>
          <w:szCs w:val="24"/>
        </w:rPr>
        <w:t xml:space="preserve">in collaboration with </w:t>
      </w:r>
      <w:r w:rsidR="00900CB8">
        <w:rPr>
          <w:sz w:val="24"/>
          <w:szCs w:val="24"/>
        </w:rPr>
        <w:t xml:space="preserve">the </w:t>
      </w:r>
      <w:r w:rsidR="005B36D9">
        <w:rPr>
          <w:sz w:val="24"/>
          <w:szCs w:val="24"/>
        </w:rPr>
        <w:t xml:space="preserve">WP.11 </w:t>
      </w:r>
      <w:r w:rsidR="004F3B19">
        <w:rPr>
          <w:sz w:val="24"/>
          <w:szCs w:val="24"/>
        </w:rPr>
        <w:t>B</w:t>
      </w:r>
      <w:r w:rsidR="005B36D9">
        <w:rPr>
          <w:sz w:val="24"/>
          <w:szCs w:val="24"/>
        </w:rPr>
        <w:t>ureau</w:t>
      </w:r>
    </w:p>
    <w:p w14:paraId="61BAB775" w14:textId="77777777" w:rsidR="00881AD2" w:rsidRPr="00A0006C" w:rsidRDefault="00881AD2" w:rsidP="00881AD2">
      <w:pPr>
        <w:pStyle w:val="HChG"/>
        <w:spacing w:before="240" w:after="120"/>
        <w:rPr>
          <w:lang w:eastAsia="de-DE"/>
        </w:rPr>
      </w:pPr>
      <w:r w:rsidRPr="00A0006C">
        <w:tab/>
        <w:t>I.</w:t>
      </w:r>
      <w:r w:rsidRPr="00A0006C">
        <w:tab/>
        <w:t>Introduction</w:t>
      </w:r>
    </w:p>
    <w:p w14:paraId="531CFD7C" w14:textId="77777777" w:rsidR="00881AD2" w:rsidRPr="00A0006C" w:rsidRDefault="00881AD2" w:rsidP="00881AD2">
      <w:pPr>
        <w:tabs>
          <w:tab w:val="left" w:pos="1701"/>
          <w:tab w:val="left" w:pos="2268"/>
        </w:tabs>
        <w:spacing w:after="120"/>
        <w:ind w:left="1134" w:right="1134"/>
        <w:jc w:val="both"/>
        <w:rPr>
          <w:rFonts w:eastAsia="SimSun"/>
          <w:lang w:eastAsia="zh-CN"/>
        </w:rPr>
      </w:pPr>
      <w:r w:rsidRPr="00A0006C">
        <w:rPr>
          <w:rFonts w:eastAsia="SimSun"/>
          <w:lang w:eastAsia="zh-CN"/>
        </w:rPr>
        <w:t>1.</w:t>
      </w:r>
      <w:r w:rsidRPr="00A0006C">
        <w:rPr>
          <w:rFonts w:eastAsia="SimSun"/>
          <w:lang w:eastAsia="zh-CN"/>
        </w:rPr>
        <w:tab/>
        <w:t xml:space="preserve">In 2020 and 2021, the Inland Transport Committee (ITC) reiterated its wish to strengthen its contribution to the monitoring and implementation of the transport-related targets of the 2030 Agenda and requested its subsidiary bodies to align their work accordingly. </w:t>
      </w:r>
    </w:p>
    <w:p w14:paraId="1A35732A" w14:textId="77777777" w:rsidR="00881AD2" w:rsidRPr="00A0006C" w:rsidRDefault="00881AD2" w:rsidP="00881AD2">
      <w:pPr>
        <w:tabs>
          <w:tab w:val="left" w:pos="1701"/>
          <w:tab w:val="left" w:pos="2268"/>
        </w:tabs>
        <w:spacing w:after="120"/>
        <w:ind w:left="1134" w:right="1134"/>
        <w:jc w:val="both"/>
        <w:rPr>
          <w:rFonts w:eastAsia="SimSun"/>
          <w:lang w:eastAsia="zh-CN"/>
        </w:rPr>
      </w:pPr>
      <w:r w:rsidRPr="00A0006C">
        <w:rPr>
          <w:rFonts w:eastAsia="SimSun"/>
          <w:lang w:eastAsia="zh-CN"/>
        </w:rPr>
        <w:t>2.</w:t>
      </w:r>
      <w:r w:rsidRPr="00A0006C">
        <w:rPr>
          <w:rFonts w:eastAsia="SimSun"/>
          <w:lang w:eastAsia="zh-CN"/>
        </w:rPr>
        <w:tab/>
        <w:t xml:space="preserve">At its February 2023 session and on the basis of document ECE/TRANS/2023/21, the Committee decided to strengthen its role and contribution </w:t>
      </w:r>
      <w:r w:rsidR="00290AEF">
        <w:rPr>
          <w:rFonts w:eastAsia="SimSun"/>
          <w:lang w:eastAsia="zh-CN"/>
        </w:rPr>
        <w:t xml:space="preserve">to </w:t>
      </w:r>
      <w:r w:rsidRPr="00A0006C">
        <w:rPr>
          <w:rFonts w:eastAsia="SimSun"/>
          <w:lang w:eastAsia="zh-CN"/>
        </w:rPr>
        <w:t>climate change</w:t>
      </w:r>
      <w:r w:rsidR="00290AEF">
        <w:rPr>
          <w:rFonts w:eastAsia="SimSun"/>
          <w:lang w:eastAsia="zh-CN"/>
        </w:rPr>
        <w:t xml:space="preserve"> mitigation</w:t>
      </w:r>
      <w:r w:rsidRPr="00A0006C">
        <w:rPr>
          <w:rFonts w:eastAsia="SimSun"/>
          <w:lang w:eastAsia="zh-CN"/>
        </w:rPr>
        <w:t>, which is addressed horizontally by several of the Committee’s subsidiary bodies as well as the Committee itself. It therefore requested the secretariat, in close cooperation with the ITC Bureau and relevant subsidiary bodies, to develop an ambitious strategy document for reducing greenhouse gas emissions in inland transport</w:t>
      </w:r>
      <w:r>
        <w:rPr>
          <w:rFonts w:eastAsia="SimSun"/>
          <w:lang w:eastAsia="zh-CN"/>
        </w:rPr>
        <w:t>. The strategy document was</w:t>
      </w:r>
      <w:r w:rsidRPr="00A0006C">
        <w:rPr>
          <w:rFonts w:eastAsia="SimSun"/>
          <w:lang w:eastAsia="zh-CN"/>
        </w:rPr>
        <w:t xml:space="preserve"> based on international United Nations legal instruments under the purview of the Committee, with priority actions for the ITC and its relevant subsidiary bodies and supported by a strong action plan with milestones (ECE/TRANS/328, para</w:t>
      </w:r>
      <w:r>
        <w:rPr>
          <w:rFonts w:eastAsia="SimSun"/>
          <w:lang w:eastAsia="zh-CN"/>
        </w:rPr>
        <w:t>.</w:t>
      </w:r>
      <w:r w:rsidRPr="00A0006C">
        <w:rPr>
          <w:rFonts w:eastAsia="SimSun"/>
          <w:lang w:eastAsia="zh-CN"/>
        </w:rPr>
        <w:t xml:space="preserve"> 60).</w:t>
      </w:r>
    </w:p>
    <w:p w14:paraId="0F8FC211" w14:textId="1C51CAE6" w:rsidR="00881AD2" w:rsidRDefault="00881AD2" w:rsidP="00881AD2">
      <w:pPr>
        <w:tabs>
          <w:tab w:val="left" w:pos="1701"/>
          <w:tab w:val="left" w:pos="2268"/>
        </w:tabs>
        <w:spacing w:after="120"/>
        <w:ind w:left="1134" w:right="1134"/>
        <w:jc w:val="both"/>
        <w:rPr>
          <w:rFonts w:eastAsia="SimSun"/>
          <w:lang w:eastAsia="zh-CN"/>
        </w:rPr>
      </w:pPr>
      <w:r w:rsidRPr="00A0006C">
        <w:rPr>
          <w:rFonts w:eastAsia="SimSun"/>
          <w:lang w:eastAsia="zh-CN"/>
        </w:rPr>
        <w:t>3.</w:t>
      </w:r>
      <w:r w:rsidRPr="00A0006C">
        <w:rPr>
          <w:rFonts w:eastAsia="SimSun"/>
          <w:lang w:eastAsia="zh-CN"/>
        </w:rPr>
        <w:tab/>
        <w:t>The ITC Chair h</w:t>
      </w:r>
      <w:r w:rsidR="00DA5B33">
        <w:rPr>
          <w:rFonts w:eastAsia="SimSun"/>
          <w:lang w:eastAsia="zh-CN"/>
        </w:rPr>
        <w:t>e</w:t>
      </w:r>
      <w:r w:rsidRPr="00A0006C">
        <w:rPr>
          <w:rFonts w:eastAsia="SimSun"/>
          <w:lang w:eastAsia="zh-CN"/>
        </w:rPr>
        <w:t xml:space="preserve">ld a meeting on 11 September </w:t>
      </w:r>
      <w:r>
        <w:rPr>
          <w:rFonts w:eastAsia="SimSun"/>
          <w:lang w:eastAsia="zh-CN"/>
        </w:rPr>
        <w:t xml:space="preserve">2023 </w:t>
      </w:r>
      <w:r w:rsidRPr="00A0006C">
        <w:rPr>
          <w:rFonts w:eastAsia="SimSun"/>
          <w:lang w:eastAsia="zh-CN"/>
        </w:rPr>
        <w:t>to discuss the objective to introduce the outline and envisaged elements of the strategy with all chairs of the subsidiary Working Parties/Administrative Committees and to invite all stakeholders to provide feedback as inputs for the discussion at the next session in February 2024. The ITC Bureau members, the secretaries to the Working Parties and the members of the Division’s internal Task Force on the ITC Decisions on Climate Change also attended the meeting.</w:t>
      </w:r>
    </w:p>
    <w:p w14:paraId="62FDD97D" w14:textId="2B0A2DBC" w:rsidR="0042387B" w:rsidRPr="00A0006C" w:rsidRDefault="0042387B" w:rsidP="0042387B">
      <w:pPr>
        <w:pStyle w:val="HChG"/>
        <w:spacing w:before="240" w:after="120"/>
        <w:rPr>
          <w:lang w:eastAsia="de-DE"/>
        </w:rPr>
      </w:pPr>
      <w:r>
        <w:tab/>
        <w:t>II</w:t>
      </w:r>
      <w:r w:rsidRPr="00A0006C">
        <w:t>.</w:t>
      </w:r>
      <w:r w:rsidRPr="00A0006C">
        <w:tab/>
      </w:r>
      <w:r>
        <w:t xml:space="preserve">Contribution to the biennial report </w:t>
      </w:r>
      <w:r w:rsidRPr="00170E70">
        <w:t>on climate change</w:t>
      </w:r>
    </w:p>
    <w:p w14:paraId="1914B54F" w14:textId="104FB640" w:rsidR="005A5163" w:rsidRPr="00BC2407" w:rsidRDefault="00881AD2" w:rsidP="005A5163">
      <w:pPr>
        <w:tabs>
          <w:tab w:val="left" w:pos="1701"/>
          <w:tab w:val="left" w:pos="2268"/>
        </w:tabs>
        <w:spacing w:after="120"/>
        <w:ind w:left="1134" w:right="1134"/>
        <w:jc w:val="both"/>
      </w:pPr>
      <w:bookmarkStart w:id="0" w:name="_Hlk145519626"/>
      <w:r w:rsidRPr="00B1100C">
        <w:t>4.</w:t>
      </w:r>
      <w:r w:rsidRPr="00B1100C">
        <w:tab/>
      </w:r>
      <w:r w:rsidR="005A5163" w:rsidRPr="00B1100C">
        <w:t xml:space="preserve">During </w:t>
      </w:r>
      <w:r w:rsidR="008878B4" w:rsidRPr="00B1100C">
        <w:t>its seventy-</w:t>
      </w:r>
      <w:r w:rsidR="00CD5EED" w:rsidRPr="00B1100C">
        <w:t xml:space="preserve">sixth session, WP.11 </w:t>
      </w:r>
      <w:r w:rsidR="00FE49DF" w:rsidRPr="00B1100C">
        <w:t>confirmed that its work and the ATP Agreement were fully in line with the ITC strategy, and that it would remain aligned as long as the ATP Agreement was kept relevant and up to date with technological progress.</w:t>
      </w:r>
      <w:r w:rsidR="005A5163" w:rsidRPr="00B1100C">
        <w:t xml:space="preserve"> </w:t>
      </w:r>
      <w:r w:rsidR="00BC2407" w:rsidRPr="00BC2407">
        <w:t>Also, ways to reduce global warming and climate change</w:t>
      </w:r>
      <w:r w:rsidR="00BC2407">
        <w:t xml:space="preserve"> impact</w:t>
      </w:r>
      <w:r w:rsidR="00BC2407" w:rsidRPr="00BC2407">
        <w:t>, particularly reduction of greenhouse gas emission</w:t>
      </w:r>
      <w:r w:rsidR="00BC2407">
        <w:t>s</w:t>
      </w:r>
      <w:r w:rsidR="00BC2407" w:rsidRPr="00BC2407">
        <w:t>, and in general the 2023 agenda objectives were constantly considered as part of its work</w:t>
      </w:r>
      <w:r w:rsidR="005A5163" w:rsidRPr="00B1100C">
        <w:t>.</w:t>
      </w:r>
    </w:p>
    <w:bookmarkEnd w:id="0"/>
    <w:p w14:paraId="4A7C54D7" w14:textId="40894895" w:rsidR="00881AD2" w:rsidRPr="00A0006C" w:rsidRDefault="00881AD2" w:rsidP="00881AD2">
      <w:pPr>
        <w:pStyle w:val="HChG"/>
        <w:rPr>
          <w:lang w:eastAsia="de-DE"/>
        </w:rPr>
      </w:pPr>
      <w:r w:rsidRPr="00A0006C">
        <w:tab/>
        <w:t>II</w:t>
      </w:r>
      <w:r w:rsidR="0042387B">
        <w:t>I</w:t>
      </w:r>
      <w:r w:rsidRPr="00A0006C">
        <w:t>.</w:t>
      </w:r>
      <w:r w:rsidRPr="00A0006C">
        <w:tab/>
      </w:r>
      <w:r w:rsidR="00541003">
        <w:t xml:space="preserve">Ideas for contributing to the </w:t>
      </w:r>
      <w:r w:rsidR="00541003" w:rsidRPr="00A0006C">
        <w:t>ITC strategy on climate change</w:t>
      </w:r>
      <w:r w:rsidR="00541003" w:rsidRPr="000070B1">
        <w:t xml:space="preserve"> </w:t>
      </w:r>
      <w:r w:rsidR="00541003" w:rsidRPr="000506CC">
        <w:t>mitigation</w:t>
      </w:r>
    </w:p>
    <w:p w14:paraId="1ECF9E57" w14:textId="77777777" w:rsidR="00881AD2" w:rsidRPr="00A0006C" w:rsidRDefault="00B163F8" w:rsidP="00881AD2">
      <w:pPr>
        <w:pStyle w:val="SingleTxtG"/>
      </w:pPr>
      <w:r>
        <w:t>5</w:t>
      </w:r>
      <w:r w:rsidR="00881AD2" w:rsidRPr="00A0006C">
        <w:t>.</w:t>
      </w:r>
      <w:r w:rsidR="00881AD2" w:rsidRPr="00A0006C">
        <w:tab/>
      </w:r>
      <w:r w:rsidR="00881AD2">
        <w:t xml:space="preserve">To </w:t>
      </w:r>
      <w:r w:rsidR="00881AD2" w:rsidRPr="00A0006C">
        <w:t xml:space="preserve">provide inputs and feedback to the ITC secretariat, </w:t>
      </w:r>
      <w:r w:rsidR="001A6E35">
        <w:t xml:space="preserve">WP.11 </w:t>
      </w:r>
      <w:r w:rsidR="00881AD2" w:rsidRPr="00A0006C">
        <w:t>may wish to identify which of their current and future activities could be listed in the ITC Climate Action Plan and propose milestones.</w:t>
      </w:r>
    </w:p>
    <w:p w14:paraId="1DFA281B" w14:textId="77777777" w:rsidR="00881AD2" w:rsidRPr="00A0006C" w:rsidRDefault="00B163F8" w:rsidP="00881AD2">
      <w:pPr>
        <w:tabs>
          <w:tab w:val="left" w:pos="1701"/>
          <w:tab w:val="left" w:pos="2268"/>
        </w:tabs>
        <w:spacing w:after="120"/>
        <w:ind w:left="1134" w:right="1134"/>
        <w:jc w:val="both"/>
      </w:pPr>
      <w:r>
        <w:lastRenderedPageBreak/>
        <w:t>6</w:t>
      </w:r>
      <w:r w:rsidR="00881AD2" w:rsidRPr="00A0006C">
        <w:t>.</w:t>
      </w:r>
      <w:r w:rsidR="00881AD2" w:rsidRPr="00A0006C">
        <w:tab/>
        <w:t xml:space="preserve">Examples </w:t>
      </w:r>
      <w:r w:rsidR="00413078">
        <w:t xml:space="preserve">of activities that can be undertaken </w:t>
      </w:r>
      <w:r w:rsidR="005D3816">
        <w:t>by WP.11</w:t>
      </w:r>
      <w:r w:rsidR="00881AD2" w:rsidRPr="00A0006C">
        <w:t xml:space="preserve"> where a positive effect in climate change mitigation is achieved are listed below</w:t>
      </w:r>
      <w:r w:rsidR="005D3816">
        <w:t>:</w:t>
      </w:r>
    </w:p>
    <w:p w14:paraId="20E145A3" w14:textId="77777777" w:rsidR="00881AD2" w:rsidRPr="00A0006C" w:rsidRDefault="00881AD2" w:rsidP="00881AD2">
      <w:pPr>
        <w:tabs>
          <w:tab w:val="left" w:pos="1701"/>
          <w:tab w:val="left" w:pos="2268"/>
        </w:tabs>
        <w:spacing w:after="120"/>
        <w:ind w:left="1134" w:right="1134"/>
        <w:jc w:val="both"/>
      </w:pPr>
      <w:r>
        <w:tab/>
        <w:t>(a)</w:t>
      </w:r>
      <w:r w:rsidRPr="00A0006C">
        <w:tab/>
      </w:r>
      <w:r>
        <w:t>For g</w:t>
      </w:r>
      <w:r w:rsidRPr="00A0006C">
        <w:t xml:space="preserve">reening the vehicles transporting </w:t>
      </w:r>
      <w:r w:rsidR="005D3816">
        <w:t>perishable foodstuffs</w:t>
      </w:r>
      <w:r>
        <w:t xml:space="preserve"> efforts are currently done </w:t>
      </w:r>
      <w:r w:rsidR="008B7ECF">
        <w:t xml:space="preserve">to define the scope of the ATP agreement </w:t>
      </w:r>
      <w:r w:rsidR="004E597A">
        <w:t xml:space="preserve">with the view of including </w:t>
      </w:r>
      <w:r w:rsidRPr="00A0006C">
        <w:t xml:space="preserve">provisions to enable the use of </w:t>
      </w:r>
      <w:r w:rsidRPr="00CD4308">
        <w:rPr>
          <w:rFonts w:eastAsia="SimSun"/>
          <w:lang w:eastAsia="zh-CN"/>
        </w:rPr>
        <w:t>alternative</w:t>
      </w:r>
      <w:r w:rsidRPr="00A0006C">
        <w:t xml:space="preserve"> </w:t>
      </w:r>
      <w:r w:rsidR="001A3B89">
        <w:t>energy sources for prop</w:t>
      </w:r>
      <w:r w:rsidR="00DD2B11">
        <w:t xml:space="preserve">ulsion and refrigeration as well as the use of </w:t>
      </w:r>
      <w:r w:rsidRPr="00A0006C">
        <w:t>electrified vehicles</w:t>
      </w:r>
      <w:r>
        <w:t>;</w:t>
      </w:r>
    </w:p>
    <w:p w14:paraId="7D395008" w14:textId="77777777" w:rsidR="00881AD2" w:rsidRPr="00A0006C" w:rsidRDefault="00881AD2" w:rsidP="00881AD2">
      <w:pPr>
        <w:tabs>
          <w:tab w:val="left" w:pos="1701"/>
          <w:tab w:val="left" w:pos="2268"/>
        </w:tabs>
        <w:spacing w:after="120"/>
        <w:ind w:left="1134" w:right="1134"/>
        <w:jc w:val="both"/>
      </w:pPr>
      <w:r>
        <w:tab/>
        <w:t>(b)</w:t>
      </w:r>
      <w:r>
        <w:tab/>
      </w:r>
      <w:r w:rsidRPr="00A0006C">
        <w:t xml:space="preserve">Adoption of provisions to </w:t>
      </w:r>
      <w:r w:rsidR="004E597A">
        <w:t xml:space="preserve">streamline the replacement of refrigerants </w:t>
      </w:r>
      <w:r w:rsidR="009B545B">
        <w:t xml:space="preserve">for those </w:t>
      </w:r>
      <w:r w:rsidR="009B545B" w:rsidRPr="009D5B88">
        <w:t xml:space="preserve">with lower </w:t>
      </w:r>
      <w:r w:rsidR="009D5B88" w:rsidRPr="009D5B88">
        <w:t>Global Warming Potential (GWP)</w:t>
      </w:r>
      <w:r w:rsidRPr="009D5B88">
        <w:t>;</w:t>
      </w:r>
      <w:r w:rsidRPr="00A0006C">
        <w:t xml:space="preserve"> </w:t>
      </w:r>
    </w:p>
    <w:p w14:paraId="1AC05099" w14:textId="5CE49571" w:rsidR="00881AD2" w:rsidRPr="00A0006C" w:rsidRDefault="00881AD2" w:rsidP="00881AD2">
      <w:pPr>
        <w:tabs>
          <w:tab w:val="left" w:pos="1701"/>
          <w:tab w:val="left" w:pos="2268"/>
        </w:tabs>
        <w:spacing w:after="120"/>
        <w:ind w:left="1134" w:right="1134"/>
        <w:jc w:val="both"/>
      </w:pPr>
      <w:r>
        <w:tab/>
        <w:t>(c)</w:t>
      </w:r>
      <w:r>
        <w:tab/>
      </w:r>
      <w:r w:rsidR="00BC2407" w:rsidRPr="00BC2407">
        <w:t xml:space="preserve">Promoting temperature controlled transportation </w:t>
      </w:r>
      <w:r w:rsidR="00BC2407">
        <w:t xml:space="preserve">of perishable foodstuffs </w:t>
      </w:r>
      <w:r w:rsidR="00BC2407" w:rsidRPr="00BC2407">
        <w:t>to reduce food waste</w:t>
      </w:r>
      <w:r w:rsidR="00BC2407">
        <w:t xml:space="preserve"> and</w:t>
      </w:r>
      <w:r w:rsidR="00B64667">
        <w:t xml:space="preserve"> the application of the ATP Agreement for the national transport </w:t>
      </w:r>
      <w:r w:rsidR="00A46A5D">
        <w:t>of perishable foodstuffs</w:t>
      </w:r>
      <w:r w:rsidRPr="00A0006C">
        <w:t>;</w:t>
      </w:r>
    </w:p>
    <w:p w14:paraId="5EE0C3A3" w14:textId="77777777" w:rsidR="00881AD2" w:rsidRDefault="00881AD2" w:rsidP="00881AD2">
      <w:pPr>
        <w:tabs>
          <w:tab w:val="left" w:pos="1701"/>
          <w:tab w:val="left" w:pos="2268"/>
        </w:tabs>
        <w:spacing w:after="120"/>
        <w:ind w:left="1134" w:right="1134"/>
        <w:jc w:val="both"/>
      </w:pPr>
      <w:r>
        <w:tab/>
        <w:t>(d)</w:t>
      </w:r>
      <w:r>
        <w:tab/>
      </w:r>
      <w:r w:rsidR="00A46A5D">
        <w:t xml:space="preserve">Following </w:t>
      </w:r>
      <w:r w:rsidR="001A68FE">
        <w:t xml:space="preserve">closely </w:t>
      </w:r>
      <w:r w:rsidR="001D3BBA">
        <w:t xml:space="preserve">the work done in </w:t>
      </w:r>
      <w:r w:rsidR="004F0A31">
        <w:t>standardization</w:t>
      </w:r>
      <w:r w:rsidR="001D3BBA">
        <w:t xml:space="preserve"> organizations related to </w:t>
      </w:r>
      <w:r w:rsidR="00A157E0">
        <w:t xml:space="preserve">refrigerated </w:t>
      </w:r>
      <w:r w:rsidR="00C3233B">
        <w:t>or insulated container used for last mile deliveries</w:t>
      </w:r>
      <w:r w:rsidRPr="00A0006C">
        <w:t>;</w:t>
      </w:r>
    </w:p>
    <w:p w14:paraId="6FBE3E0C" w14:textId="77777777" w:rsidR="00743F78" w:rsidRPr="00A0006C" w:rsidRDefault="00743F78" w:rsidP="00881AD2">
      <w:pPr>
        <w:tabs>
          <w:tab w:val="left" w:pos="1701"/>
          <w:tab w:val="left" w:pos="2268"/>
        </w:tabs>
        <w:spacing w:after="120"/>
        <w:ind w:left="1134" w:right="1134"/>
        <w:jc w:val="both"/>
      </w:pPr>
      <w:r>
        <w:tab/>
      </w:r>
      <w:r w:rsidR="00AE0998" w:rsidRPr="000C55B0">
        <w:t>(e)</w:t>
      </w:r>
      <w:r w:rsidR="00AE0998" w:rsidRPr="000C55B0">
        <w:tab/>
      </w:r>
      <w:r w:rsidR="00A44325" w:rsidRPr="000C55B0">
        <w:t xml:space="preserve">Following </w:t>
      </w:r>
      <w:r w:rsidR="001A68FE" w:rsidRPr="000C55B0">
        <w:t xml:space="preserve">the work </w:t>
      </w:r>
      <w:r w:rsidR="00AE0998" w:rsidRPr="000C55B0">
        <w:t xml:space="preserve">of </w:t>
      </w:r>
      <w:r w:rsidR="00A44325" w:rsidRPr="000C55B0">
        <w:t xml:space="preserve">ISO </w:t>
      </w:r>
      <w:r w:rsidR="00AE0998" w:rsidRPr="000C55B0">
        <w:t xml:space="preserve">related to maritime </w:t>
      </w:r>
      <w:r w:rsidR="00A44325" w:rsidRPr="000C55B0">
        <w:t>containers</w:t>
      </w:r>
      <w:r w:rsidR="00390BBE">
        <w:t>;</w:t>
      </w:r>
    </w:p>
    <w:p w14:paraId="705F3988" w14:textId="0FB6EB45" w:rsidR="00881AD2" w:rsidRDefault="00881AD2" w:rsidP="00881AD2">
      <w:pPr>
        <w:tabs>
          <w:tab w:val="left" w:pos="1701"/>
          <w:tab w:val="left" w:pos="2268"/>
        </w:tabs>
        <w:spacing w:after="120"/>
        <w:ind w:left="1134" w:right="1134"/>
      </w:pPr>
      <w:r>
        <w:tab/>
        <w:t>(</w:t>
      </w:r>
      <w:r w:rsidR="00AE0998">
        <w:t>f</w:t>
      </w:r>
      <w:r>
        <w:t>)</w:t>
      </w:r>
      <w:r>
        <w:tab/>
      </w:r>
      <w:r w:rsidRPr="00A0006C">
        <w:t>Work</w:t>
      </w:r>
      <w:r w:rsidR="00BC2407">
        <w:t>ing</w:t>
      </w:r>
      <w:r w:rsidRPr="00A0006C">
        <w:t xml:space="preserve"> to allow electronic versions of</w:t>
      </w:r>
      <w:r>
        <w:t xml:space="preserve"> </w:t>
      </w:r>
      <w:r w:rsidRPr="00A0006C">
        <w:t>documents;</w:t>
      </w:r>
    </w:p>
    <w:p w14:paraId="102F1B42" w14:textId="77777777" w:rsidR="00A5356C" w:rsidRDefault="00A5356C" w:rsidP="00775369">
      <w:pPr>
        <w:tabs>
          <w:tab w:val="left" w:pos="1701"/>
          <w:tab w:val="left" w:pos="2268"/>
        </w:tabs>
        <w:spacing w:after="120"/>
        <w:ind w:left="1134" w:right="1134"/>
        <w:jc w:val="both"/>
      </w:pPr>
      <w:r>
        <w:tab/>
        <w:t>(</w:t>
      </w:r>
      <w:r w:rsidR="00AE0998">
        <w:t>g</w:t>
      </w:r>
      <w:r>
        <w:t>)</w:t>
      </w:r>
      <w:r>
        <w:tab/>
        <w:t xml:space="preserve">Drafting </w:t>
      </w:r>
      <w:r w:rsidR="00D66CC6">
        <w:t>guidance material for the transport of other perishable goods not included in the ATP agreement</w:t>
      </w:r>
      <w:r w:rsidR="00D034DA" w:rsidRPr="00D034DA">
        <w:t xml:space="preserve"> </w:t>
      </w:r>
      <w:r w:rsidR="00D034DA">
        <w:t>and sharing best practices</w:t>
      </w:r>
      <w:r w:rsidR="0033067A">
        <w:t xml:space="preserve"> for the transport of all perishable goods</w:t>
      </w:r>
      <w:r w:rsidR="00D66CC6">
        <w:t xml:space="preserve">. </w:t>
      </w:r>
      <w:r w:rsidR="009B2619">
        <w:t xml:space="preserve">This is </w:t>
      </w:r>
      <w:r w:rsidR="00B8258C">
        <w:t>especially</w:t>
      </w:r>
      <w:r w:rsidR="009B2619">
        <w:t xml:space="preserve"> important to </w:t>
      </w:r>
      <w:r w:rsidR="00B8258C">
        <w:t>prevent food waste and related CO</w:t>
      </w:r>
      <w:r w:rsidR="00B8258C" w:rsidRPr="00DA5B33">
        <w:rPr>
          <w:vertAlign w:val="subscript"/>
        </w:rPr>
        <w:t>2</w:t>
      </w:r>
      <w:r w:rsidR="00B8258C">
        <w:t xml:space="preserve"> emissions</w:t>
      </w:r>
      <w:r w:rsidR="00905BB0">
        <w:t>.</w:t>
      </w:r>
    </w:p>
    <w:p w14:paraId="7A356866" w14:textId="77777777" w:rsidR="00881AD2" w:rsidRPr="00A0006C" w:rsidRDefault="00B163F8" w:rsidP="00881AD2">
      <w:pPr>
        <w:pStyle w:val="SingleTxtG"/>
      </w:pPr>
      <w:r w:rsidRPr="00760CCC">
        <w:t>7</w:t>
      </w:r>
      <w:r w:rsidR="00881AD2" w:rsidRPr="00760CCC">
        <w:t>.</w:t>
      </w:r>
      <w:r w:rsidR="00881AD2" w:rsidRPr="00760CCC">
        <w:tab/>
        <w:t xml:space="preserve">Future work might include </w:t>
      </w:r>
      <w:r w:rsidR="00554A9D" w:rsidRPr="00760CCC">
        <w:rPr>
          <w:rStyle w:val="ui-provider"/>
        </w:rPr>
        <w:t>considering alternative</w:t>
      </w:r>
      <w:r w:rsidR="000E0115" w:rsidRPr="00760CCC">
        <w:rPr>
          <w:rStyle w:val="ui-provider"/>
        </w:rPr>
        <w:t xml:space="preserve"> transport modes for perishable foodstuffs</w:t>
      </w:r>
      <w:r w:rsidR="00881AD2" w:rsidRPr="00760CCC">
        <w:rPr>
          <w:rStyle w:val="ui-provider"/>
        </w:rPr>
        <w:t>.</w:t>
      </w:r>
      <w:r w:rsidR="000E0115" w:rsidRPr="00760CCC">
        <w:rPr>
          <w:rStyle w:val="ui-provider"/>
        </w:rPr>
        <w:t xml:space="preserve"> So far the ATP Agreement </w:t>
      </w:r>
      <w:r w:rsidR="00F50FCF" w:rsidRPr="00760CCC">
        <w:rPr>
          <w:rStyle w:val="ui-provider"/>
        </w:rPr>
        <w:t>only includes road</w:t>
      </w:r>
      <w:r w:rsidR="00BC727B">
        <w:rPr>
          <w:rStyle w:val="ui-provider"/>
        </w:rPr>
        <w:t xml:space="preserve"> and </w:t>
      </w:r>
      <w:r w:rsidR="00F50FCF" w:rsidRPr="00760CCC">
        <w:rPr>
          <w:rStyle w:val="ui-provider"/>
        </w:rPr>
        <w:t>rail</w:t>
      </w:r>
      <w:r w:rsidR="00B67E6B">
        <w:rPr>
          <w:rStyle w:val="ui-provider"/>
        </w:rPr>
        <w:t>.</w:t>
      </w:r>
      <w:r w:rsidR="00F50FCF" w:rsidRPr="00760CCC">
        <w:rPr>
          <w:rStyle w:val="ui-provider"/>
        </w:rPr>
        <w:t xml:space="preserve"> </w:t>
      </w:r>
      <w:r w:rsidR="00D67A49">
        <w:rPr>
          <w:rStyle w:val="ui-provider"/>
        </w:rPr>
        <w:t>Greener a</w:t>
      </w:r>
      <w:r w:rsidR="006F0769" w:rsidRPr="00760CCC">
        <w:rPr>
          <w:rStyle w:val="ui-provider"/>
        </w:rPr>
        <w:t xml:space="preserve">lternatives like </w:t>
      </w:r>
      <w:r w:rsidR="00AC024E" w:rsidRPr="00760CCC">
        <w:rPr>
          <w:rStyle w:val="ui-provider"/>
        </w:rPr>
        <w:t xml:space="preserve">maritime </w:t>
      </w:r>
      <w:r w:rsidR="00A5356C" w:rsidRPr="00760CCC">
        <w:rPr>
          <w:rStyle w:val="ui-provider"/>
        </w:rPr>
        <w:t xml:space="preserve">or </w:t>
      </w:r>
      <w:r w:rsidR="006F0769" w:rsidRPr="00760CCC">
        <w:rPr>
          <w:rStyle w:val="ui-provider"/>
        </w:rPr>
        <w:t>inland water</w:t>
      </w:r>
      <w:r w:rsidR="00AC024E" w:rsidRPr="00760CCC">
        <w:rPr>
          <w:rStyle w:val="ui-provider"/>
        </w:rPr>
        <w:t xml:space="preserve">ways transport </w:t>
      </w:r>
      <w:r w:rsidR="008B43BE">
        <w:rPr>
          <w:rStyle w:val="ui-provider"/>
        </w:rPr>
        <w:t xml:space="preserve">using ATP </w:t>
      </w:r>
      <w:r w:rsidR="000B0BF0">
        <w:rPr>
          <w:rStyle w:val="ui-provider"/>
        </w:rPr>
        <w:t xml:space="preserve">special equipment </w:t>
      </w:r>
      <w:r w:rsidR="00AC024E" w:rsidRPr="00760CCC">
        <w:rPr>
          <w:rStyle w:val="ui-provider"/>
        </w:rPr>
        <w:t>could be considered.</w:t>
      </w:r>
    </w:p>
    <w:p w14:paraId="6DF2FE73" w14:textId="77777777" w:rsidR="00881AD2" w:rsidRPr="00F62C43" w:rsidRDefault="00B163F8" w:rsidP="00881AD2">
      <w:pPr>
        <w:pStyle w:val="SingleTxtG"/>
      </w:pPr>
      <w:r>
        <w:t>8</w:t>
      </w:r>
      <w:r w:rsidR="00881AD2" w:rsidRPr="00A0006C">
        <w:t>.</w:t>
      </w:r>
      <w:r w:rsidR="00881AD2" w:rsidRPr="00A0006C">
        <w:tab/>
      </w:r>
      <w:r w:rsidR="00881AD2" w:rsidRPr="00F62C43">
        <w:t>From an organisational point of view,</w:t>
      </w:r>
      <w:r w:rsidR="00881AD2" w:rsidRPr="00A0006C">
        <w:t xml:space="preserve"> the </w:t>
      </w:r>
      <w:r w:rsidR="00881AD2" w:rsidRPr="00F62C43">
        <w:t xml:space="preserve">ITC strategy </w:t>
      </w:r>
      <w:r w:rsidR="00881AD2">
        <w:t>c</w:t>
      </w:r>
      <w:r w:rsidR="00881AD2" w:rsidRPr="00F62C43">
        <w:t xml:space="preserve">ould be an opportunity for ITC to develop </w:t>
      </w:r>
      <w:r w:rsidR="00881AD2">
        <w:t>a framework</w:t>
      </w:r>
      <w:r w:rsidR="00881AD2" w:rsidRPr="00F62C43">
        <w:t xml:space="preserve"> for all its subsidiary bodies to be</w:t>
      </w:r>
      <w:r w:rsidR="00881AD2">
        <w:t>come</w:t>
      </w:r>
      <w:r w:rsidR="00881AD2" w:rsidRPr="00F62C43">
        <w:t xml:space="preserve"> more climate neutral, by </w:t>
      </w:r>
      <w:r w:rsidR="00881AD2" w:rsidRPr="00F62C43">
        <w:rPr>
          <w:u w:val="single"/>
        </w:rPr>
        <w:t>encouraging hybrid meetings</w:t>
      </w:r>
      <w:r w:rsidR="00881AD2" w:rsidRPr="00F62C43">
        <w:t xml:space="preserve">. </w:t>
      </w:r>
      <w:r w:rsidR="00881AD2" w:rsidRPr="008B4A65">
        <w:t xml:space="preserve">This would imply considering adapting current rules of procedures to </w:t>
      </w:r>
      <w:r w:rsidR="00881AD2">
        <w:t>a</w:t>
      </w:r>
      <w:r w:rsidR="00881AD2" w:rsidRPr="008B4A65">
        <w:t xml:space="preserve"> new format and </w:t>
      </w:r>
      <w:r w:rsidR="00881AD2">
        <w:t xml:space="preserve">providing </w:t>
      </w:r>
      <w:r w:rsidR="00881AD2" w:rsidRPr="008B4A65">
        <w:t>guidelines</w:t>
      </w:r>
      <w:r w:rsidR="00881AD2">
        <w:t xml:space="preserve">. It </w:t>
      </w:r>
      <w:r w:rsidR="00881AD2" w:rsidRPr="008B4A65">
        <w:t>w</w:t>
      </w:r>
      <w:r w:rsidR="00881AD2">
        <w:t>ould</w:t>
      </w:r>
      <w:r w:rsidR="00881AD2" w:rsidRPr="008B4A65">
        <w:t xml:space="preserve"> </w:t>
      </w:r>
      <w:r w:rsidR="00881AD2">
        <w:t xml:space="preserve">also </w:t>
      </w:r>
      <w:r w:rsidR="00881AD2" w:rsidRPr="008B4A65">
        <w:t>help to facilitate and encourage broader participation.</w:t>
      </w:r>
    </w:p>
    <w:p w14:paraId="1E18631D" w14:textId="77777777" w:rsidR="00CA5F05" w:rsidRPr="00E61415" w:rsidRDefault="00E61415" w:rsidP="00E61415">
      <w:pPr>
        <w:spacing w:before="240"/>
        <w:jc w:val="center"/>
        <w:rPr>
          <w:u w:val="single"/>
        </w:rPr>
      </w:pPr>
      <w:r>
        <w:rPr>
          <w:u w:val="single"/>
        </w:rPr>
        <w:tab/>
      </w:r>
      <w:r>
        <w:rPr>
          <w:u w:val="single"/>
        </w:rPr>
        <w:tab/>
      </w:r>
      <w:r>
        <w:rPr>
          <w:u w:val="single"/>
        </w:rPr>
        <w:tab/>
      </w:r>
    </w:p>
    <w:sectPr w:rsidR="00CA5F05" w:rsidRPr="00E61415"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092E" w14:textId="77777777" w:rsidR="006F576D" w:rsidRPr="00FB1744" w:rsidRDefault="006F576D" w:rsidP="00FB1744">
      <w:pPr>
        <w:pStyle w:val="Footer"/>
      </w:pPr>
    </w:p>
  </w:endnote>
  <w:endnote w:type="continuationSeparator" w:id="0">
    <w:p w14:paraId="25A46F97" w14:textId="77777777" w:rsidR="006F576D" w:rsidRPr="00FB1744" w:rsidRDefault="006F576D" w:rsidP="00FB1744">
      <w:pPr>
        <w:pStyle w:val="Footer"/>
      </w:pPr>
    </w:p>
  </w:endnote>
  <w:endnote w:type="continuationNotice" w:id="1">
    <w:p w14:paraId="7BEDD41B" w14:textId="77777777" w:rsidR="006F576D" w:rsidRDefault="006F57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154B"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FC6753">
      <w:rPr>
        <w:b/>
        <w:bCs/>
        <w:noProof/>
        <w:sz w:val="18"/>
      </w:rPr>
      <w:t>2</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D9F"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D9E6" w14:textId="77777777" w:rsidR="006F576D" w:rsidRPr="00FB1744" w:rsidRDefault="006F576D" w:rsidP="00FB1744">
      <w:pPr>
        <w:tabs>
          <w:tab w:val="right" w:pos="2155"/>
        </w:tabs>
        <w:spacing w:after="80" w:line="240" w:lineRule="auto"/>
        <w:ind w:left="680"/>
      </w:pPr>
      <w:r>
        <w:rPr>
          <w:u w:val="single"/>
        </w:rPr>
        <w:tab/>
      </w:r>
    </w:p>
  </w:footnote>
  <w:footnote w:type="continuationSeparator" w:id="0">
    <w:p w14:paraId="243E1445" w14:textId="77777777" w:rsidR="006F576D" w:rsidRPr="00FB1744" w:rsidRDefault="006F576D" w:rsidP="00FB1744">
      <w:pPr>
        <w:tabs>
          <w:tab w:val="right" w:pos="2155"/>
        </w:tabs>
        <w:spacing w:after="80" w:line="240" w:lineRule="auto"/>
        <w:ind w:left="680"/>
      </w:pPr>
      <w:r>
        <w:rPr>
          <w:u w:val="single"/>
        </w:rPr>
        <w:tab/>
      </w:r>
    </w:p>
  </w:footnote>
  <w:footnote w:type="continuationNotice" w:id="1">
    <w:p w14:paraId="151909AD" w14:textId="77777777" w:rsidR="006F576D" w:rsidRDefault="006F57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F16" w14:textId="1A6FA6B0" w:rsidR="002D18CF" w:rsidRPr="000C2B80" w:rsidRDefault="000C2B80" w:rsidP="002D18CF">
    <w:pPr>
      <w:pStyle w:val="Header"/>
      <w:rPr>
        <w:lang w:val="fr-CH"/>
      </w:rPr>
    </w:pPr>
    <w:r>
      <w:rPr>
        <w:lang w:val="fr-CH"/>
      </w:rPr>
      <w:t>INF.</w:t>
    </w:r>
    <w:r w:rsidR="00FC2301">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1483" w14:textId="77777777" w:rsidR="002D18CF" w:rsidRPr="000C2B80" w:rsidRDefault="000C2B80" w:rsidP="002D18CF">
    <w:pPr>
      <w:pStyle w:val="Header"/>
      <w:jc w:val="right"/>
      <w:rPr>
        <w:lang w:val="fr-CH"/>
      </w:rPr>
    </w:pPr>
    <w:r>
      <w:rPr>
        <w:lang w:val="fr-CH"/>
      </w:rPr>
      <w:t>INF.</w:t>
    </w:r>
    <w:r w:rsidR="009E36A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6"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4492846">
    <w:abstractNumId w:val="18"/>
  </w:num>
  <w:num w:numId="2" w16cid:durableId="557863067">
    <w:abstractNumId w:val="16"/>
  </w:num>
  <w:num w:numId="3" w16cid:durableId="1715881955">
    <w:abstractNumId w:val="10"/>
  </w:num>
  <w:num w:numId="4" w16cid:durableId="1466853494">
    <w:abstractNumId w:val="22"/>
  </w:num>
  <w:num w:numId="5" w16cid:durableId="697045406">
    <w:abstractNumId w:val="23"/>
  </w:num>
  <w:num w:numId="6" w16cid:durableId="694579445">
    <w:abstractNumId w:val="31"/>
  </w:num>
  <w:num w:numId="7" w16cid:durableId="219749470">
    <w:abstractNumId w:val="13"/>
  </w:num>
  <w:num w:numId="8" w16cid:durableId="316419327">
    <w:abstractNumId w:val="17"/>
  </w:num>
  <w:num w:numId="9" w16cid:durableId="836920030">
    <w:abstractNumId w:val="1"/>
  </w:num>
  <w:num w:numId="10" w16cid:durableId="291332786">
    <w:abstractNumId w:val="0"/>
  </w:num>
  <w:num w:numId="11" w16cid:durableId="1820535909">
    <w:abstractNumId w:val="2"/>
  </w:num>
  <w:num w:numId="12" w16cid:durableId="1037008862">
    <w:abstractNumId w:val="3"/>
  </w:num>
  <w:num w:numId="13" w16cid:durableId="7607047">
    <w:abstractNumId w:val="8"/>
  </w:num>
  <w:num w:numId="14" w16cid:durableId="85346334">
    <w:abstractNumId w:val="9"/>
  </w:num>
  <w:num w:numId="15" w16cid:durableId="218631436">
    <w:abstractNumId w:val="7"/>
  </w:num>
  <w:num w:numId="16" w16cid:durableId="890531826">
    <w:abstractNumId w:val="6"/>
  </w:num>
  <w:num w:numId="17" w16cid:durableId="1284770977">
    <w:abstractNumId w:val="5"/>
  </w:num>
  <w:num w:numId="18" w16cid:durableId="566263514">
    <w:abstractNumId w:val="4"/>
  </w:num>
  <w:num w:numId="19" w16cid:durableId="694309418">
    <w:abstractNumId w:val="14"/>
  </w:num>
  <w:num w:numId="20" w16cid:durableId="46413585">
    <w:abstractNumId w:val="19"/>
  </w:num>
  <w:num w:numId="21" w16cid:durableId="690035671">
    <w:abstractNumId w:val="15"/>
  </w:num>
  <w:num w:numId="22" w16cid:durableId="1430806821">
    <w:abstractNumId w:val="24"/>
  </w:num>
  <w:num w:numId="23" w16cid:durableId="1116217567">
    <w:abstractNumId w:val="30"/>
  </w:num>
  <w:num w:numId="24" w16cid:durableId="78992292">
    <w:abstractNumId w:val="12"/>
  </w:num>
  <w:num w:numId="25" w16cid:durableId="1307470352">
    <w:abstractNumId w:val="29"/>
  </w:num>
  <w:num w:numId="26" w16cid:durableId="335042171">
    <w:abstractNumId w:val="21"/>
  </w:num>
  <w:num w:numId="27" w16cid:durableId="1680884973">
    <w:abstractNumId w:val="25"/>
  </w:num>
  <w:num w:numId="28" w16cid:durableId="1519346049">
    <w:abstractNumId w:val="11"/>
  </w:num>
  <w:num w:numId="29" w16cid:durableId="141628945">
    <w:abstractNumId w:val="27"/>
  </w:num>
  <w:num w:numId="30" w16cid:durableId="722601412">
    <w:abstractNumId w:val="20"/>
  </w:num>
  <w:num w:numId="31" w16cid:durableId="667290675">
    <w:abstractNumId w:val="26"/>
  </w:num>
  <w:num w:numId="32" w16cid:durableId="15880738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506CC"/>
    <w:rsid w:val="00073058"/>
    <w:rsid w:val="00087AD8"/>
    <w:rsid w:val="000B0BF0"/>
    <w:rsid w:val="000B664C"/>
    <w:rsid w:val="000C1C74"/>
    <w:rsid w:val="000C29EF"/>
    <w:rsid w:val="000C2B80"/>
    <w:rsid w:val="000C55B0"/>
    <w:rsid w:val="000D1B89"/>
    <w:rsid w:val="000D7BA0"/>
    <w:rsid w:val="000E0115"/>
    <w:rsid w:val="000F2D3F"/>
    <w:rsid w:val="001020C6"/>
    <w:rsid w:val="0011479F"/>
    <w:rsid w:val="001170DC"/>
    <w:rsid w:val="0018353A"/>
    <w:rsid w:val="001A09F4"/>
    <w:rsid w:val="001A3B89"/>
    <w:rsid w:val="001A68FE"/>
    <w:rsid w:val="001A6E35"/>
    <w:rsid w:val="001C2868"/>
    <w:rsid w:val="001C4519"/>
    <w:rsid w:val="001C5536"/>
    <w:rsid w:val="001D3BBA"/>
    <w:rsid w:val="001D5564"/>
    <w:rsid w:val="001E105A"/>
    <w:rsid w:val="001E391D"/>
    <w:rsid w:val="001E4853"/>
    <w:rsid w:val="00202A4B"/>
    <w:rsid w:val="00221675"/>
    <w:rsid w:val="002270AC"/>
    <w:rsid w:val="00231E6A"/>
    <w:rsid w:val="002340E4"/>
    <w:rsid w:val="00247E2C"/>
    <w:rsid w:val="00282508"/>
    <w:rsid w:val="00290AEF"/>
    <w:rsid w:val="002A26AF"/>
    <w:rsid w:val="002D18CF"/>
    <w:rsid w:val="002D439F"/>
    <w:rsid w:val="002D6C53"/>
    <w:rsid w:val="002F07D0"/>
    <w:rsid w:val="002F5595"/>
    <w:rsid w:val="002F56B7"/>
    <w:rsid w:val="0032099E"/>
    <w:rsid w:val="0033067A"/>
    <w:rsid w:val="00334F6A"/>
    <w:rsid w:val="00340AFB"/>
    <w:rsid w:val="00342AC8"/>
    <w:rsid w:val="00373060"/>
    <w:rsid w:val="00390BBE"/>
    <w:rsid w:val="003B4550"/>
    <w:rsid w:val="003C0A45"/>
    <w:rsid w:val="003E3672"/>
    <w:rsid w:val="003F1DFF"/>
    <w:rsid w:val="004032A8"/>
    <w:rsid w:val="00413078"/>
    <w:rsid w:val="00417397"/>
    <w:rsid w:val="0041767D"/>
    <w:rsid w:val="0042387B"/>
    <w:rsid w:val="004255FE"/>
    <w:rsid w:val="00426FA2"/>
    <w:rsid w:val="0043448D"/>
    <w:rsid w:val="00456087"/>
    <w:rsid w:val="00461253"/>
    <w:rsid w:val="00461F59"/>
    <w:rsid w:val="004934C6"/>
    <w:rsid w:val="004E597A"/>
    <w:rsid w:val="004F0A31"/>
    <w:rsid w:val="004F3B19"/>
    <w:rsid w:val="00501628"/>
    <w:rsid w:val="005042C2"/>
    <w:rsid w:val="00506C12"/>
    <w:rsid w:val="005270FC"/>
    <w:rsid w:val="00541003"/>
    <w:rsid w:val="00552466"/>
    <w:rsid w:val="00554A9D"/>
    <w:rsid w:val="0056599A"/>
    <w:rsid w:val="00587690"/>
    <w:rsid w:val="005A5163"/>
    <w:rsid w:val="005B08D1"/>
    <w:rsid w:val="005B36D9"/>
    <w:rsid w:val="005C1032"/>
    <w:rsid w:val="005C70FF"/>
    <w:rsid w:val="005D024A"/>
    <w:rsid w:val="005D3816"/>
    <w:rsid w:val="005D4454"/>
    <w:rsid w:val="005F06F2"/>
    <w:rsid w:val="005F7003"/>
    <w:rsid w:val="006079CB"/>
    <w:rsid w:val="00632749"/>
    <w:rsid w:val="006604B7"/>
    <w:rsid w:val="00671529"/>
    <w:rsid w:val="006846F5"/>
    <w:rsid w:val="00687DFE"/>
    <w:rsid w:val="00695892"/>
    <w:rsid w:val="006B24B4"/>
    <w:rsid w:val="006C0D53"/>
    <w:rsid w:val="006D7E82"/>
    <w:rsid w:val="006E6D4D"/>
    <w:rsid w:val="006F0769"/>
    <w:rsid w:val="006F40C3"/>
    <w:rsid w:val="006F576D"/>
    <w:rsid w:val="00703BBD"/>
    <w:rsid w:val="00717266"/>
    <w:rsid w:val="007268F9"/>
    <w:rsid w:val="00743F78"/>
    <w:rsid w:val="00760CCC"/>
    <w:rsid w:val="00761D32"/>
    <w:rsid w:val="00770E69"/>
    <w:rsid w:val="00775369"/>
    <w:rsid w:val="00780A81"/>
    <w:rsid w:val="00787570"/>
    <w:rsid w:val="007C52B0"/>
    <w:rsid w:val="007E3E3A"/>
    <w:rsid w:val="007E4403"/>
    <w:rsid w:val="007F0335"/>
    <w:rsid w:val="007F3AC3"/>
    <w:rsid w:val="008124FE"/>
    <w:rsid w:val="00813AC3"/>
    <w:rsid w:val="00815873"/>
    <w:rsid w:val="00847DAD"/>
    <w:rsid w:val="00881AD2"/>
    <w:rsid w:val="008878B4"/>
    <w:rsid w:val="00887F31"/>
    <w:rsid w:val="008B43BE"/>
    <w:rsid w:val="008B7ECF"/>
    <w:rsid w:val="008D060F"/>
    <w:rsid w:val="00900CB8"/>
    <w:rsid w:val="00901D57"/>
    <w:rsid w:val="00905BB0"/>
    <w:rsid w:val="009411B4"/>
    <w:rsid w:val="00955E2B"/>
    <w:rsid w:val="00994049"/>
    <w:rsid w:val="009A34E1"/>
    <w:rsid w:val="009A63F6"/>
    <w:rsid w:val="009B2619"/>
    <w:rsid w:val="009B545B"/>
    <w:rsid w:val="009D0139"/>
    <w:rsid w:val="009D5B88"/>
    <w:rsid w:val="009E36A4"/>
    <w:rsid w:val="009E4218"/>
    <w:rsid w:val="009E6429"/>
    <w:rsid w:val="009F5CDC"/>
    <w:rsid w:val="00A032EB"/>
    <w:rsid w:val="00A068BC"/>
    <w:rsid w:val="00A10EF0"/>
    <w:rsid w:val="00A157E0"/>
    <w:rsid w:val="00A429CD"/>
    <w:rsid w:val="00A44325"/>
    <w:rsid w:val="00A46A5D"/>
    <w:rsid w:val="00A5356C"/>
    <w:rsid w:val="00A56530"/>
    <w:rsid w:val="00A64C7A"/>
    <w:rsid w:val="00A7359C"/>
    <w:rsid w:val="00A775CF"/>
    <w:rsid w:val="00AB3C7E"/>
    <w:rsid w:val="00AC024E"/>
    <w:rsid w:val="00AC33BC"/>
    <w:rsid w:val="00AE0998"/>
    <w:rsid w:val="00AE710D"/>
    <w:rsid w:val="00AF5845"/>
    <w:rsid w:val="00B06045"/>
    <w:rsid w:val="00B1100C"/>
    <w:rsid w:val="00B11CBD"/>
    <w:rsid w:val="00B163F8"/>
    <w:rsid w:val="00B4553E"/>
    <w:rsid w:val="00B64667"/>
    <w:rsid w:val="00B662C1"/>
    <w:rsid w:val="00B67E6B"/>
    <w:rsid w:val="00B768C2"/>
    <w:rsid w:val="00B8258C"/>
    <w:rsid w:val="00B952D1"/>
    <w:rsid w:val="00B95EF6"/>
    <w:rsid w:val="00BA6DE9"/>
    <w:rsid w:val="00BA6FB3"/>
    <w:rsid w:val="00BB16E9"/>
    <w:rsid w:val="00BC2407"/>
    <w:rsid w:val="00BC727B"/>
    <w:rsid w:val="00BF7E2B"/>
    <w:rsid w:val="00C12CC1"/>
    <w:rsid w:val="00C32109"/>
    <w:rsid w:val="00C3233B"/>
    <w:rsid w:val="00C35A27"/>
    <w:rsid w:val="00C4155A"/>
    <w:rsid w:val="00C54041"/>
    <w:rsid w:val="00C70780"/>
    <w:rsid w:val="00C83B36"/>
    <w:rsid w:val="00C94CCC"/>
    <w:rsid w:val="00CA5F05"/>
    <w:rsid w:val="00CB00E9"/>
    <w:rsid w:val="00CB1EAC"/>
    <w:rsid w:val="00CB78BA"/>
    <w:rsid w:val="00CC2E0B"/>
    <w:rsid w:val="00CC6247"/>
    <w:rsid w:val="00CD5661"/>
    <w:rsid w:val="00CD5EED"/>
    <w:rsid w:val="00CF36F8"/>
    <w:rsid w:val="00D034DA"/>
    <w:rsid w:val="00D56775"/>
    <w:rsid w:val="00D66CC6"/>
    <w:rsid w:val="00D67A49"/>
    <w:rsid w:val="00D72068"/>
    <w:rsid w:val="00D93960"/>
    <w:rsid w:val="00DA5B33"/>
    <w:rsid w:val="00DD2B11"/>
    <w:rsid w:val="00DE33BB"/>
    <w:rsid w:val="00E00163"/>
    <w:rsid w:val="00E02C2B"/>
    <w:rsid w:val="00E05DDE"/>
    <w:rsid w:val="00E113C0"/>
    <w:rsid w:val="00E16DF7"/>
    <w:rsid w:val="00E61415"/>
    <w:rsid w:val="00E7067E"/>
    <w:rsid w:val="00EA30C2"/>
    <w:rsid w:val="00EB3BEF"/>
    <w:rsid w:val="00EB4157"/>
    <w:rsid w:val="00EC3BE2"/>
    <w:rsid w:val="00ED6C48"/>
    <w:rsid w:val="00F16E44"/>
    <w:rsid w:val="00F50FCF"/>
    <w:rsid w:val="00F65DAA"/>
    <w:rsid w:val="00F65F5D"/>
    <w:rsid w:val="00F750DD"/>
    <w:rsid w:val="00F86A3A"/>
    <w:rsid w:val="00F90144"/>
    <w:rsid w:val="00F91F3F"/>
    <w:rsid w:val="00FB1744"/>
    <w:rsid w:val="00FB7F41"/>
    <w:rsid w:val="00FC04AB"/>
    <w:rsid w:val="00FC2301"/>
    <w:rsid w:val="00FC6753"/>
    <w:rsid w:val="00FE49DF"/>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3C748"/>
  <w15:docId w15:val="{6B771701-BEAB-41B4-ADFC-3F307A96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qFormat/>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10"/>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 w:type="paragraph" w:styleId="PlainText">
    <w:name w:val="Plain Text"/>
    <w:basedOn w:val="Normal"/>
    <w:link w:val="PlainTextChar"/>
    <w:semiHidden/>
    <w:rsid w:val="00881AD2"/>
    <w:rPr>
      <w:rFonts w:cs="Courier New"/>
    </w:rPr>
  </w:style>
  <w:style w:type="character" w:customStyle="1" w:styleId="PlainTextChar">
    <w:name w:val="Plain Text Char"/>
    <w:basedOn w:val="DefaultParagraphFont"/>
    <w:link w:val="PlainText"/>
    <w:semiHidden/>
    <w:rsid w:val="00881AD2"/>
    <w:rPr>
      <w:rFonts w:ascii="Times New Roman" w:eastAsia="Times New Roman" w:hAnsi="Times New Roman" w:cs="Courier New"/>
      <w:sz w:val="20"/>
      <w:szCs w:val="20"/>
      <w:lang w:eastAsia="en-US"/>
    </w:rPr>
  </w:style>
  <w:style w:type="character" w:customStyle="1" w:styleId="ui-provider">
    <w:name w:val="ui-provider"/>
    <w:basedOn w:val="DefaultParagraphFont"/>
    <w:rsid w:val="00881AD2"/>
  </w:style>
  <w:style w:type="character" w:customStyle="1" w:styleId="cf01">
    <w:name w:val="cf01"/>
    <w:basedOn w:val="DefaultParagraphFont"/>
    <w:rsid w:val="00BC24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741A3830-BD7E-4831-B2AE-492AB9677217}">
  <ds:schemaRefs>
    <ds:schemaRef ds:uri="http://schemas.openxmlformats.org/officeDocument/2006/bibliography"/>
  </ds:schemaRefs>
</ds:datastoreItem>
</file>

<file path=customXml/itemProps3.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1E7B8-8541-436C-A0A5-6D88FD102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ECE/TRANS/WP.11/2020/1/Rev.1</vt:lpstr>
      <vt:lpstr>ECE/TRANS/WP.11/2020/1/Rev.1</vt:lpstr>
    </vt:vector>
  </TitlesOfParts>
  <Company>DCM</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lastModifiedBy>Editorial</cp:lastModifiedBy>
  <cp:revision>6</cp:revision>
  <dcterms:created xsi:type="dcterms:W3CDTF">2023-09-29T11:35:00Z</dcterms:created>
  <dcterms:modified xsi:type="dcterms:W3CDTF">2023-10-09T09:49:00Z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