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5B08D1">
        <w:trPr>
          <w:cantSplit/>
          <w:trHeight w:hRule="exact" w:val="851"/>
        </w:trPr>
        <w:tc>
          <w:tcPr>
            <w:tcW w:w="9781" w:type="dxa"/>
            <w:tcBorders>
              <w:bottom w:val="single" w:sz="4" w:space="0" w:color="auto"/>
            </w:tcBorders>
            <w:vAlign w:val="bottom"/>
          </w:tcPr>
          <w:p w14:paraId="146774F5" w14:textId="20526F0E" w:rsidR="000C2B80" w:rsidRPr="00A92B1E" w:rsidRDefault="000C2B80" w:rsidP="000C2B80">
            <w:pPr>
              <w:ind w:firstLine="284"/>
              <w:jc w:val="right"/>
              <w:rPr>
                <w:color w:val="000000"/>
                <w:spacing w:val="-3"/>
              </w:rPr>
            </w:pPr>
            <w:r w:rsidRPr="00A92B1E">
              <w:rPr>
                <w:b/>
                <w:color w:val="000000"/>
                <w:spacing w:val="-3"/>
                <w:sz w:val="40"/>
                <w:szCs w:val="40"/>
              </w:rPr>
              <w:t>INF.</w:t>
            </w:r>
            <w:r w:rsidR="00A777CB">
              <w:rPr>
                <w:b/>
                <w:color w:val="000000"/>
                <w:spacing w:val="-3"/>
                <w:sz w:val="40"/>
                <w:szCs w:val="40"/>
              </w:rPr>
              <w:t>6</w:t>
            </w:r>
          </w:p>
        </w:tc>
      </w:tr>
      <w:tr w:rsidR="000C2B80" w:rsidRPr="00A92B1E" w14:paraId="4C011641" w14:textId="77777777" w:rsidTr="00E113C0">
        <w:trPr>
          <w:cantSplit/>
          <w:trHeight w:hRule="exact" w:val="2846"/>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787570">
              <w:trPr>
                <w:cantSplit/>
                <w:trHeight w:val="3119"/>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6ACDE7F3" w:rsidR="00B11CBD" w:rsidRPr="00B11CBD" w:rsidRDefault="00887F31" w:rsidP="00B11CBD">
                  <w:pPr>
                    <w:spacing w:before="120"/>
                    <w:rPr>
                      <w:b/>
                      <w:lang w:eastAsia="fr-FR"/>
                    </w:rPr>
                  </w:pPr>
                  <w:r>
                    <w:rPr>
                      <w:b/>
                      <w:lang w:eastAsia="fr-FR"/>
                    </w:rPr>
                    <w:t>Eightieth</w:t>
                  </w:r>
                  <w:r w:rsidR="00B11CBD" w:rsidRPr="00B11CBD">
                    <w:rPr>
                      <w:b/>
                      <w:lang w:eastAsia="fr-FR"/>
                    </w:rPr>
                    <w:t xml:space="preserve"> session</w:t>
                  </w:r>
                </w:p>
                <w:p w14:paraId="7F27C3C4" w14:textId="3DE05C75" w:rsidR="00B11CBD" w:rsidRPr="00B11CBD" w:rsidRDefault="00B11CBD" w:rsidP="00B11CBD">
                  <w:pPr>
                    <w:rPr>
                      <w:lang w:eastAsia="fr-FR"/>
                    </w:rPr>
                  </w:pPr>
                  <w:r w:rsidRPr="00B11CBD">
                    <w:rPr>
                      <w:lang w:eastAsia="fr-FR"/>
                    </w:rPr>
                    <w:t xml:space="preserve">Geneva, </w:t>
                  </w:r>
                  <w:r w:rsidR="00CC2E0B">
                    <w:rPr>
                      <w:lang w:eastAsia="fr-FR"/>
                    </w:rPr>
                    <w:t>2</w:t>
                  </w:r>
                  <w:r w:rsidR="00887F31">
                    <w:rPr>
                      <w:lang w:eastAsia="fr-FR"/>
                    </w:rPr>
                    <w:t>4</w:t>
                  </w:r>
                  <w:r w:rsidRPr="00B11CBD">
                    <w:rPr>
                      <w:lang w:eastAsia="fr-FR"/>
                    </w:rPr>
                    <w:t>-</w:t>
                  </w:r>
                  <w:r w:rsidR="00CC2E0B">
                    <w:rPr>
                      <w:lang w:eastAsia="fr-FR"/>
                    </w:rPr>
                    <w:t>2</w:t>
                  </w:r>
                  <w:r w:rsidR="00887F31">
                    <w:rPr>
                      <w:lang w:eastAsia="fr-FR"/>
                    </w:rPr>
                    <w:t>7</w:t>
                  </w:r>
                  <w:r w:rsidRPr="00B11CBD">
                    <w:rPr>
                      <w:lang w:eastAsia="fr-FR"/>
                    </w:rPr>
                    <w:t xml:space="preserve"> </w:t>
                  </w:r>
                  <w:r w:rsidR="00CC2E0B">
                    <w:rPr>
                      <w:lang w:eastAsia="fr-FR"/>
                    </w:rPr>
                    <w:t>October</w:t>
                  </w:r>
                  <w:r w:rsidRPr="00B11CBD">
                    <w:rPr>
                      <w:lang w:eastAsia="fr-FR"/>
                    </w:rPr>
                    <w:t xml:space="preserve"> 202</w:t>
                  </w:r>
                  <w:r w:rsidR="00887F31">
                    <w:rPr>
                      <w:lang w:eastAsia="fr-FR"/>
                    </w:rPr>
                    <w:t>3</w:t>
                  </w:r>
                </w:p>
                <w:p w14:paraId="248DC402" w14:textId="2582BE43" w:rsidR="00FB7F41" w:rsidRPr="00D85B88" w:rsidRDefault="00B11CBD" w:rsidP="00B11CBD">
                  <w:pPr>
                    <w:rPr>
                      <w:lang w:eastAsia="fr-FR"/>
                    </w:rPr>
                  </w:pPr>
                  <w:r w:rsidRPr="00D85B88">
                    <w:rPr>
                      <w:lang w:eastAsia="fr-FR"/>
                    </w:rPr>
                    <w:t xml:space="preserve">Item </w:t>
                  </w:r>
                  <w:r w:rsidR="00180350" w:rsidRPr="00D85B88">
                    <w:rPr>
                      <w:lang w:eastAsia="fr-FR"/>
                    </w:rPr>
                    <w:t>2</w:t>
                  </w:r>
                  <w:r w:rsidR="00221675" w:rsidRPr="00D85B88">
                    <w:rPr>
                      <w:lang w:eastAsia="fr-FR"/>
                    </w:rPr>
                    <w:t xml:space="preserve"> (</w:t>
                  </w:r>
                  <w:r w:rsidR="00180350" w:rsidRPr="00D85B88">
                    <w:rPr>
                      <w:lang w:eastAsia="fr-FR"/>
                    </w:rPr>
                    <w:t>a</w:t>
                  </w:r>
                  <w:r w:rsidR="00221675" w:rsidRPr="00D85B88">
                    <w:rPr>
                      <w:lang w:eastAsia="fr-FR"/>
                    </w:rPr>
                    <w:t>)</w:t>
                  </w:r>
                  <w:r w:rsidRPr="00D85B88">
                    <w:rPr>
                      <w:lang w:eastAsia="fr-FR"/>
                    </w:rPr>
                    <w:t xml:space="preserve"> </w:t>
                  </w:r>
                  <w:r w:rsidR="00CB78BA" w:rsidRPr="00D85B88">
                    <w:rPr>
                      <w:lang w:eastAsia="fr-FR"/>
                    </w:rPr>
                    <w:t>of the provisional agenda</w:t>
                  </w:r>
                </w:p>
                <w:p w14:paraId="01B31782" w14:textId="03F11500" w:rsidR="000C2B80" w:rsidRPr="00D85B88" w:rsidRDefault="003F5D8E" w:rsidP="002A26AF">
                  <w:pPr>
                    <w:jc w:val="both"/>
                    <w:rPr>
                      <w:b/>
                    </w:rPr>
                  </w:pPr>
                  <w:r w:rsidRPr="00D85B88">
                    <w:rPr>
                      <w:b/>
                    </w:rPr>
                    <w:t xml:space="preserve">Activities of ECE bodies </w:t>
                  </w:r>
                  <w:r w:rsidR="002A26AF" w:rsidRPr="00D85B88">
                    <w:rPr>
                      <w:b/>
                    </w:rPr>
                    <w:t>of interest to the Working Party:</w:t>
                  </w:r>
                </w:p>
                <w:p w14:paraId="4AF4284B" w14:textId="7B6384F9" w:rsidR="002A26AF" w:rsidRPr="00A92B1E" w:rsidRDefault="001E5750" w:rsidP="002A26AF">
                  <w:pPr>
                    <w:jc w:val="both"/>
                    <w:rPr>
                      <w:b/>
                    </w:rPr>
                  </w:pPr>
                  <w:r w:rsidRPr="00D85B88">
                    <w:rPr>
                      <w:b/>
                    </w:rPr>
                    <w:t>Inland Transport Committee</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4DC89990" w:rsidR="000C2B80" w:rsidRPr="00A92B1E" w:rsidRDefault="00BB191D" w:rsidP="000C2B80">
                  <w:pPr>
                    <w:spacing w:after="120"/>
                    <w:rPr>
                      <w:bCs/>
                    </w:rPr>
                  </w:pPr>
                  <w:r>
                    <w:t>9 Octob</w:t>
                  </w:r>
                  <w:r w:rsidR="00CC2E0B">
                    <w:t>er</w:t>
                  </w:r>
                  <w:r w:rsidR="00E7067E">
                    <w:t xml:space="preserve"> </w:t>
                  </w:r>
                  <w:r w:rsidR="000C2B80" w:rsidRPr="00A92B1E">
                    <w:rPr>
                      <w:bCs/>
                    </w:rPr>
                    <w:t>202</w:t>
                  </w:r>
                  <w:r w:rsidR="00887F31">
                    <w:rPr>
                      <w:bCs/>
                    </w:rPr>
                    <w:t>3</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5822D5E6" w14:textId="5847D142" w:rsidR="00B64945" w:rsidRPr="00DC540C" w:rsidRDefault="00B64945" w:rsidP="00B64945">
      <w:pPr>
        <w:pStyle w:val="HChG"/>
      </w:pPr>
      <w:bookmarkStart w:id="0" w:name="_Hlk135216280"/>
      <w:r>
        <w:tab/>
      </w:r>
      <w:r>
        <w:tab/>
        <w:t>Recommended i</w:t>
      </w:r>
      <w:r w:rsidRPr="00DC540C">
        <w:t>nformation for the review of ITC Working Parties</w:t>
      </w:r>
      <w:bookmarkEnd w:id="0"/>
    </w:p>
    <w:p w14:paraId="4B74ABCD" w14:textId="69421DF9" w:rsidR="00B64945" w:rsidRDefault="007D4E01" w:rsidP="007D4E01">
      <w:pPr>
        <w:pStyle w:val="H1G"/>
      </w:pPr>
      <w:r>
        <w:tab/>
      </w:r>
      <w:r>
        <w:tab/>
      </w:r>
      <w:r w:rsidR="004D2096" w:rsidRPr="00D85B88">
        <w:t>Transmitted by the WP.11</w:t>
      </w:r>
      <w:r w:rsidR="00D85B88" w:rsidRPr="00D85B88">
        <w:t>’s</w:t>
      </w:r>
      <w:r w:rsidRPr="00D85B88">
        <w:t xml:space="preserve"> </w:t>
      </w:r>
      <w:r w:rsidR="004D2096" w:rsidRPr="00D85B88">
        <w:t>bureau</w:t>
      </w:r>
      <w:r w:rsidR="004D2096">
        <w:t xml:space="preserve"> </w:t>
      </w:r>
      <w:r w:rsidR="00D85B88">
        <w:t>with inputs from the secretariat</w:t>
      </w:r>
    </w:p>
    <w:p w14:paraId="6DA4E515" w14:textId="77777777" w:rsidR="00E8098D" w:rsidRDefault="00E8098D" w:rsidP="00E8098D">
      <w:pPr>
        <w:jc w:val="both"/>
        <w:rPr>
          <w:i/>
        </w:rPr>
      </w:pPr>
      <w:r w:rsidRPr="009A4A71">
        <w:rPr>
          <w:i/>
        </w:rPr>
        <w:t xml:space="preserve">This document </w:t>
      </w:r>
      <w:r>
        <w:rPr>
          <w:i/>
        </w:rPr>
        <w:t xml:space="preserve">is </w:t>
      </w:r>
      <w:r w:rsidRPr="009A4A71">
        <w:rPr>
          <w:i/>
        </w:rPr>
        <w:t xml:space="preserve">prepared in </w:t>
      </w:r>
      <w:r>
        <w:rPr>
          <w:i/>
        </w:rPr>
        <w:t>implementation of decision 8 of the Inland Transport Committee at its 85</w:t>
      </w:r>
      <w:r w:rsidRPr="00377AD4">
        <w:rPr>
          <w:i/>
          <w:vertAlign w:val="superscript"/>
        </w:rPr>
        <w:t>th</w:t>
      </w:r>
      <w:r>
        <w:rPr>
          <w:i/>
        </w:rPr>
        <w:t xml:space="preserve"> session (</w:t>
      </w:r>
      <w:hyperlink r:id="rId11" w:history="1">
        <w:r w:rsidRPr="005670C9">
          <w:rPr>
            <w:rStyle w:val="Hyperlink"/>
            <w:i/>
          </w:rPr>
          <w:t>ECE/TRANS/328</w:t>
        </w:r>
      </w:hyperlink>
      <w:r>
        <w:rPr>
          <w:i/>
        </w:rPr>
        <w:t>, para 18)</w:t>
      </w:r>
      <w:r w:rsidRPr="009A4A71">
        <w:rPr>
          <w:i/>
        </w:rPr>
        <w:t>.</w:t>
      </w:r>
      <w:r>
        <w:rPr>
          <w:i/>
        </w:rPr>
        <w:t xml:space="preserve"> It covers the 5-year period 2018-2023</w:t>
      </w:r>
      <w:r>
        <w:rPr>
          <w:rStyle w:val="FootnoteReference"/>
          <w:i/>
        </w:rPr>
        <w:footnoteReference w:id="2"/>
      </w:r>
      <w:r>
        <w:rPr>
          <w:i/>
        </w:rPr>
        <w:t>.</w:t>
      </w:r>
    </w:p>
    <w:p w14:paraId="69F550FC" w14:textId="77777777" w:rsidR="00E8098D" w:rsidRDefault="00E8098D" w:rsidP="00E8098D">
      <w:pPr>
        <w:jc w:val="center"/>
        <w:rPr>
          <w:i/>
        </w:rPr>
      </w:pPr>
    </w:p>
    <w:p w14:paraId="0330C538" w14:textId="77777777" w:rsidR="00E8098D" w:rsidRDefault="00E8098D" w:rsidP="00E8098D">
      <w:pPr>
        <w:jc w:val="center"/>
        <w:rPr>
          <w:i/>
        </w:rPr>
      </w:pPr>
      <w:r>
        <w:rPr>
          <w:i/>
        </w:rPr>
        <w:t>[</w:t>
      </w:r>
      <w:r w:rsidRPr="00B94983">
        <w:rPr>
          <w:iCs/>
          <w:color w:val="FF0000"/>
        </w:rPr>
        <w:t>To be filled out by Chair</w:t>
      </w:r>
      <w:r>
        <w:rPr>
          <w:iCs/>
          <w:color w:val="FF0000"/>
        </w:rPr>
        <w:t>s</w:t>
      </w:r>
      <w:r w:rsidRPr="00B94983">
        <w:rPr>
          <w:iCs/>
          <w:color w:val="FF0000"/>
        </w:rPr>
        <w:t xml:space="preserve"> of ITC </w:t>
      </w:r>
      <w:r>
        <w:rPr>
          <w:iCs/>
          <w:color w:val="FF0000"/>
        </w:rPr>
        <w:t xml:space="preserve">Working Parties </w:t>
      </w:r>
      <w:r w:rsidRPr="00B94983">
        <w:rPr>
          <w:iCs/>
          <w:color w:val="FF0000"/>
        </w:rPr>
        <w:t xml:space="preserve">on behalf of the </w:t>
      </w:r>
      <w:r>
        <w:rPr>
          <w:iCs/>
          <w:color w:val="FF0000"/>
        </w:rPr>
        <w:t xml:space="preserve">respective </w:t>
      </w:r>
      <w:r w:rsidRPr="00B94983">
        <w:rPr>
          <w:iCs/>
          <w:color w:val="FF0000"/>
        </w:rPr>
        <w:t>bodies under their responsibility</w:t>
      </w:r>
      <w:r>
        <w:rPr>
          <w:i/>
        </w:rPr>
        <w:t>]</w:t>
      </w:r>
    </w:p>
    <w:p w14:paraId="010A9784" w14:textId="77777777" w:rsidR="00E8098D" w:rsidRDefault="00E8098D" w:rsidP="00E8098D">
      <w:pPr>
        <w:jc w:val="center"/>
        <w:rPr>
          <w:i/>
        </w:rPr>
      </w:pPr>
    </w:p>
    <w:p w14:paraId="0E634FD7" w14:textId="77777777" w:rsidR="00E8098D" w:rsidRDefault="00E8098D" w:rsidP="00E8098D">
      <w:pPr>
        <w:jc w:val="center"/>
        <w:rPr>
          <w:i/>
        </w:rPr>
      </w:pPr>
      <w:proofErr w:type="spellStart"/>
      <w:r>
        <w:rPr>
          <w:i/>
        </w:rPr>
        <w:t>Kees</w:t>
      </w:r>
      <w:proofErr w:type="spellEnd"/>
      <w:r>
        <w:rPr>
          <w:i/>
        </w:rPr>
        <w:t xml:space="preserve"> de Putter, Chair WP.11</w:t>
      </w:r>
    </w:p>
    <w:p w14:paraId="12FAAE03" w14:textId="77777777" w:rsidR="00E8098D" w:rsidRDefault="00E8098D" w:rsidP="00E8098D">
      <w:pPr>
        <w:jc w:val="center"/>
        <w:rPr>
          <w:i/>
        </w:rPr>
      </w:pPr>
      <w:r>
        <w:rPr>
          <w:i/>
        </w:rPr>
        <w:t>Olivier Valet, Vice-Chair WP.11</w:t>
      </w:r>
    </w:p>
    <w:p w14:paraId="35F277AC" w14:textId="77777777" w:rsidR="00E8098D" w:rsidRPr="009A4A71" w:rsidRDefault="00E8098D" w:rsidP="00E8098D">
      <w:pPr>
        <w:jc w:val="both"/>
        <w:rPr>
          <w:i/>
        </w:rPr>
      </w:pPr>
    </w:p>
    <w:p w14:paraId="31E5D191" w14:textId="77777777" w:rsidR="00E8098D" w:rsidRDefault="00E8098D" w:rsidP="00E8098D">
      <w:pPr>
        <w:autoSpaceDE w:val="0"/>
        <w:autoSpaceDN w:val="0"/>
        <w:adjustRightInd w:val="0"/>
        <w:ind w:left="720" w:hanging="720"/>
        <w:jc w:val="both"/>
        <w:rPr>
          <w:lang w:eastAsia="sr-Cyrl-CS"/>
        </w:rPr>
      </w:pPr>
    </w:p>
    <w:p w14:paraId="58A569B0" w14:textId="77777777" w:rsidR="00E8098D" w:rsidRPr="00DC540C" w:rsidRDefault="00E8098D" w:rsidP="00E8098D">
      <w:pPr>
        <w:autoSpaceDE w:val="0"/>
        <w:autoSpaceDN w:val="0"/>
        <w:adjustRightInd w:val="0"/>
        <w:ind w:left="720" w:hanging="720"/>
        <w:jc w:val="both"/>
        <w:rPr>
          <w:b/>
          <w:bCs/>
          <w:sz w:val="28"/>
          <w:szCs w:val="28"/>
          <w:lang w:eastAsia="sr-Cyrl-CS"/>
        </w:rPr>
      </w:pPr>
      <w:r w:rsidRPr="00DC540C">
        <w:rPr>
          <w:b/>
          <w:bCs/>
          <w:sz w:val="28"/>
          <w:szCs w:val="28"/>
          <w:lang w:eastAsia="sr-Cyrl-CS"/>
        </w:rPr>
        <w:t xml:space="preserve">I. </w:t>
      </w:r>
      <w:r w:rsidRPr="00DC540C">
        <w:rPr>
          <w:b/>
          <w:bCs/>
          <w:sz w:val="28"/>
          <w:szCs w:val="28"/>
          <w:lang w:eastAsia="sr-Cyrl-CS"/>
        </w:rPr>
        <w:tab/>
      </w:r>
      <w:r>
        <w:rPr>
          <w:b/>
          <w:bCs/>
          <w:sz w:val="28"/>
          <w:szCs w:val="28"/>
          <w:lang w:eastAsia="sr-Cyrl-CS"/>
        </w:rPr>
        <w:t>Subsidiary body m</w:t>
      </w:r>
      <w:r w:rsidRPr="00DC540C">
        <w:rPr>
          <w:b/>
          <w:bCs/>
          <w:sz w:val="28"/>
          <w:szCs w:val="28"/>
          <w:lang w:eastAsia="sr-Cyrl-CS"/>
        </w:rPr>
        <w:t>andates</w:t>
      </w:r>
      <w:r>
        <w:rPr>
          <w:b/>
          <w:bCs/>
          <w:sz w:val="28"/>
          <w:szCs w:val="28"/>
          <w:lang w:eastAsia="sr-Cyrl-CS"/>
        </w:rPr>
        <w:t xml:space="preserve"> and governance framework</w:t>
      </w:r>
    </w:p>
    <w:p w14:paraId="5CD45FC0" w14:textId="77777777" w:rsidR="00E8098D" w:rsidRPr="00F515E9" w:rsidRDefault="00E8098D" w:rsidP="00E8098D">
      <w:pPr>
        <w:autoSpaceDE w:val="0"/>
        <w:autoSpaceDN w:val="0"/>
        <w:adjustRightInd w:val="0"/>
        <w:ind w:left="1440" w:hanging="720"/>
        <w:jc w:val="both"/>
        <w:rPr>
          <w:b/>
          <w:bCs/>
          <w:lang w:eastAsia="sr-Cyrl-CS"/>
        </w:rPr>
      </w:pPr>
      <w:r w:rsidRPr="00F515E9">
        <w:rPr>
          <w:b/>
          <w:bCs/>
          <w:lang w:eastAsia="sr-Cyrl-CS"/>
        </w:rPr>
        <w:t>A.</w:t>
      </w:r>
      <w:r w:rsidRPr="00F515E9">
        <w:rPr>
          <w:b/>
          <w:bCs/>
          <w:lang w:eastAsia="sr-Cyrl-CS"/>
        </w:rPr>
        <w:tab/>
        <w:t>General Assembly/ECOSOC</w:t>
      </w:r>
    </w:p>
    <w:p w14:paraId="5A6A2848" w14:textId="77777777" w:rsidR="00E8098D" w:rsidRPr="00F515E9" w:rsidRDefault="00E8098D" w:rsidP="00E8098D">
      <w:pPr>
        <w:autoSpaceDE w:val="0"/>
        <w:autoSpaceDN w:val="0"/>
        <w:adjustRightInd w:val="0"/>
        <w:ind w:left="1440" w:hanging="720"/>
        <w:jc w:val="both"/>
        <w:rPr>
          <w:b/>
          <w:bCs/>
          <w:lang w:eastAsia="sr-Cyrl-CS"/>
        </w:rPr>
      </w:pPr>
    </w:p>
    <w:p w14:paraId="359842B3" w14:textId="77777777" w:rsidR="00E8098D" w:rsidRPr="00F515E9" w:rsidRDefault="00E8098D" w:rsidP="00E8098D">
      <w:pPr>
        <w:autoSpaceDE w:val="0"/>
        <w:autoSpaceDN w:val="0"/>
        <w:adjustRightInd w:val="0"/>
        <w:ind w:left="1440" w:hanging="720"/>
        <w:jc w:val="both"/>
        <w:rPr>
          <w:b/>
          <w:bCs/>
          <w:lang w:eastAsia="sr-Cyrl-CS"/>
        </w:rPr>
      </w:pPr>
      <w:r w:rsidRPr="00F515E9">
        <w:rPr>
          <w:b/>
          <w:bCs/>
          <w:lang w:eastAsia="sr-Cyrl-CS"/>
        </w:rPr>
        <w:t>B.</w:t>
      </w:r>
      <w:r w:rsidRPr="00F515E9">
        <w:rPr>
          <w:b/>
          <w:bCs/>
          <w:lang w:eastAsia="sr-Cyrl-CS"/>
        </w:rPr>
        <w:tab/>
        <w:t>UNECE</w:t>
      </w:r>
    </w:p>
    <w:p w14:paraId="2D43A020" w14:textId="77777777" w:rsidR="00E8098D" w:rsidRPr="00F515E9" w:rsidRDefault="00E8098D" w:rsidP="00E8098D">
      <w:pPr>
        <w:autoSpaceDE w:val="0"/>
        <w:autoSpaceDN w:val="0"/>
        <w:adjustRightInd w:val="0"/>
        <w:ind w:left="1440" w:hanging="720"/>
        <w:jc w:val="center"/>
        <w:rPr>
          <w:b/>
          <w:bCs/>
          <w:lang w:eastAsia="sr-Cyrl-CS"/>
        </w:rPr>
      </w:pPr>
    </w:p>
    <w:p w14:paraId="1662AFF6" w14:textId="77777777" w:rsidR="00E8098D" w:rsidRPr="00F515E9" w:rsidRDefault="00E8098D" w:rsidP="00E8098D">
      <w:pPr>
        <w:autoSpaceDE w:val="0"/>
        <w:autoSpaceDN w:val="0"/>
        <w:adjustRightInd w:val="0"/>
        <w:ind w:left="1440" w:hanging="720"/>
        <w:jc w:val="both"/>
        <w:rPr>
          <w:b/>
          <w:bCs/>
          <w:lang w:eastAsia="sr-Cyrl-CS"/>
        </w:rPr>
      </w:pPr>
      <w:r w:rsidRPr="00F515E9">
        <w:rPr>
          <w:b/>
          <w:bCs/>
          <w:lang w:eastAsia="sr-Cyrl-CS"/>
        </w:rPr>
        <w:t>C.</w:t>
      </w:r>
      <w:r w:rsidRPr="00F515E9">
        <w:rPr>
          <w:b/>
          <w:bCs/>
          <w:lang w:eastAsia="sr-Cyrl-CS"/>
        </w:rPr>
        <w:tab/>
        <w:t>ITC</w:t>
      </w:r>
    </w:p>
    <w:p w14:paraId="63053D04" w14:textId="77777777" w:rsidR="00E8098D" w:rsidRDefault="00E8098D" w:rsidP="00E8098D">
      <w:pPr>
        <w:autoSpaceDE w:val="0"/>
        <w:autoSpaceDN w:val="0"/>
        <w:adjustRightInd w:val="0"/>
        <w:ind w:left="1440" w:hanging="720"/>
        <w:jc w:val="both"/>
        <w:rPr>
          <w:b/>
          <w:bCs/>
          <w:lang w:eastAsia="sr-Cyrl-CS"/>
        </w:rPr>
      </w:pPr>
    </w:p>
    <w:p w14:paraId="5B02BBB0" w14:textId="77777777" w:rsidR="00E8098D" w:rsidRPr="00985EF5" w:rsidRDefault="00E8098D" w:rsidP="00E8098D">
      <w:pPr>
        <w:autoSpaceDE w:val="0"/>
        <w:autoSpaceDN w:val="0"/>
        <w:adjustRightInd w:val="0"/>
        <w:ind w:left="1440"/>
        <w:jc w:val="both"/>
        <w:rPr>
          <w:lang w:eastAsia="sr-Cyrl-CS"/>
        </w:rPr>
      </w:pPr>
      <w:r w:rsidRPr="00C0366E">
        <w:t xml:space="preserve">The work of UNECE Inland Transport Committee (ITC) on the transport of perishable foodstuffs goes back to 1948, when after ravaging food shortages in the aftermath of World War II, the ITC decided to set up a Working Party to look into the nature and extent of international traffic in perishable foodstuffs, aiming to ascertain operating difficulties and to study transport requirements for subsequent years. The </w:t>
      </w:r>
      <w:r w:rsidRPr="00C0366E">
        <w:rPr>
          <w:lang w:eastAsia="sr-Cyrl-CS"/>
        </w:rPr>
        <w:t xml:space="preserve">establishment of the Working Party for transport of perishable goods is reflected in E/ECE/59 paragraph 5 (1948). </w:t>
      </w:r>
      <w:r>
        <w:rPr>
          <w:lang w:eastAsia="sr-Cyrl-CS"/>
        </w:rPr>
        <w:t>It is also reflected</w:t>
      </w:r>
      <w:r w:rsidRPr="00C0366E">
        <w:rPr>
          <w:lang w:eastAsia="sr-Cyrl-CS"/>
        </w:rPr>
        <w:t xml:space="preserve"> in Article 18 of the Agreement on the International Carriage of Perishable Foodstuffs and on the Special Equipment to be Used for such Carriage (ATP). </w:t>
      </w:r>
      <w:r w:rsidRPr="00C0366E">
        <w:t>The Working Party on the Transport of Perishable Foodstuffs is commonly known as WP.11.</w:t>
      </w:r>
    </w:p>
    <w:p w14:paraId="12E724BC" w14:textId="77777777" w:rsidR="00E8098D" w:rsidRPr="00985EF5" w:rsidRDefault="00E8098D" w:rsidP="00E8098D">
      <w:pPr>
        <w:autoSpaceDE w:val="0"/>
        <w:autoSpaceDN w:val="0"/>
        <w:adjustRightInd w:val="0"/>
        <w:ind w:left="1440" w:hanging="720"/>
        <w:jc w:val="both"/>
        <w:rPr>
          <w:lang w:eastAsia="sr-Cyrl-CS"/>
        </w:rPr>
      </w:pPr>
    </w:p>
    <w:p w14:paraId="4878F2F3" w14:textId="77777777" w:rsidR="00E8098D" w:rsidRDefault="00E8098D" w:rsidP="00E8098D">
      <w:pPr>
        <w:autoSpaceDE w:val="0"/>
        <w:autoSpaceDN w:val="0"/>
        <w:adjustRightInd w:val="0"/>
        <w:ind w:left="1440" w:hanging="720"/>
        <w:jc w:val="both"/>
        <w:rPr>
          <w:b/>
          <w:bCs/>
          <w:lang w:eastAsia="sr-Cyrl-CS"/>
        </w:rPr>
      </w:pPr>
      <w:r w:rsidRPr="00F515E9">
        <w:rPr>
          <w:b/>
          <w:bCs/>
          <w:lang w:eastAsia="sr-Cyrl-CS"/>
        </w:rPr>
        <w:t xml:space="preserve">D. </w:t>
      </w:r>
      <w:r w:rsidRPr="00F515E9">
        <w:rPr>
          <w:b/>
          <w:bCs/>
          <w:lang w:eastAsia="sr-Cyrl-CS"/>
        </w:rPr>
        <w:tab/>
      </w:r>
      <w:r>
        <w:rPr>
          <w:b/>
          <w:bCs/>
          <w:lang w:eastAsia="sr-Cyrl-CS"/>
        </w:rPr>
        <w:t xml:space="preserve">Memo item: </w:t>
      </w:r>
      <w:r w:rsidRPr="00F515E9">
        <w:rPr>
          <w:b/>
          <w:bCs/>
          <w:lang w:eastAsia="sr-Cyrl-CS"/>
        </w:rPr>
        <w:t>Alignment with ITC revised Terms of Reference and Rules of Procedure</w:t>
      </w:r>
    </w:p>
    <w:p w14:paraId="630D2606" w14:textId="77777777" w:rsidR="00E8098D" w:rsidRDefault="00E8098D" w:rsidP="00E8098D">
      <w:pPr>
        <w:numPr>
          <w:ilvl w:val="0"/>
          <w:numId w:val="9"/>
        </w:numPr>
        <w:suppressAutoHyphens w:val="0"/>
        <w:autoSpaceDE w:val="0"/>
        <w:autoSpaceDN w:val="0"/>
        <w:adjustRightInd w:val="0"/>
        <w:spacing w:line="240" w:lineRule="auto"/>
        <w:jc w:val="both"/>
        <w:rPr>
          <w:i/>
          <w:iCs/>
          <w:lang w:eastAsia="sr-Cyrl-CS"/>
        </w:rPr>
      </w:pPr>
      <w:r w:rsidRPr="00B94983">
        <w:rPr>
          <w:i/>
          <w:iCs/>
          <w:lang w:eastAsia="sr-Cyrl-CS"/>
        </w:rPr>
        <w:t>Past and present, incl. renaming of Working Parties, changes geographical scope and membership structure</w:t>
      </w:r>
    </w:p>
    <w:p w14:paraId="0A78948B" w14:textId="77777777" w:rsidR="00E8098D" w:rsidRDefault="00E8098D" w:rsidP="00E8098D">
      <w:pPr>
        <w:autoSpaceDE w:val="0"/>
        <w:autoSpaceDN w:val="0"/>
        <w:adjustRightInd w:val="0"/>
        <w:ind w:left="2160"/>
        <w:jc w:val="both"/>
        <w:rPr>
          <w:i/>
          <w:iCs/>
          <w:lang w:eastAsia="sr-Cyrl-CS"/>
        </w:rPr>
      </w:pPr>
    </w:p>
    <w:p w14:paraId="4EE73C3C" w14:textId="77777777" w:rsidR="00E8098D" w:rsidRDefault="00E8098D" w:rsidP="00E8098D">
      <w:pPr>
        <w:autoSpaceDE w:val="0"/>
        <w:autoSpaceDN w:val="0"/>
        <w:adjustRightInd w:val="0"/>
        <w:ind w:left="1440"/>
        <w:jc w:val="both"/>
        <w:rPr>
          <w:lang w:eastAsia="sr-Cyrl-CS"/>
        </w:rPr>
      </w:pPr>
      <w:r>
        <w:rPr>
          <w:lang w:eastAsia="sr-Cyrl-CS"/>
        </w:rPr>
        <w:t>As</w:t>
      </w:r>
      <w:r w:rsidRPr="006A63FD">
        <w:rPr>
          <w:lang w:eastAsia="sr-Cyrl-CS"/>
        </w:rPr>
        <w:t xml:space="preserve"> reported at the </w:t>
      </w:r>
      <w:r w:rsidRPr="00B6121E">
        <w:t>eighty-fi</w:t>
      </w:r>
      <w:r>
        <w:t>fth</w:t>
      </w:r>
      <w:r w:rsidRPr="006A63FD">
        <w:rPr>
          <w:lang w:eastAsia="sr-Cyrl-CS"/>
        </w:rPr>
        <w:t xml:space="preserve"> session of ITC</w:t>
      </w:r>
      <w:r>
        <w:rPr>
          <w:lang w:eastAsia="sr-Cyrl-CS"/>
        </w:rPr>
        <w:t xml:space="preserve"> (see </w:t>
      </w:r>
      <w:r w:rsidRPr="006A63FD">
        <w:rPr>
          <w:lang w:eastAsia="sr-Cyrl-CS"/>
        </w:rPr>
        <w:t>ECE/TRANS/2023/3</w:t>
      </w:r>
      <w:r>
        <w:rPr>
          <w:lang w:eastAsia="sr-Cyrl-CS"/>
        </w:rPr>
        <w:t xml:space="preserve">), </w:t>
      </w:r>
      <w:r w:rsidRPr="006A63FD">
        <w:rPr>
          <w:lang w:eastAsia="sr-Cyrl-CS"/>
        </w:rPr>
        <w:t xml:space="preserve">at its </w:t>
      </w:r>
      <w:r>
        <w:rPr>
          <w:lang w:eastAsia="sr-Cyrl-CS"/>
        </w:rPr>
        <w:t>seventy-eighth</w:t>
      </w:r>
      <w:r w:rsidRPr="006A63FD">
        <w:rPr>
          <w:lang w:eastAsia="sr-Cyrl-CS"/>
        </w:rPr>
        <w:t xml:space="preserve"> session (May 2022) WP.11 studied a comparison of the rules of procedure of the Working Party and those adopted by ITC (</w:t>
      </w:r>
      <w:r>
        <w:rPr>
          <w:lang w:eastAsia="sr-Cyrl-CS"/>
        </w:rPr>
        <w:t xml:space="preserve">see </w:t>
      </w:r>
      <w:r w:rsidRPr="006A63FD">
        <w:rPr>
          <w:lang w:eastAsia="sr-Cyrl-CS"/>
        </w:rPr>
        <w:t>ECE/TRANS/WP.11/2022/4). WP.11 concluded that there was no need to amend its Rules of Procedure immediately</w:t>
      </w:r>
      <w:r>
        <w:rPr>
          <w:lang w:eastAsia="sr-Cyrl-CS"/>
        </w:rPr>
        <w:t xml:space="preserve"> (s</w:t>
      </w:r>
      <w:r w:rsidRPr="006A63FD">
        <w:rPr>
          <w:lang w:eastAsia="sr-Cyrl-CS"/>
        </w:rPr>
        <w:t>ee ECE/TRANS/WP.11/247, paragraph 87</w:t>
      </w:r>
      <w:r>
        <w:rPr>
          <w:lang w:eastAsia="sr-Cyrl-CS"/>
        </w:rPr>
        <w:t>)</w:t>
      </w:r>
      <w:r w:rsidRPr="006A63FD">
        <w:rPr>
          <w:lang w:eastAsia="sr-Cyrl-CS"/>
        </w:rPr>
        <w:t>.</w:t>
      </w:r>
    </w:p>
    <w:p w14:paraId="17FEBC4A" w14:textId="77777777" w:rsidR="00E8098D" w:rsidRDefault="00E8098D" w:rsidP="00E8098D">
      <w:pPr>
        <w:autoSpaceDE w:val="0"/>
        <w:autoSpaceDN w:val="0"/>
        <w:adjustRightInd w:val="0"/>
        <w:ind w:left="1440"/>
        <w:jc w:val="both"/>
        <w:rPr>
          <w:lang w:eastAsia="sr-Cyrl-CS"/>
        </w:rPr>
      </w:pPr>
    </w:p>
    <w:p w14:paraId="228A2B57" w14:textId="77777777" w:rsidR="00E8098D" w:rsidRPr="006A63FD" w:rsidRDefault="00E8098D" w:rsidP="00E8098D">
      <w:pPr>
        <w:autoSpaceDE w:val="0"/>
        <w:autoSpaceDN w:val="0"/>
        <w:adjustRightInd w:val="0"/>
        <w:ind w:left="1440"/>
        <w:jc w:val="both"/>
        <w:rPr>
          <w:lang w:eastAsia="sr-Cyrl-CS"/>
        </w:rPr>
      </w:pPr>
      <w:r w:rsidRPr="00B6121E">
        <w:lastRenderedPageBreak/>
        <w:t>Any country member of the United Nations can participate in WP.1</w:t>
      </w:r>
      <w:r>
        <w:t>1</w:t>
      </w:r>
      <w:r w:rsidRPr="00B6121E">
        <w:t>’s activities. All contracting parties to A</w:t>
      </w:r>
      <w:r>
        <w:t>TP, even non-ECE countries,</w:t>
      </w:r>
      <w:r w:rsidRPr="00B6121E">
        <w:t xml:space="preserve"> may vote on proposals to amend </w:t>
      </w:r>
      <w:r>
        <w:t>ATP.</w:t>
      </w:r>
    </w:p>
    <w:p w14:paraId="29AD74E2" w14:textId="77777777" w:rsidR="00E8098D" w:rsidRPr="00B94983" w:rsidRDefault="00E8098D" w:rsidP="00E8098D">
      <w:pPr>
        <w:autoSpaceDE w:val="0"/>
        <w:autoSpaceDN w:val="0"/>
        <w:adjustRightInd w:val="0"/>
        <w:jc w:val="both"/>
        <w:rPr>
          <w:i/>
          <w:iCs/>
          <w:lang w:eastAsia="sr-Cyrl-CS"/>
        </w:rPr>
      </w:pPr>
    </w:p>
    <w:p w14:paraId="7E69D87E" w14:textId="77777777" w:rsidR="00E8098D" w:rsidRPr="00B94983" w:rsidRDefault="00E8098D" w:rsidP="00E8098D">
      <w:pPr>
        <w:numPr>
          <w:ilvl w:val="0"/>
          <w:numId w:val="9"/>
        </w:numPr>
        <w:suppressAutoHyphens w:val="0"/>
        <w:autoSpaceDE w:val="0"/>
        <w:autoSpaceDN w:val="0"/>
        <w:adjustRightInd w:val="0"/>
        <w:spacing w:line="240" w:lineRule="auto"/>
        <w:jc w:val="both"/>
        <w:rPr>
          <w:b/>
          <w:bCs/>
          <w:lang w:eastAsia="sr-Cyrl-CS"/>
        </w:rPr>
      </w:pPr>
      <w:r w:rsidRPr="00B94983">
        <w:rPr>
          <w:i/>
          <w:iCs/>
          <w:lang w:eastAsia="sr-Cyrl-CS"/>
        </w:rPr>
        <w:t>Planned</w:t>
      </w:r>
    </w:p>
    <w:p w14:paraId="3DA3442C" w14:textId="77777777" w:rsidR="00E8098D" w:rsidRPr="00EB7EC9" w:rsidRDefault="00E8098D" w:rsidP="00E8098D">
      <w:pPr>
        <w:numPr>
          <w:ilvl w:val="0"/>
          <w:numId w:val="9"/>
        </w:numPr>
        <w:suppressAutoHyphens w:val="0"/>
        <w:autoSpaceDE w:val="0"/>
        <w:autoSpaceDN w:val="0"/>
        <w:adjustRightInd w:val="0"/>
        <w:spacing w:line="240" w:lineRule="auto"/>
        <w:jc w:val="both"/>
        <w:rPr>
          <w:b/>
          <w:bCs/>
          <w:lang w:eastAsia="sr-Cyrl-CS"/>
        </w:rPr>
      </w:pPr>
      <w:r>
        <w:rPr>
          <w:i/>
          <w:iCs/>
          <w:lang w:eastAsia="sr-Cyrl-CS"/>
        </w:rPr>
        <w:t>Identified needs and gaps (outline and provide documentation)</w:t>
      </w:r>
    </w:p>
    <w:p w14:paraId="3B7B2320" w14:textId="77777777" w:rsidR="00E8098D" w:rsidRDefault="00E8098D" w:rsidP="00E8098D">
      <w:pPr>
        <w:autoSpaceDE w:val="0"/>
        <w:autoSpaceDN w:val="0"/>
        <w:adjustRightInd w:val="0"/>
        <w:ind w:left="720" w:hanging="720"/>
        <w:jc w:val="both"/>
        <w:rPr>
          <w:b/>
          <w:bCs/>
          <w:sz w:val="28"/>
          <w:szCs w:val="28"/>
          <w:lang w:eastAsia="sr-Cyrl-CS"/>
        </w:rPr>
      </w:pPr>
    </w:p>
    <w:p w14:paraId="7DFF65FA" w14:textId="77777777" w:rsidR="00E8098D" w:rsidRDefault="00E8098D" w:rsidP="00E8098D">
      <w:pPr>
        <w:autoSpaceDE w:val="0"/>
        <w:autoSpaceDN w:val="0"/>
        <w:adjustRightInd w:val="0"/>
        <w:ind w:left="720" w:hanging="720"/>
        <w:jc w:val="both"/>
        <w:rPr>
          <w:b/>
          <w:bCs/>
          <w:sz w:val="28"/>
          <w:szCs w:val="28"/>
          <w:lang w:eastAsia="sr-Cyrl-CS"/>
        </w:rPr>
      </w:pPr>
      <w:r w:rsidRPr="00DC540C">
        <w:rPr>
          <w:b/>
          <w:bCs/>
          <w:sz w:val="28"/>
          <w:szCs w:val="28"/>
          <w:lang w:eastAsia="sr-Cyrl-CS"/>
        </w:rPr>
        <w:t>II.</w:t>
      </w:r>
      <w:r w:rsidRPr="00DC540C">
        <w:rPr>
          <w:b/>
          <w:bCs/>
          <w:sz w:val="28"/>
          <w:szCs w:val="28"/>
          <w:lang w:eastAsia="sr-Cyrl-CS"/>
        </w:rPr>
        <w:tab/>
      </w:r>
      <w:r>
        <w:rPr>
          <w:b/>
          <w:bCs/>
          <w:sz w:val="28"/>
          <w:szCs w:val="28"/>
          <w:lang w:eastAsia="sr-Cyrl-CS"/>
        </w:rPr>
        <w:t xml:space="preserve">Working Party objective </w:t>
      </w:r>
    </w:p>
    <w:p w14:paraId="49F8227A" w14:textId="77777777" w:rsidR="00E8098D" w:rsidRDefault="00E8098D" w:rsidP="00E8098D">
      <w:pPr>
        <w:autoSpaceDE w:val="0"/>
        <w:autoSpaceDN w:val="0"/>
        <w:adjustRightInd w:val="0"/>
        <w:ind w:left="360"/>
        <w:jc w:val="both"/>
        <w:rPr>
          <w:b/>
          <w:bCs/>
          <w:sz w:val="28"/>
          <w:szCs w:val="28"/>
          <w:lang w:eastAsia="sr-Cyrl-CS"/>
        </w:rPr>
      </w:pPr>
      <w:r>
        <w:rPr>
          <w:b/>
          <w:bCs/>
          <w:lang w:eastAsia="sr-Cyrl-CS"/>
        </w:rPr>
        <w:t>[</w:t>
      </w:r>
      <w:r>
        <w:rPr>
          <w:i/>
          <w:iCs/>
          <w:color w:val="FF0000"/>
          <w:lang w:eastAsia="sr-Cyrl-CS"/>
        </w:rPr>
        <w:t>Please also specify source, e.g. Terms of Reference, other strategic documents etc</w:t>
      </w:r>
      <w:r>
        <w:rPr>
          <w:b/>
          <w:bCs/>
          <w:lang w:eastAsia="sr-Cyrl-CS"/>
        </w:rPr>
        <w:t>]</w:t>
      </w:r>
    </w:p>
    <w:p w14:paraId="4F4F897F" w14:textId="77777777" w:rsidR="00E8098D" w:rsidRDefault="00E8098D" w:rsidP="00E8098D">
      <w:pPr>
        <w:autoSpaceDE w:val="0"/>
        <w:autoSpaceDN w:val="0"/>
        <w:adjustRightInd w:val="0"/>
        <w:ind w:left="720" w:hanging="720"/>
        <w:jc w:val="both"/>
        <w:rPr>
          <w:b/>
          <w:bCs/>
          <w:sz w:val="28"/>
          <w:szCs w:val="28"/>
          <w:lang w:eastAsia="sr-Cyrl-CS"/>
        </w:rPr>
      </w:pPr>
    </w:p>
    <w:p w14:paraId="395AAB8C" w14:textId="77777777" w:rsidR="00E8098D" w:rsidRPr="005D5503" w:rsidRDefault="00E8098D" w:rsidP="00E8098D">
      <w:pPr>
        <w:autoSpaceDE w:val="0"/>
        <w:autoSpaceDN w:val="0"/>
        <w:adjustRightInd w:val="0"/>
        <w:spacing w:after="120"/>
        <w:ind w:left="1440"/>
        <w:jc w:val="both"/>
      </w:pPr>
      <w:r w:rsidRPr="005D5503">
        <w:t>(a)</w:t>
      </w:r>
      <w:r w:rsidRPr="005D5503">
        <w:tab/>
        <w:t>Initiate and pursue actions aimed at enhancing the preservation of the quality of perishable foodstuffs during their carriage, particularly in international transport;</w:t>
      </w:r>
    </w:p>
    <w:p w14:paraId="6673EE9A" w14:textId="77777777" w:rsidR="00E8098D" w:rsidRPr="005D5503" w:rsidRDefault="00E8098D" w:rsidP="00E8098D">
      <w:pPr>
        <w:autoSpaceDE w:val="0"/>
        <w:autoSpaceDN w:val="0"/>
        <w:adjustRightInd w:val="0"/>
        <w:spacing w:after="120"/>
        <w:ind w:left="1440"/>
        <w:jc w:val="both"/>
        <w:rPr>
          <w:rFonts w:eastAsia="Batang"/>
        </w:rPr>
      </w:pPr>
      <w:r w:rsidRPr="005D5503">
        <w:rPr>
          <w:rFonts w:eastAsia="Batang"/>
        </w:rPr>
        <w:t>(b)</w:t>
      </w:r>
      <w:r w:rsidRPr="005D5503">
        <w:rPr>
          <w:rFonts w:eastAsia="Batang"/>
        </w:rPr>
        <w:tab/>
        <w:t>Promote the facilitation of international transport of perishable foodstuffs by harmonizing the relevant regulations and rules and the administrative procedures and documentation requirements to which this transport is subject;</w:t>
      </w:r>
    </w:p>
    <w:p w14:paraId="0895747F" w14:textId="77777777" w:rsidR="00E8098D" w:rsidRPr="005D5503" w:rsidRDefault="00E8098D" w:rsidP="00E8098D">
      <w:pPr>
        <w:autoSpaceDE w:val="0"/>
        <w:autoSpaceDN w:val="0"/>
        <w:adjustRightInd w:val="0"/>
        <w:spacing w:after="120"/>
        <w:ind w:left="1440"/>
        <w:jc w:val="both"/>
      </w:pPr>
      <w:r w:rsidRPr="005D5503">
        <w:t>(c)</w:t>
      </w:r>
      <w:r w:rsidRPr="005D5503">
        <w:tab/>
        <w:t>Develop and update the Agreement concerning the International Carriage of Perishable Foodstuffs and on the Special Equipment to be Used for such Carriage (ATP), concluded in Geneva in 1970, and other relevant legal instruments on the transport of perishable foodstuffs that the ITC may charge it with administering;</w:t>
      </w:r>
    </w:p>
    <w:p w14:paraId="68A2EAD9" w14:textId="77777777" w:rsidR="00E8098D" w:rsidRPr="005D5503" w:rsidRDefault="00E8098D" w:rsidP="00E8098D">
      <w:pPr>
        <w:autoSpaceDE w:val="0"/>
        <w:autoSpaceDN w:val="0"/>
        <w:adjustRightInd w:val="0"/>
        <w:spacing w:after="120"/>
        <w:ind w:left="1440"/>
        <w:jc w:val="both"/>
      </w:pPr>
      <w:r w:rsidRPr="005D5503">
        <w:t>(d)</w:t>
      </w:r>
      <w:r w:rsidRPr="005D5503">
        <w:tab/>
        <w:t>Encourage the accession of new countries to the Agreements mentioned above;</w:t>
      </w:r>
    </w:p>
    <w:p w14:paraId="4D18884F" w14:textId="77777777" w:rsidR="00E8098D" w:rsidRDefault="00E8098D" w:rsidP="00E8098D">
      <w:pPr>
        <w:autoSpaceDE w:val="0"/>
        <w:autoSpaceDN w:val="0"/>
        <w:adjustRightInd w:val="0"/>
        <w:spacing w:after="120"/>
        <w:ind w:left="1440"/>
        <w:jc w:val="both"/>
      </w:pPr>
      <w:r w:rsidRPr="005D5503">
        <w:t>(e)</w:t>
      </w:r>
      <w:r w:rsidRPr="005D5503">
        <w:tab/>
        <w:t>Ensure harmonization of the ATP with other relevant legal instruments on the transport of perishable foodstuffs developed in other fora;</w:t>
      </w:r>
    </w:p>
    <w:p w14:paraId="413213BE" w14:textId="77777777" w:rsidR="00E8098D" w:rsidRPr="00CC37CC" w:rsidRDefault="00E8098D" w:rsidP="00E8098D">
      <w:pPr>
        <w:autoSpaceDE w:val="0"/>
        <w:autoSpaceDN w:val="0"/>
        <w:adjustRightInd w:val="0"/>
        <w:spacing w:after="120"/>
        <w:ind w:left="1440"/>
        <w:jc w:val="both"/>
      </w:pPr>
      <w:r w:rsidRPr="005D5503">
        <w:t>(</w:t>
      </w:r>
      <w:r>
        <w:t>f</w:t>
      </w:r>
      <w:r w:rsidRPr="005D5503">
        <w:t>)</w:t>
      </w:r>
      <w:r w:rsidRPr="005D5503">
        <w:tab/>
      </w:r>
      <w:r w:rsidRPr="00CC37CC">
        <w:t xml:space="preserve">Contributing through its activities to the implementation </w:t>
      </w:r>
      <w:r w:rsidRPr="00D70FD9">
        <w:t>of SDGs 2, 3, 8, 9 and 12 and their related targets.</w:t>
      </w:r>
    </w:p>
    <w:p w14:paraId="392C4015" w14:textId="77777777" w:rsidR="00E8098D" w:rsidRPr="00CC37CC" w:rsidRDefault="00E8098D" w:rsidP="00E8098D">
      <w:pPr>
        <w:autoSpaceDE w:val="0"/>
        <w:autoSpaceDN w:val="0"/>
        <w:adjustRightInd w:val="0"/>
        <w:spacing w:after="120"/>
        <w:ind w:left="1440"/>
        <w:jc w:val="both"/>
      </w:pPr>
      <w:r w:rsidRPr="00CC37CC">
        <w:t>The Working Party adopts draft amendments to the ATP which are proposed to contracting parties for final adoption and entry into force, according to the legal procedure of treaties.</w:t>
      </w:r>
    </w:p>
    <w:p w14:paraId="71A33A38" w14:textId="77777777" w:rsidR="00E8098D" w:rsidRPr="005D5503" w:rsidRDefault="00E8098D" w:rsidP="00E8098D">
      <w:pPr>
        <w:autoSpaceDE w:val="0"/>
        <w:autoSpaceDN w:val="0"/>
        <w:adjustRightInd w:val="0"/>
        <w:ind w:left="720" w:hanging="720"/>
        <w:jc w:val="both"/>
        <w:rPr>
          <w:i/>
          <w:iCs/>
          <w:lang w:eastAsia="sr-Cyrl-CS"/>
        </w:rPr>
      </w:pPr>
      <w:r w:rsidRPr="005D5503">
        <w:rPr>
          <w:i/>
          <w:iCs/>
          <w:lang w:eastAsia="sr-Cyrl-CS"/>
        </w:rPr>
        <w:t xml:space="preserve">(Reference document </w:t>
      </w:r>
      <w:r w:rsidRPr="005D5503">
        <w:rPr>
          <w:i/>
          <w:iCs/>
        </w:rPr>
        <w:t>ECE/TRANS/WP.11/229, Terms of reference of WP.11)</w:t>
      </w:r>
    </w:p>
    <w:p w14:paraId="1DFD7952" w14:textId="77777777" w:rsidR="00E8098D" w:rsidRDefault="00E8098D" w:rsidP="00E8098D">
      <w:pPr>
        <w:autoSpaceDE w:val="0"/>
        <w:autoSpaceDN w:val="0"/>
        <w:adjustRightInd w:val="0"/>
        <w:ind w:left="720" w:hanging="720"/>
        <w:jc w:val="both"/>
        <w:rPr>
          <w:b/>
          <w:bCs/>
          <w:sz w:val="28"/>
          <w:szCs w:val="28"/>
          <w:lang w:eastAsia="sr-Cyrl-CS"/>
        </w:rPr>
      </w:pPr>
    </w:p>
    <w:p w14:paraId="202405C0" w14:textId="77777777" w:rsidR="00E8098D" w:rsidRDefault="00E8098D" w:rsidP="00E8098D">
      <w:pPr>
        <w:autoSpaceDE w:val="0"/>
        <w:autoSpaceDN w:val="0"/>
        <w:adjustRightInd w:val="0"/>
        <w:ind w:left="720" w:hanging="720"/>
        <w:jc w:val="both"/>
        <w:rPr>
          <w:b/>
          <w:bCs/>
          <w:sz w:val="28"/>
          <w:szCs w:val="28"/>
          <w:lang w:eastAsia="sr-Cyrl-CS"/>
        </w:rPr>
      </w:pPr>
      <w:r>
        <w:rPr>
          <w:b/>
          <w:bCs/>
          <w:sz w:val="28"/>
          <w:szCs w:val="28"/>
          <w:lang w:eastAsia="sr-Cyrl-CS"/>
        </w:rPr>
        <w:t xml:space="preserve">III. Work areas covered by the Working Party </w:t>
      </w:r>
      <w:r w:rsidRPr="00556BA6">
        <w:rPr>
          <w:b/>
          <w:bCs/>
          <w:lang w:eastAsia="sr-Cyrl-CS"/>
        </w:rPr>
        <w:t>[</w:t>
      </w:r>
      <w:r w:rsidRPr="00556BA6">
        <w:rPr>
          <w:i/>
          <w:iCs/>
          <w:color w:val="FF0000"/>
          <w:lang w:eastAsia="sr-Cyrl-CS"/>
        </w:rPr>
        <w:t>substance</w:t>
      </w:r>
      <w:r w:rsidRPr="00556BA6">
        <w:rPr>
          <w:b/>
          <w:bCs/>
          <w:lang w:eastAsia="sr-Cyrl-CS"/>
        </w:rPr>
        <w:t>]</w:t>
      </w:r>
    </w:p>
    <w:p w14:paraId="20FD4AC1" w14:textId="77777777" w:rsidR="00E8098D" w:rsidRDefault="00E8098D" w:rsidP="00E8098D">
      <w:pPr>
        <w:autoSpaceDE w:val="0"/>
        <w:autoSpaceDN w:val="0"/>
        <w:adjustRightInd w:val="0"/>
        <w:ind w:left="720" w:hanging="720"/>
        <w:jc w:val="both"/>
        <w:rPr>
          <w:b/>
          <w:bCs/>
          <w:sz w:val="28"/>
          <w:szCs w:val="28"/>
          <w:lang w:eastAsia="sr-Cyrl-CS"/>
        </w:rPr>
      </w:pPr>
    </w:p>
    <w:p w14:paraId="302983D7" w14:textId="77777777" w:rsidR="00E8098D" w:rsidRPr="00F515E9" w:rsidRDefault="00E8098D" w:rsidP="00E8098D">
      <w:pPr>
        <w:autoSpaceDE w:val="0"/>
        <w:autoSpaceDN w:val="0"/>
        <w:adjustRightInd w:val="0"/>
        <w:ind w:left="360"/>
        <w:jc w:val="both"/>
        <w:rPr>
          <w:b/>
          <w:bCs/>
          <w:lang w:eastAsia="sr-Cyrl-CS"/>
        </w:rPr>
      </w:pPr>
      <w:r>
        <w:rPr>
          <w:b/>
          <w:bCs/>
          <w:lang w:eastAsia="sr-Cyrl-CS"/>
        </w:rPr>
        <w:t xml:space="preserve">A. </w:t>
      </w:r>
      <w:r w:rsidRPr="00F515E9">
        <w:rPr>
          <w:b/>
          <w:bCs/>
          <w:lang w:eastAsia="sr-Cyrl-CS"/>
        </w:rPr>
        <w:t>Transport facilitation (including border-crossing facilitation</w:t>
      </w:r>
      <w:r>
        <w:rPr>
          <w:b/>
          <w:bCs/>
          <w:lang w:eastAsia="sr-Cyrl-CS"/>
        </w:rPr>
        <w:t>) [</w:t>
      </w:r>
      <w:r w:rsidRPr="005E4CD4">
        <w:rPr>
          <w:i/>
          <w:iCs/>
          <w:color w:val="FF0000"/>
          <w:lang w:eastAsia="sr-Cyrl-CS"/>
        </w:rPr>
        <w:t>select one of the following</w:t>
      </w:r>
      <w:r>
        <w:rPr>
          <w:b/>
          <w:bCs/>
          <w:lang w:eastAsia="sr-Cyrl-CS"/>
        </w:rPr>
        <w:t>]</w:t>
      </w:r>
    </w:p>
    <w:p w14:paraId="43B38BA6" w14:textId="77777777" w:rsidR="00E8098D" w:rsidRPr="000F155E" w:rsidRDefault="00E8098D" w:rsidP="00E8098D">
      <w:pPr>
        <w:numPr>
          <w:ilvl w:val="0"/>
          <w:numId w:val="7"/>
        </w:numPr>
        <w:suppressAutoHyphens w:val="0"/>
        <w:autoSpaceDE w:val="0"/>
        <w:autoSpaceDN w:val="0"/>
        <w:adjustRightInd w:val="0"/>
        <w:spacing w:line="240" w:lineRule="auto"/>
        <w:ind w:left="1080"/>
        <w:jc w:val="both"/>
        <w:rPr>
          <w:strike/>
          <w:lang w:eastAsia="sr-Cyrl-CS"/>
        </w:rPr>
      </w:pPr>
      <w:r w:rsidRPr="000F155E">
        <w:rPr>
          <w:strike/>
          <w:lang w:eastAsia="sr-Cyrl-CS"/>
        </w:rPr>
        <w:t>Only work area</w:t>
      </w:r>
    </w:p>
    <w:p w14:paraId="5A013027" w14:textId="77777777" w:rsidR="00E8098D" w:rsidRPr="00AE3C15" w:rsidRDefault="00E8098D" w:rsidP="00E8098D">
      <w:pPr>
        <w:numPr>
          <w:ilvl w:val="0"/>
          <w:numId w:val="7"/>
        </w:numPr>
        <w:suppressAutoHyphens w:val="0"/>
        <w:autoSpaceDE w:val="0"/>
        <w:autoSpaceDN w:val="0"/>
        <w:adjustRightInd w:val="0"/>
        <w:spacing w:line="240" w:lineRule="auto"/>
        <w:ind w:left="1080"/>
        <w:jc w:val="both"/>
        <w:rPr>
          <w:lang w:eastAsia="sr-Cyrl-CS"/>
        </w:rPr>
      </w:pPr>
      <w:r w:rsidRPr="00AE3C15">
        <w:rPr>
          <w:lang w:eastAsia="sr-Cyrl-CS"/>
        </w:rPr>
        <w:t>Main work area</w:t>
      </w:r>
    </w:p>
    <w:p w14:paraId="7AA121A1" w14:textId="77777777" w:rsidR="00E8098D" w:rsidRDefault="00E8098D" w:rsidP="00E8098D">
      <w:pPr>
        <w:autoSpaceDE w:val="0"/>
        <w:autoSpaceDN w:val="0"/>
        <w:adjustRightInd w:val="0"/>
        <w:spacing w:after="120"/>
        <w:ind w:left="1440"/>
        <w:jc w:val="both"/>
      </w:pPr>
      <w:r w:rsidRPr="00517A9D">
        <w:t>ATP allows carriers of one country as a contracting party to carry perishable foodstuffs from its country of origin through and to any other country contracting party without additional requirements imposed by transit or destination countries. Nonetheless, transport operations remain subject to national or international regulations applicable for inland transport in general such as road traffic, international road transport and international trade.</w:t>
      </w:r>
    </w:p>
    <w:p w14:paraId="1294190C" w14:textId="77777777" w:rsidR="00E8098D" w:rsidRDefault="00E8098D" w:rsidP="00E8098D">
      <w:pPr>
        <w:autoSpaceDE w:val="0"/>
        <w:autoSpaceDN w:val="0"/>
        <w:adjustRightInd w:val="0"/>
        <w:spacing w:after="120"/>
        <w:ind w:left="1440"/>
        <w:jc w:val="both"/>
      </w:pPr>
      <w:r>
        <w:t xml:space="preserve">Transport facilitation aspects included in the </w:t>
      </w:r>
      <w:r w:rsidRPr="00206A2A">
        <w:t xml:space="preserve">ATP </w:t>
      </w:r>
      <w:r>
        <w:t xml:space="preserve">are </w:t>
      </w:r>
      <w:r w:rsidRPr="00A14600">
        <w:t>certificate</w:t>
      </w:r>
      <w:r>
        <w:t>s</w:t>
      </w:r>
      <w:r w:rsidRPr="00A14600">
        <w:t xml:space="preserve"> of compliance and distinguishing marks</w:t>
      </w:r>
      <w:r>
        <w:t>, which allows to:</w:t>
      </w:r>
    </w:p>
    <w:p w14:paraId="5691A911" w14:textId="77777777" w:rsidR="00E8098D" w:rsidRPr="00B806DD" w:rsidRDefault="00E8098D" w:rsidP="00E8098D">
      <w:pPr>
        <w:autoSpaceDE w:val="0"/>
        <w:autoSpaceDN w:val="0"/>
        <w:adjustRightInd w:val="0"/>
        <w:spacing w:after="120"/>
        <w:ind w:left="1440"/>
        <w:jc w:val="both"/>
      </w:pPr>
      <w:r>
        <w:t>(a)</w:t>
      </w:r>
      <w:r>
        <w:tab/>
      </w:r>
      <w:r w:rsidRPr="00B806DD">
        <w:t xml:space="preserve">minimize waiting times for ATP-approved vehicles transporting perishable foodstuffs; </w:t>
      </w:r>
    </w:p>
    <w:p w14:paraId="2D0FC47F" w14:textId="77777777" w:rsidR="00E8098D" w:rsidRPr="00B806DD" w:rsidRDefault="00E8098D" w:rsidP="00E8098D">
      <w:pPr>
        <w:autoSpaceDE w:val="0"/>
        <w:autoSpaceDN w:val="0"/>
        <w:adjustRightInd w:val="0"/>
        <w:spacing w:after="120"/>
        <w:ind w:left="1440"/>
        <w:jc w:val="both"/>
      </w:pPr>
      <w:r>
        <w:t>(b)</w:t>
      </w:r>
      <w:r>
        <w:tab/>
      </w:r>
      <w:r w:rsidRPr="00B806DD">
        <w:t>ensure that the required controls are carried out as quickly as possible;</w:t>
      </w:r>
    </w:p>
    <w:p w14:paraId="50F21560" w14:textId="77777777" w:rsidR="00E8098D" w:rsidRPr="00B806DD" w:rsidRDefault="00E8098D" w:rsidP="00E8098D">
      <w:pPr>
        <w:autoSpaceDE w:val="0"/>
        <w:autoSpaceDN w:val="0"/>
        <w:adjustRightInd w:val="0"/>
        <w:spacing w:after="120"/>
        <w:ind w:left="1440"/>
        <w:jc w:val="both"/>
      </w:pPr>
      <w:r>
        <w:t>(c)</w:t>
      </w:r>
      <w:r>
        <w:tab/>
      </w:r>
      <w:r w:rsidRPr="00B806DD">
        <w:t>allow the operation of the necessary refrigerating units of vehicles carrying perishable foodstuffs during the time of crossing the border;</w:t>
      </w:r>
    </w:p>
    <w:p w14:paraId="722AEA86" w14:textId="77777777" w:rsidR="00E8098D" w:rsidRPr="00B806DD" w:rsidRDefault="00E8098D" w:rsidP="00E8098D">
      <w:pPr>
        <w:autoSpaceDE w:val="0"/>
        <w:autoSpaceDN w:val="0"/>
        <w:adjustRightInd w:val="0"/>
        <w:spacing w:after="120"/>
        <w:ind w:left="1440"/>
        <w:jc w:val="both"/>
      </w:pPr>
      <w:r>
        <w:t>(d)</w:t>
      </w:r>
      <w:r>
        <w:tab/>
      </w:r>
      <w:r w:rsidRPr="00B806DD">
        <w:t>cooperate, in particular through advance information exchange, with their counterparts in other Contracting Parties in order to accelerate border crossing procedures for perishable foodstuffs.</w:t>
      </w:r>
    </w:p>
    <w:p w14:paraId="73741109" w14:textId="77777777" w:rsidR="00E8098D" w:rsidRDefault="00E8098D" w:rsidP="00E8098D">
      <w:pPr>
        <w:autoSpaceDE w:val="0"/>
        <w:autoSpaceDN w:val="0"/>
        <w:adjustRightInd w:val="0"/>
        <w:spacing w:after="120"/>
        <w:ind w:left="1440"/>
        <w:jc w:val="both"/>
      </w:pPr>
      <w:r w:rsidRPr="00517A9D">
        <w:t xml:space="preserve">Countries contracting parties to ATP share common requirements for the </w:t>
      </w:r>
      <w:r>
        <w:t xml:space="preserve">international </w:t>
      </w:r>
      <w:r w:rsidRPr="00517A9D">
        <w:t>transport perishable foodstuffs. This simplifies transport operations between these countries, in particular to and from the European Union. These simplified procedures, combined with increased transport safety, strengthen transport and help promote commercial and economic development in the relevant regions.</w:t>
      </w:r>
    </w:p>
    <w:p w14:paraId="46BE77F0" w14:textId="77777777" w:rsidR="00E8098D" w:rsidRPr="00F412BE" w:rsidRDefault="00E8098D" w:rsidP="00E8098D">
      <w:pPr>
        <w:numPr>
          <w:ilvl w:val="0"/>
          <w:numId w:val="7"/>
        </w:numPr>
        <w:suppressAutoHyphens w:val="0"/>
        <w:autoSpaceDE w:val="0"/>
        <w:autoSpaceDN w:val="0"/>
        <w:adjustRightInd w:val="0"/>
        <w:spacing w:line="240" w:lineRule="auto"/>
        <w:ind w:left="1080"/>
        <w:jc w:val="both"/>
        <w:rPr>
          <w:strike/>
          <w:lang w:eastAsia="sr-Cyrl-CS"/>
        </w:rPr>
      </w:pPr>
      <w:r w:rsidRPr="00F412BE">
        <w:rPr>
          <w:strike/>
          <w:lang w:eastAsia="sr-Cyrl-CS"/>
        </w:rPr>
        <w:t>Minor work area</w:t>
      </w:r>
    </w:p>
    <w:p w14:paraId="140BFACC" w14:textId="77777777" w:rsidR="00E8098D" w:rsidRPr="00F515E9" w:rsidRDefault="00E8098D" w:rsidP="00E8098D">
      <w:pPr>
        <w:numPr>
          <w:ilvl w:val="0"/>
          <w:numId w:val="7"/>
        </w:numPr>
        <w:suppressAutoHyphens w:val="0"/>
        <w:autoSpaceDE w:val="0"/>
        <w:autoSpaceDN w:val="0"/>
        <w:adjustRightInd w:val="0"/>
        <w:spacing w:line="240" w:lineRule="auto"/>
        <w:ind w:left="1080"/>
        <w:jc w:val="both"/>
        <w:rPr>
          <w:lang w:eastAsia="sr-Cyrl-CS"/>
        </w:rPr>
      </w:pPr>
      <w:r w:rsidRPr="00F515E9">
        <w:rPr>
          <w:lang w:eastAsia="sr-Cyrl-CS"/>
        </w:rPr>
        <w:lastRenderedPageBreak/>
        <w:t>N/A</w:t>
      </w:r>
    </w:p>
    <w:p w14:paraId="2AA117F6" w14:textId="77777777" w:rsidR="00E8098D" w:rsidRDefault="00E8098D" w:rsidP="00E8098D">
      <w:pPr>
        <w:autoSpaceDE w:val="0"/>
        <w:autoSpaceDN w:val="0"/>
        <w:adjustRightInd w:val="0"/>
        <w:ind w:left="360"/>
        <w:jc w:val="both"/>
        <w:rPr>
          <w:b/>
          <w:bCs/>
          <w:lang w:eastAsia="sr-Cyrl-CS"/>
        </w:rPr>
      </w:pPr>
    </w:p>
    <w:p w14:paraId="01210686" w14:textId="77777777" w:rsidR="00E8098D" w:rsidRPr="00F515E9" w:rsidRDefault="00E8098D" w:rsidP="00E8098D">
      <w:pPr>
        <w:autoSpaceDE w:val="0"/>
        <w:autoSpaceDN w:val="0"/>
        <w:adjustRightInd w:val="0"/>
        <w:ind w:left="360"/>
        <w:jc w:val="both"/>
        <w:rPr>
          <w:b/>
          <w:bCs/>
          <w:lang w:eastAsia="sr-Cyrl-CS"/>
        </w:rPr>
      </w:pPr>
      <w:r w:rsidRPr="00F515E9">
        <w:rPr>
          <w:b/>
          <w:bCs/>
          <w:lang w:eastAsia="sr-Cyrl-CS"/>
        </w:rPr>
        <w:t>B.</w:t>
      </w:r>
      <w:r w:rsidRPr="00F515E9">
        <w:rPr>
          <w:b/>
          <w:bCs/>
          <w:lang w:eastAsia="sr-Cyrl-CS"/>
        </w:rPr>
        <w:tab/>
        <w:t>Safety (including Road safety)</w:t>
      </w:r>
      <w:r>
        <w:rPr>
          <w:b/>
          <w:bCs/>
          <w:lang w:eastAsia="sr-Cyrl-CS"/>
        </w:rPr>
        <w:t xml:space="preserve"> [</w:t>
      </w:r>
      <w:r w:rsidRPr="005E4CD4">
        <w:rPr>
          <w:i/>
          <w:iCs/>
          <w:color w:val="FF0000"/>
          <w:lang w:eastAsia="sr-Cyrl-CS"/>
        </w:rPr>
        <w:t>select one of the following</w:t>
      </w:r>
      <w:r>
        <w:rPr>
          <w:b/>
          <w:bCs/>
          <w:lang w:eastAsia="sr-Cyrl-CS"/>
        </w:rPr>
        <w:t>]</w:t>
      </w:r>
    </w:p>
    <w:p w14:paraId="6B03E119" w14:textId="77777777" w:rsidR="00E8098D" w:rsidRPr="00F412BE" w:rsidRDefault="00E8098D" w:rsidP="00E8098D">
      <w:pPr>
        <w:numPr>
          <w:ilvl w:val="0"/>
          <w:numId w:val="7"/>
        </w:numPr>
        <w:suppressAutoHyphens w:val="0"/>
        <w:autoSpaceDE w:val="0"/>
        <w:autoSpaceDN w:val="0"/>
        <w:adjustRightInd w:val="0"/>
        <w:spacing w:line="240" w:lineRule="auto"/>
        <w:ind w:left="1080"/>
        <w:jc w:val="both"/>
        <w:rPr>
          <w:strike/>
          <w:lang w:eastAsia="sr-Cyrl-CS"/>
        </w:rPr>
      </w:pPr>
      <w:r w:rsidRPr="00F412BE">
        <w:rPr>
          <w:strike/>
          <w:lang w:eastAsia="sr-Cyrl-CS"/>
        </w:rPr>
        <w:t>Only work area</w:t>
      </w:r>
    </w:p>
    <w:p w14:paraId="0EDF728C" w14:textId="77777777" w:rsidR="00E8098D" w:rsidRPr="008A5894" w:rsidRDefault="00E8098D" w:rsidP="00E8098D">
      <w:pPr>
        <w:numPr>
          <w:ilvl w:val="0"/>
          <w:numId w:val="7"/>
        </w:numPr>
        <w:suppressAutoHyphens w:val="0"/>
        <w:autoSpaceDE w:val="0"/>
        <w:autoSpaceDN w:val="0"/>
        <w:adjustRightInd w:val="0"/>
        <w:spacing w:line="240" w:lineRule="auto"/>
        <w:ind w:left="1080"/>
        <w:jc w:val="both"/>
        <w:rPr>
          <w:lang w:eastAsia="sr-Cyrl-CS"/>
        </w:rPr>
      </w:pPr>
      <w:r w:rsidRPr="008A5894">
        <w:rPr>
          <w:lang w:eastAsia="sr-Cyrl-CS"/>
        </w:rPr>
        <w:t>Main work area</w:t>
      </w:r>
    </w:p>
    <w:p w14:paraId="2D3A2A9E" w14:textId="77777777" w:rsidR="00E8098D" w:rsidRDefault="00E8098D" w:rsidP="00E8098D">
      <w:pPr>
        <w:autoSpaceDE w:val="0"/>
        <w:autoSpaceDN w:val="0"/>
        <w:adjustRightInd w:val="0"/>
        <w:spacing w:after="120"/>
        <w:ind w:left="1440"/>
        <w:jc w:val="both"/>
      </w:pPr>
      <w:r w:rsidRPr="00936FF9">
        <w:t>The Agreement on</w:t>
      </w:r>
      <w:r>
        <w:t xml:space="preserve"> </w:t>
      </w:r>
      <w:r w:rsidRPr="00FC69A5">
        <w:t>the International Carriage of Perishable Foodstuffs and on the Special Equipment to be Used for such Carriage (ATP)</w:t>
      </w:r>
      <w:r>
        <w:t xml:space="preserve"> </w:t>
      </w:r>
      <w:r w:rsidRPr="00936FF9">
        <w:t xml:space="preserve">is </w:t>
      </w:r>
      <w:r>
        <w:t xml:space="preserve">intended </w:t>
      </w:r>
      <w:r w:rsidRPr="00FC69A5">
        <w:t xml:space="preserve">to ensure </w:t>
      </w:r>
      <w:r>
        <w:t>that perishable (</w:t>
      </w:r>
      <w:r w:rsidRPr="00936FF9">
        <w:t>(deep) frozen and chilled</w:t>
      </w:r>
      <w:r>
        <w:t xml:space="preserve">) foodstuffs are transported safely and efficiently, to avoid threats to human health and to perform the transport operations in an </w:t>
      </w:r>
      <w:r w:rsidRPr="00936FF9">
        <w:t>environment</w:t>
      </w:r>
      <w:r>
        <w:t>a</w:t>
      </w:r>
      <w:r w:rsidRPr="00936FF9">
        <w:t>l</w:t>
      </w:r>
      <w:r>
        <w:t>ly</w:t>
      </w:r>
      <w:r w:rsidRPr="00936FF9">
        <w:t xml:space="preserve"> </w:t>
      </w:r>
      <w:r>
        <w:t xml:space="preserve">sound </w:t>
      </w:r>
      <w:r w:rsidRPr="00936FF9">
        <w:t>way</w:t>
      </w:r>
      <w:r>
        <w:t xml:space="preserve">. </w:t>
      </w:r>
      <w:r w:rsidRPr="00936FF9">
        <w:t>The ATP may also be applied for national</w:t>
      </w:r>
      <w:r>
        <w:t xml:space="preserve"> transport of perishable foodstuffs</w:t>
      </w:r>
      <w:r w:rsidRPr="00936FF9">
        <w:t xml:space="preserve"> by contracting parties giving a sound baseline for safe and efficient transport internally in these countries.</w:t>
      </w:r>
    </w:p>
    <w:p w14:paraId="2B81CD5C" w14:textId="77777777" w:rsidR="00E8098D" w:rsidRPr="00F412BE" w:rsidRDefault="00E8098D" w:rsidP="00E8098D">
      <w:pPr>
        <w:numPr>
          <w:ilvl w:val="0"/>
          <w:numId w:val="7"/>
        </w:numPr>
        <w:suppressAutoHyphens w:val="0"/>
        <w:autoSpaceDE w:val="0"/>
        <w:autoSpaceDN w:val="0"/>
        <w:adjustRightInd w:val="0"/>
        <w:spacing w:line="240" w:lineRule="auto"/>
        <w:ind w:left="1080"/>
        <w:jc w:val="both"/>
        <w:rPr>
          <w:strike/>
          <w:lang w:eastAsia="sr-Cyrl-CS"/>
        </w:rPr>
      </w:pPr>
      <w:r w:rsidRPr="00F412BE">
        <w:rPr>
          <w:strike/>
          <w:lang w:eastAsia="sr-Cyrl-CS"/>
        </w:rPr>
        <w:t>Minor work area</w:t>
      </w:r>
    </w:p>
    <w:p w14:paraId="2DB013B8" w14:textId="77777777" w:rsidR="00E8098D" w:rsidRPr="00F412BE" w:rsidRDefault="00E8098D" w:rsidP="00E8098D">
      <w:pPr>
        <w:numPr>
          <w:ilvl w:val="0"/>
          <w:numId w:val="7"/>
        </w:numPr>
        <w:suppressAutoHyphens w:val="0"/>
        <w:autoSpaceDE w:val="0"/>
        <w:autoSpaceDN w:val="0"/>
        <w:adjustRightInd w:val="0"/>
        <w:spacing w:line="240" w:lineRule="auto"/>
        <w:ind w:left="1080"/>
        <w:jc w:val="both"/>
        <w:rPr>
          <w:strike/>
          <w:lang w:eastAsia="sr-Cyrl-CS"/>
        </w:rPr>
      </w:pPr>
      <w:r w:rsidRPr="00F412BE">
        <w:rPr>
          <w:strike/>
          <w:lang w:eastAsia="sr-Cyrl-CS"/>
        </w:rPr>
        <w:t>N/A</w:t>
      </w:r>
    </w:p>
    <w:p w14:paraId="56F156C1" w14:textId="77777777" w:rsidR="00E8098D" w:rsidRPr="00A8307F" w:rsidRDefault="00E8098D" w:rsidP="00E8098D">
      <w:pPr>
        <w:autoSpaceDE w:val="0"/>
        <w:autoSpaceDN w:val="0"/>
        <w:adjustRightInd w:val="0"/>
        <w:jc w:val="both"/>
        <w:rPr>
          <w:b/>
          <w:bCs/>
          <w:lang w:eastAsia="sr-Cyrl-CS"/>
        </w:rPr>
      </w:pPr>
    </w:p>
    <w:p w14:paraId="039A0CF3" w14:textId="77777777" w:rsidR="00E8098D" w:rsidRPr="00066FBB" w:rsidRDefault="00E8098D" w:rsidP="00E8098D">
      <w:pPr>
        <w:autoSpaceDE w:val="0"/>
        <w:autoSpaceDN w:val="0"/>
        <w:adjustRightInd w:val="0"/>
        <w:ind w:left="360"/>
        <w:jc w:val="both"/>
        <w:rPr>
          <w:b/>
          <w:bCs/>
          <w:lang w:eastAsia="sr-Cyrl-CS"/>
        </w:rPr>
      </w:pPr>
      <w:r w:rsidRPr="00066FBB">
        <w:rPr>
          <w:b/>
          <w:bCs/>
          <w:lang w:eastAsia="sr-Cyrl-CS"/>
        </w:rPr>
        <w:t xml:space="preserve">C. </w:t>
      </w:r>
      <w:r w:rsidRPr="00066FBB">
        <w:rPr>
          <w:b/>
          <w:bCs/>
          <w:lang w:eastAsia="sr-Cyrl-CS"/>
        </w:rPr>
        <w:tab/>
        <w:t>Environmental/climate performance [</w:t>
      </w:r>
      <w:r w:rsidRPr="00066FBB">
        <w:rPr>
          <w:i/>
          <w:iCs/>
          <w:color w:val="FF0000"/>
          <w:lang w:eastAsia="sr-Cyrl-CS"/>
        </w:rPr>
        <w:t>select one of the following</w:t>
      </w:r>
      <w:r w:rsidRPr="00066FBB">
        <w:rPr>
          <w:b/>
          <w:bCs/>
          <w:lang w:eastAsia="sr-Cyrl-CS"/>
        </w:rPr>
        <w:t>]</w:t>
      </w:r>
    </w:p>
    <w:p w14:paraId="47EF69CB" w14:textId="77777777" w:rsidR="00E8098D" w:rsidRDefault="00E8098D" w:rsidP="00E8098D">
      <w:pPr>
        <w:numPr>
          <w:ilvl w:val="0"/>
          <w:numId w:val="7"/>
        </w:numPr>
        <w:suppressAutoHyphens w:val="0"/>
        <w:autoSpaceDE w:val="0"/>
        <w:autoSpaceDN w:val="0"/>
        <w:adjustRightInd w:val="0"/>
        <w:spacing w:before="120" w:after="120" w:line="240" w:lineRule="auto"/>
        <w:ind w:left="709" w:hanging="357"/>
        <w:jc w:val="both"/>
        <w:rPr>
          <w:lang w:eastAsia="sr-Cyrl-CS"/>
        </w:rPr>
      </w:pPr>
      <w:r w:rsidRPr="00D56112">
        <w:rPr>
          <w:lang w:eastAsia="sr-Cyrl-CS"/>
        </w:rPr>
        <w:t>Only work are</w:t>
      </w:r>
      <w:r>
        <w:rPr>
          <w:lang w:eastAsia="sr-Cyrl-CS"/>
        </w:rPr>
        <w:t>a</w:t>
      </w:r>
    </w:p>
    <w:p w14:paraId="46BA6E55" w14:textId="77777777" w:rsidR="00E8098D" w:rsidRPr="00B806DD" w:rsidRDefault="00E8098D" w:rsidP="00E8098D">
      <w:pPr>
        <w:autoSpaceDE w:val="0"/>
        <w:autoSpaceDN w:val="0"/>
        <w:adjustRightInd w:val="0"/>
        <w:spacing w:after="120"/>
        <w:ind w:left="1440"/>
        <w:jc w:val="both"/>
        <w:rPr>
          <w:lang w:eastAsia="sr-Cyrl-CS"/>
        </w:rPr>
      </w:pPr>
      <w:r w:rsidRPr="00B806DD">
        <w:rPr>
          <w:lang w:eastAsia="sr-Cyrl-CS"/>
        </w:rPr>
        <w:t>The ATP main purpose is to guarantee food safety and reduction of food waste, which i</w:t>
      </w:r>
      <w:r>
        <w:rPr>
          <w:lang w:eastAsia="sr-Cyrl-CS"/>
        </w:rPr>
        <w:t>s</w:t>
      </w:r>
      <w:r w:rsidRPr="00B806DD">
        <w:rPr>
          <w:lang w:eastAsia="sr-Cyrl-CS"/>
        </w:rPr>
        <w:t xml:space="preserve"> an environmental and climate issue in itself (see D. below). Although ATP is not directly involved in setting pollution standards of drive systems the ATP depends on and allows for regulation done by other subsidiary bodies for example emissions of Non Road Mobile Machinery, battery performance requirements and reducing the GWP of refrigerants. </w:t>
      </w:r>
    </w:p>
    <w:p w14:paraId="792787B2" w14:textId="77777777" w:rsidR="00E8098D" w:rsidRPr="00B806DD" w:rsidRDefault="00E8098D" w:rsidP="00E8098D">
      <w:pPr>
        <w:autoSpaceDE w:val="0"/>
        <w:autoSpaceDN w:val="0"/>
        <w:adjustRightInd w:val="0"/>
        <w:spacing w:after="120"/>
        <w:ind w:left="1440"/>
        <w:jc w:val="both"/>
        <w:rPr>
          <w:lang w:eastAsia="sr-Cyrl-CS"/>
        </w:rPr>
      </w:pPr>
      <w:r w:rsidRPr="00B806DD">
        <w:rPr>
          <w:lang w:eastAsia="sr-Cyrl-CS"/>
        </w:rPr>
        <w:t>In addition to this</w:t>
      </w:r>
      <w:r>
        <w:rPr>
          <w:lang w:eastAsia="sr-Cyrl-CS"/>
        </w:rPr>
        <w:t>,</w:t>
      </w:r>
      <w:r w:rsidRPr="00B806DD">
        <w:rPr>
          <w:lang w:eastAsia="sr-Cyrl-CS"/>
        </w:rPr>
        <w:t xml:space="preserve"> much work has already been undertaken to ensure that electrification of the refrigeration becomes possible. This work is still ongoing as the guarantee of continuously maintaining the transport conditions depends on the availability of the supply of electricity. For this</w:t>
      </w:r>
      <w:r>
        <w:rPr>
          <w:lang w:eastAsia="sr-Cyrl-CS"/>
        </w:rPr>
        <w:t>,</w:t>
      </w:r>
      <w:r w:rsidRPr="00B806DD">
        <w:rPr>
          <w:lang w:eastAsia="sr-Cyrl-CS"/>
        </w:rPr>
        <w:t xml:space="preserve"> electrical supply is needed as overnight stops and other measures that need to be resolved in the near future.</w:t>
      </w:r>
    </w:p>
    <w:p w14:paraId="7C8DA92D" w14:textId="77777777" w:rsidR="00E8098D" w:rsidRPr="00F412BE" w:rsidRDefault="00E8098D" w:rsidP="00E8098D">
      <w:pPr>
        <w:numPr>
          <w:ilvl w:val="0"/>
          <w:numId w:val="7"/>
        </w:numPr>
        <w:suppressAutoHyphens w:val="0"/>
        <w:autoSpaceDE w:val="0"/>
        <w:autoSpaceDN w:val="0"/>
        <w:adjustRightInd w:val="0"/>
        <w:spacing w:line="240" w:lineRule="auto"/>
        <w:ind w:left="1080"/>
        <w:jc w:val="both"/>
        <w:rPr>
          <w:strike/>
          <w:lang w:eastAsia="sr-Cyrl-CS"/>
        </w:rPr>
      </w:pPr>
      <w:r w:rsidRPr="00F412BE">
        <w:rPr>
          <w:strike/>
          <w:lang w:eastAsia="sr-Cyrl-CS"/>
        </w:rPr>
        <w:t>Main work area</w:t>
      </w:r>
    </w:p>
    <w:p w14:paraId="61A02ABE" w14:textId="77777777" w:rsidR="00E8098D" w:rsidRPr="00F412BE" w:rsidRDefault="00E8098D" w:rsidP="00E8098D">
      <w:pPr>
        <w:numPr>
          <w:ilvl w:val="0"/>
          <w:numId w:val="7"/>
        </w:numPr>
        <w:suppressAutoHyphens w:val="0"/>
        <w:autoSpaceDE w:val="0"/>
        <w:autoSpaceDN w:val="0"/>
        <w:adjustRightInd w:val="0"/>
        <w:spacing w:line="240" w:lineRule="auto"/>
        <w:ind w:left="1080"/>
        <w:jc w:val="both"/>
        <w:rPr>
          <w:strike/>
          <w:lang w:eastAsia="sr-Cyrl-CS"/>
        </w:rPr>
      </w:pPr>
      <w:r w:rsidRPr="00F412BE">
        <w:rPr>
          <w:strike/>
          <w:lang w:eastAsia="sr-Cyrl-CS"/>
        </w:rPr>
        <w:t>Minor work area</w:t>
      </w:r>
    </w:p>
    <w:p w14:paraId="58949D8E" w14:textId="77777777" w:rsidR="00E8098D" w:rsidRPr="00F412BE" w:rsidRDefault="00E8098D" w:rsidP="00E8098D">
      <w:pPr>
        <w:numPr>
          <w:ilvl w:val="0"/>
          <w:numId w:val="7"/>
        </w:numPr>
        <w:suppressAutoHyphens w:val="0"/>
        <w:autoSpaceDE w:val="0"/>
        <w:autoSpaceDN w:val="0"/>
        <w:adjustRightInd w:val="0"/>
        <w:spacing w:line="240" w:lineRule="auto"/>
        <w:ind w:left="1080"/>
        <w:jc w:val="both"/>
        <w:rPr>
          <w:strike/>
          <w:lang w:eastAsia="sr-Cyrl-CS"/>
        </w:rPr>
      </w:pPr>
      <w:r w:rsidRPr="00F412BE">
        <w:rPr>
          <w:strike/>
          <w:lang w:eastAsia="sr-Cyrl-CS"/>
        </w:rPr>
        <w:t>N/A</w:t>
      </w:r>
    </w:p>
    <w:p w14:paraId="586D24F4" w14:textId="77777777" w:rsidR="00E8098D" w:rsidRPr="00F412BE" w:rsidRDefault="00E8098D" w:rsidP="00E8098D">
      <w:pPr>
        <w:autoSpaceDE w:val="0"/>
        <w:autoSpaceDN w:val="0"/>
        <w:adjustRightInd w:val="0"/>
        <w:ind w:left="1080" w:hanging="720"/>
        <w:jc w:val="both"/>
        <w:rPr>
          <w:b/>
          <w:bCs/>
          <w:strike/>
          <w:lang w:eastAsia="sr-Cyrl-CS"/>
        </w:rPr>
      </w:pPr>
    </w:p>
    <w:p w14:paraId="6E2F92B5" w14:textId="77777777" w:rsidR="00E8098D" w:rsidRPr="00F515E9" w:rsidRDefault="00E8098D" w:rsidP="00E8098D">
      <w:pPr>
        <w:autoSpaceDE w:val="0"/>
        <w:autoSpaceDN w:val="0"/>
        <w:adjustRightInd w:val="0"/>
        <w:ind w:left="1080" w:hanging="720"/>
        <w:jc w:val="both"/>
        <w:rPr>
          <w:b/>
          <w:bCs/>
          <w:lang w:eastAsia="sr-Cyrl-CS"/>
        </w:rPr>
      </w:pPr>
      <w:r w:rsidRPr="00F515E9">
        <w:rPr>
          <w:b/>
          <w:bCs/>
          <w:lang w:eastAsia="sr-Cyrl-CS"/>
        </w:rPr>
        <w:t>D.</w:t>
      </w:r>
      <w:r w:rsidRPr="00F515E9">
        <w:rPr>
          <w:b/>
          <w:bCs/>
          <w:lang w:eastAsia="sr-Cyrl-CS"/>
        </w:rPr>
        <w:tab/>
      </w:r>
      <w:r w:rsidRPr="0086305B">
        <w:rPr>
          <w:b/>
          <w:bCs/>
          <w:lang w:eastAsia="sr-Cyrl-CS"/>
        </w:rPr>
        <w:t>Other (</w:t>
      </w:r>
      <w:r>
        <w:rPr>
          <w:b/>
          <w:bCs/>
          <w:i/>
          <w:iCs/>
          <w:lang w:eastAsia="sr-Cyrl-CS"/>
        </w:rPr>
        <w:t>S</w:t>
      </w:r>
      <w:r w:rsidRPr="006D7F28">
        <w:rPr>
          <w:b/>
          <w:bCs/>
          <w:i/>
          <w:iCs/>
          <w:lang w:eastAsia="sr-Cyrl-CS"/>
        </w:rPr>
        <w:t>ecurity</w:t>
      </w:r>
      <w:r w:rsidRPr="0086305B">
        <w:rPr>
          <w:b/>
          <w:bCs/>
          <w:lang w:eastAsia="sr-Cyrl-CS"/>
        </w:rPr>
        <w:t>)</w:t>
      </w:r>
      <w:r w:rsidRPr="00ED0D95">
        <w:rPr>
          <w:b/>
          <w:bCs/>
          <w:lang w:eastAsia="sr-Cyrl-CS"/>
        </w:rPr>
        <w:t xml:space="preserve"> </w:t>
      </w:r>
      <w:r>
        <w:rPr>
          <w:b/>
          <w:bCs/>
          <w:lang w:eastAsia="sr-Cyrl-CS"/>
        </w:rPr>
        <w:t>[</w:t>
      </w:r>
      <w:r w:rsidRPr="005E4CD4">
        <w:rPr>
          <w:i/>
          <w:iCs/>
          <w:color w:val="FF0000"/>
          <w:lang w:eastAsia="sr-Cyrl-CS"/>
        </w:rPr>
        <w:t>select one of the following</w:t>
      </w:r>
      <w:r>
        <w:rPr>
          <w:b/>
          <w:bCs/>
          <w:lang w:eastAsia="sr-Cyrl-CS"/>
        </w:rPr>
        <w:t>]</w:t>
      </w:r>
    </w:p>
    <w:p w14:paraId="321C2370" w14:textId="77777777" w:rsidR="00E8098D" w:rsidRPr="00F412BE" w:rsidRDefault="00E8098D" w:rsidP="00E8098D">
      <w:pPr>
        <w:numPr>
          <w:ilvl w:val="0"/>
          <w:numId w:val="7"/>
        </w:numPr>
        <w:suppressAutoHyphens w:val="0"/>
        <w:autoSpaceDE w:val="0"/>
        <w:autoSpaceDN w:val="0"/>
        <w:adjustRightInd w:val="0"/>
        <w:spacing w:line="240" w:lineRule="auto"/>
        <w:ind w:left="1080"/>
        <w:jc w:val="both"/>
        <w:rPr>
          <w:strike/>
          <w:lang w:eastAsia="sr-Cyrl-CS"/>
        </w:rPr>
      </w:pPr>
      <w:r w:rsidRPr="00F412BE">
        <w:rPr>
          <w:strike/>
          <w:lang w:eastAsia="sr-Cyrl-CS"/>
        </w:rPr>
        <w:t>Only work area</w:t>
      </w:r>
    </w:p>
    <w:p w14:paraId="7C8858EC" w14:textId="77777777" w:rsidR="00E8098D" w:rsidRPr="00F412BE" w:rsidRDefault="00E8098D" w:rsidP="00E8098D">
      <w:pPr>
        <w:numPr>
          <w:ilvl w:val="0"/>
          <w:numId w:val="7"/>
        </w:numPr>
        <w:suppressAutoHyphens w:val="0"/>
        <w:autoSpaceDE w:val="0"/>
        <w:autoSpaceDN w:val="0"/>
        <w:adjustRightInd w:val="0"/>
        <w:spacing w:line="240" w:lineRule="auto"/>
        <w:ind w:left="1080"/>
        <w:jc w:val="both"/>
        <w:rPr>
          <w:strike/>
          <w:lang w:eastAsia="sr-Cyrl-CS"/>
        </w:rPr>
      </w:pPr>
      <w:r w:rsidRPr="00F412BE">
        <w:rPr>
          <w:strike/>
          <w:lang w:eastAsia="sr-Cyrl-CS"/>
        </w:rPr>
        <w:t>Main work area</w:t>
      </w:r>
    </w:p>
    <w:p w14:paraId="15C862C1" w14:textId="77777777" w:rsidR="00E8098D" w:rsidRDefault="00E8098D" w:rsidP="00E8098D">
      <w:pPr>
        <w:numPr>
          <w:ilvl w:val="0"/>
          <w:numId w:val="7"/>
        </w:numPr>
        <w:suppressAutoHyphens w:val="0"/>
        <w:autoSpaceDE w:val="0"/>
        <w:autoSpaceDN w:val="0"/>
        <w:adjustRightInd w:val="0"/>
        <w:spacing w:after="120" w:line="240" w:lineRule="auto"/>
        <w:ind w:left="1077" w:hanging="357"/>
        <w:jc w:val="both"/>
        <w:rPr>
          <w:lang w:eastAsia="sr-Cyrl-CS"/>
        </w:rPr>
      </w:pPr>
      <w:r w:rsidRPr="00F515E9">
        <w:rPr>
          <w:lang w:eastAsia="sr-Cyrl-CS"/>
        </w:rPr>
        <w:t>Minor work area</w:t>
      </w:r>
    </w:p>
    <w:p w14:paraId="438133E5" w14:textId="77777777" w:rsidR="00E8098D" w:rsidRPr="00BB3F8E" w:rsidRDefault="00E8098D" w:rsidP="00E8098D">
      <w:pPr>
        <w:autoSpaceDE w:val="0"/>
        <w:autoSpaceDN w:val="0"/>
        <w:adjustRightInd w:val="0"/>
        <w:spacing w:after="120"/>
        <w:ind w:left="1440"/>
        <w:jc w:val="both"/>
      </w:pPr>
      <w:r w:rsidRPr="00FD1850">
        <w:t>Food security has become increasingly important in light of recent food crises caused by drought, the use of agricultural products as biofuels and inflation of food prices.</w:t>
      </w:r>
      <w:r w:rsidRPr="00BB3F8E">
        <w:t xml:space="preserve"> Food security is also affected by the waste of foodstuffs. ATP contributes to the overall reduction of food waste due to inadequate transport conditions. Millions of tonnes of foodstuffs going to waste also results in wasting very scarce or non-renewable resources required to produce foods, such as land, water, energy, and chemical fertilizers and pesticides</w:t>
      </w:r>
      <w:r>
        <w:t>.</w:t>
      </w:r>
    </w:p>
    <w:p w14:paraId="4EB0B15B" w14:textId="77777777" w:rsidR="00E8098D" w:rsidRPr="00F412BE" w:rsidRDefault="00E8098D" w:rsidP="00E8098D">
      <w:pPr>
        <w:numPr>
          <w:ilvl w:val="0"/>
          <w:numId w:val="7"/>
        </w:numPr>
        <w:suppressAutoHyphens w:val="0"/>
        <w:autoSpaceDE w:val="0"/>
        <w:autoSpaceDN w:val="0"/>
        <w:adjustRightInd w:val="0"/>
        <w:spacing w:line="240" w:lineRule="auto"/>
        <w:ind w:left="1080"/>
        <w:jc w:val="both"/>
        <w:rPr>
          <w:strike/>
          <w:lang w:eastAsia="sr-Cyrl-CS"/>
        </w:rPr>
      </w:pPr>
      <w:r w:rsidRPr="00F412BE">
        <w:rPr>
          <w:strike/>
          <w:lang w:eastAsia="sr-Cyrl-CS"/>
        </w:rPr>
        <w:t>N/A</w:t>
      </w:r>
    </w:p>
    <w:p w14:paraId="6B90CFBD" w14:textId="77777777" w:rsidR="00E8098D" w:rsidRPr="00F515E9" w:rsidRDefault="00E8098D" w:rsidP="00E8098D">
      <w:pPr>
        <w:autoSpaceDE w:val="0"/>
        <w:autoSpaceDN w:val="0"/>
        <w:adjustRightInd w:val="0"/>
        <w:ind w:left="1080" w:hanging="720"/>
        <w:jc w:val="both"/>
        <w:rPr>
          <w:b/>
          <w:bCs/>
          <w:lang w:eastAsia="sr-Cyrl-CS"/>
        </w:rPr>
      </w:pPr>
    </w:p>
    <w:p w14:paraId="2D7E8424" w14:textId="77777777" w:rsidR="00E8098D" w:rsidRDefault="00E8098D" w:rsidP="00E8098D">
      <w:pPr>
        <w:autoSpaceDE w:val="0"/>
        <w:autoSpaceDN w:val="0"/>
        <w:adjustRightInd w:val="0"/>
        <w:ind w:left="720" w:hanging="720"/>
        <w:jc w:val="both"/>
        <w:rPr>
          <w:b/>
          <w:bCs/>
          <w:sz w:val="28"/>
          <w:szCs w:val="28"/>
          <w:lang w:eastAsia="sr-Cyrl-CS"/>
        </w:rPr>
      </w:pPr>
      <w:r>
        <w:rPr>
          <w:b/>
          <w:bCs/>
          <w:sz w:val="28"/>
          <w:szCs w:val="28"/>
          <w:lang w:eastAsia="sr-Cyrl-CS"/>
        </w:rPr>
        <w:t>IV. Work areas covered by the Working Party – efficiency and value added</w:t>
      </w:r>
    </w:p>
    <w:p w14:paraId="69A023EE" w14:textId="77777777" w:rsidR="00E8098D" w:rsidRPr="00F515E9" w:rsidRDefault="00E8098D" w:rsidP="00E8098D">
      <w:pPr>
        <w:autoSpaceDE w:val="0"/>
        <w:autoSpaceDN w:val="0"/>
        <w:adjustRightInd w:val="0"/>
        <w:ind w:left="360"/>
        <w:jc w:val="both"/>
        <w:rPr>
          <w:b/>
          <w:bCs/>
          <w:lang w:eastAsia="sr-Cyrl-CS"/>
        </w:rPr>
      </w:pPr>
      <w:r w:rsidRPr="00F515E9">
        <w:rPr>
          <w:b/>
          <w:bCs/>
          <w:lang w:eastAsia="sr-Cyrl-CS"/>
        </w:rPr>
        <w:t>A.</w:t>
      </w:r>
      <w:r w:rsidRPr="00F515E9">
        <w:rPr>
          <w:b/>
          <w:bCs/>
          <w:lang w:eastAsia="sr-Cyrl-CS"/>
        </w:rPr>
        <w:tab/>
      </w:r>
      <w:r w:rsidRPr="00B94983">
        <w:rPr>
          <w:b/>
          <w:bCs/>
          <w:u w:val="single"/>
          <w:lang w:eastAsia="sr-Cyrl-CS"/>
        </w:rPr>
        <w:t>Internal</w:t>
      </w:r>
      <w:r>
        <w:rPr>
          <w:b/>
          <w:bCs/>
          <w:lang w:eastAsia="sr-Cyrl-CS"/>
        </w:rPr>
        <w:t xml:space="preserve"> overlaps/duplication </w:t>
      </w:r>
      <w:r w:rsidRPr="00F515E9">
        <w:rPr>
          <w:b/>
          <w:bCs/>
          <w:lang w:eastAsia="sr-Cyrl-CS"/>
        </w:rPr>
        <w:t>(</w:t>
      </w:r>
      <w:r>
        <w:rPr>
          <w:b/>
          <w:bCs/>
          <w:lang w:eastAsia="sr-Cyrl-CS"/>
        </w:rPr>
        <w:t>other UNECE bodies performing similar/identical tasks) [</w:t>
      </w:r>
      <w:r>
        <w:rPr>
          <w:i/>
          <w:iCs/>
          <w:color w:val="FF0000"/>
          <w:lang w:eastAsia="sr-Cyrl-CS"/>
        </w:rPr>
        <w:t>expand</w:t>
      </w:r>
      <w:r w:rsidRPr="00B94983">
        <w:rPr>
          <w:i/>
          <w:iCs/>
          <w:color w:val="FF0000"/>
          <w:lang w:eastAsia="sr-Cyrl-CS"/>
        </w:rPr>
        <w:t xml:space="preserve"> as necessary, if more than one </w:t>
      </w:r>
      <w:r>
        <w:rPr>
          <w:i/>
          <w:iCs/>
          <w:color w:val="FF0000"/>
          <w:lang w:eastAsia="sr-Cyrl-CS"/>
        </w:rPr>
        <w:t xml:space="preserve">areas of </w:t>
      </w:r>
      <w:r w:rsidRPr="00B94983">
        <w:rPr>
          <w:i/>
          <w:iCs/>
          <w:color w:val="FF0000"/>
          <w:lang w:eastAsia="sr-Cyrl-CS"/>
        </w:rPr>
        <w:t>overlap</w:t>
      </w:r>
      <w:r>
        <w:rPr>
          <w:b/>
          <w:bCs/>
          <w:lang w:eastAsia="sr-Cyrl-CS"/>
        </w:rPr>
        <w:t>]</w:t>
      </w:r>
    </w:p>
    <w:p w14:paraId="3F8F4CE9" w14:textId="77777777" w:rsidR="00E8098D" w:rsidRPr="0044038C" w:rsidRDefault="00E8098D" w:rsidP="00E8098D">
      <w:pPr>
        <w:numPr>
          <w:ilvl w:val="0"/>
          <w:numId w:val="7"/>
        </w:numPr>
        <w:suppressAutoHyphens w:val="0"/>
        <w:autoSpaceDE w:val="0"/>
        <w:autoSpaceDN w:val="0"/>
        <w:adjustRightInd w:val="0"/>
        <w:spacing w:line="240" w:lineRule="auto"/>
        <w:ind w:left="1080"/>
        <w:jc w:val="both"/>
        <w:rPr>
          <w:lang w:eastAsia="sr-Cyrl-CS"/>
        </w:rPr>
      </w:pPr>
      <w:r>
        <w:rPr>
          <w:lang w:eastAsia="sr-Cyrl-CS"/>
        </w:rPr>
        <w:t xml:space="preserve">Area of work 1: </w:t>
      </w:r>
      <w:r w:rsidRPr="0044038C">
        <w:rPr>
          <w:lang w:eastAsia="sr-Cyrl-CS"/>
        </w:rPr>
        <w:t>Enhanced facilitation of transport of perishable goods;</w:t>
      </w:r>
    </w:p>
    <w:p w14:paraId="77864C40" w14:textId="77777777" w:rsidR="00E8098D" w:rsidRPr="0044038C" w:rsidRDefault="00E8098D" w:rsidP="00E8098D">
      <w:pPr>
        <w:numPr>
          <w:ilvl w:val="1"/>
          <w:numId w:val="7"/>
        </w:numPr>
        <w:suppressAutoHyphens w:val="0"/>
        <w:autoSpaceDE w:val="0"/>
        <w:autoSpaceDN w:val="0"/>
        <w:adjustRightInd w:val="0"/>
        <w:spacing w:line="240" w:lineRule="auto"/>
        <w:jc w:val="both"/>
        <w:rPr>
          <w:strike/>
          <w:lang w:eastAsia="sr-Cyrl-CS"/>
        </w:rPr>
      </w:pPr>
      <w:r w:rsidRPr="0044038C">
        <w:rPr>
          <w:strike/>
          <w:lang w:eastAsia="sr-Cyrl-CS"/>
        </w:rPr>
        <w:t>Full overlap (explain)</w:t>
      </w:r>
    </w:p>
    <w:p w14:paraId="762829A2" w14:textId="77777777" w:rsidR="00E8098D" w:rsidRPr="0044038C" w:rsidRDefault="00E8098D" w:rsidP="00E8098D">
      <w:pPr>
        <w:numPr>
          <w:ilvl w:val="1"/>
          <w:numId w:val="7"/>
        </w:numPr>
        <w:suppressAutoHyphens w:val="0"/>
        <w:autoSpaceDE w:val="0"/>
        <w:autoSpaceDN w:val="0"/>
        <w:adjustRightInd w:val="0"/>
        <w:spacing w:line="240" w:lineRule="auto"/>
        <w:jc w:val="both"/>
        <w:rPr>
          <w:strike/>
          <w:lang w:eastAsia="sr-Cyrl-CS"/>
        </w:rPr>
      </w:pPr>
      <w:r w:rsidRPr="0044038C">
        <w:rPr>
          <w:strike/>
          <w:lang w:eastAsia="sr-Cyrl-CS"/>
        </w:rPr>
        <w:t>Partial overlap (explain)</w:t>
      </w:r>
    </w:p>
    <w:p w14:paraId="7DD22BC0" w14:textId="77777777" w:rsidR="00E8098D" w:rsidRDefault="00E8098D" w:rsidP="00E8098D">
      <w:pPr>
        <w:numPr>
          <w:ilvl w:val="1"/>
          <w:numId w:val="7"/>
        </w:numPr>
        <w:suppressAutoHyphens w:val="0"/>
        <w:autoSpaceDE w:val="0"/>
        <w:autoSpaceDN w:val="0"/>
        <w:adjustRightInd w:val="0"/>
        <w:spacing w:line="240" w:lineRule="auto"/>
        <w:jc w:val="both"/>
        <w:rPr>
          <w:lang w:eastAsia="sr-Cyrl-CS"/>
        </w:rPr>
      </w:pPr>
      <w:r>
        <w:rPr>
          <w:lang w:eastAsia="sr-Cyrl-CS"/>
        </w:rPr>
        <w:t>No overlap</w:t>
      </w:r>
    </w:p>
    <w:p w14:paraId="02E5675B" w14:textId="77777777" w:rsidR="00E8098D" w:rsidRPr="007100A2" w:rsidRDefault="00E8098D" w:rsidP="00E8098D">
      <w:pPr>
        <w:numPr>
          <w:ilvl w:val="0"/>
          <w:numId w:val="7"/>
        </w:numPr>
        <w:suppressAutoHyphens w:val="0"/>
        <w:autoSpaceDE w:val="0"/>
        <w:autoSpaceDN w:val="0"/>
        <w:adjustRightInd w:val="0"/>
        <w:spacing w:line="240" w:lineRule="auto"/>
        <w:ind w:left="1080"/>
        <w:jc w:val="both"/>
        <w:rPr>
          <w:lang w:eastAsia="sr-Cyrl-CS"/>
        </w:rPr>
      </w:pPr>
      <w:r>
        <w:rPr>
          <w:lang w:eastAsia="sr-Cyrl-CS"/>
        </w:rPr>
        <w:t xml:space="preserve">Area of work 2: </w:t>
      </w:r>
      <w:r w:rsidRPr="007100A2">
        <w:rPr>
          <w:lang w:eastAsia="sr-Cyrl-CS"/>
        </w:rPr>
        <w:t>Safer food with less negative impact on human health</w:t>
      </w:r>
      <w:r w:rsidRPr="0044038C">
        <w:rPr>
          <w:lang w:eastAsia="sr-Cyrl-CS"/>
        </w:rPr>
        <w:t>;</w:t>
      </w:r>
    </w:p>
    <w:p w14:paraId="35BAB240" w14:textId="77777777" w:rsidR="00E8098D" w:rsidRPr="0044038C" w:rsidRDefault="00E8098D" w:rsidP="00E8098D">
      <w:pPr>
        <w:numPr>
          <w:ilvl w:val="1"/>
          <w:numId w:val="7"/>
        </w:numPr>
        <w:suppressAutoHyphens w:val="0"/>
        <w:autoSpaceDE w:val="0"/>
        <w:autoSpaceDN w:val="0"/>
        <w:adjustRightInd w:val="0"/>
        <w:spacing w:line="240" w:lineRule="auto"/>
        <w:jc w:val="both"/>
        <w:rPr>
          <w:strike/>
          <w:lang w:eastAsia="sr-Cyrl-CS"/>
        </w:rPr>
      </w:pPr>
      <w:r w:rsidRPr="0044038C">
        <w:rPr>
          <w:strike/>
          <w:lang w:eastAsia="sr-Cyrl-CS"/>
        </w:rPr>
        <w:t>Full overlap (explain)</w:t>
      </w:r>
    </w:p>
    <w:p w14:paraId="565510D3" w14:textId="77777777" w:rsidR="00E8098D" w:rsidRPr="0044038C" w:rsidRDefault="00E8098D" w:rsidP="00E8098D">
      <w:pPr>
        <w:numPr>
          <w:ilvl w:val="1"/>
          <w:numId w:val="7"/>
        </w:numPr>
        <w:suppressAutoHyphens w:val="0"/>
        <w:autoSpaceDE w:val="0"/>
        <w:autoSpaceDN w:val="0"/>
        <w:adjustRightInd w:val="0"/>
        <w:spacing w:line="240" w:lineRule="auto"/>
        <w:jc w:val="both"/>
        <w:rPr>
          <w:strike/>
          <w:lang w:eastAsia="sr-Cyrl-CS"/>
        </w:rPr>
      </w:pPr>
      <w:r w:rsidRPr="0044038C">
        <w:rPr>
          <w:strike/>
          <w:lang w:eastAsia="sr-Cyrl-CS"/>
        </w:rPr>
        <w:t>Partial overlap (explain)</w:t>
      </w:r>
    </w:p>
    <w:p w14:paraId="18735BC0" w14:textId="77777777" w:rsidR="00E8098D" w:rsidRDefault="00E8098D" w:rsidP="00E8098D">
      <w:pPr>
        <w:numPr>
          <w:ilvl w:val="1"/>
          <w:numId w:val="7"/>
        </w:numPr>
        <w:suppressAutoHyphens w:val="0"/>
        <w:autoSpaceDE w:val="0"/>
        <w:autoSpaceDN w:val="0"/>
        <w:adjustRightInd w:val="0"/>
        <w:spacing w:line="240" w:lineRule="auto"/>
        <w:jc w:val="both"/>
        <w:rPr>
          <w:lang w:eastAsia="sr-Cyrl-CS"/>
        </w:rPr>
      </w:pPr>
      <w:r>
        <w:rPr>
          <w:lang w:eastAsia="sr-Cyrl-CS"/>
        </w:rPr>
        <w:t>No overlap</w:t>
      </w:r>
    </w:p>
    <w:p w14:paraId="1C939A36" w14:textId="77777777" w:rsidR="00E8098D" w:rsidRPr="00272287" w:rsidRDefault="00E8098D" w:rsidP="00E8098D">
      <w:pPr>
        <w:numPr>
          <w:ilvl w:val="0"/>
          <w:numId w:val="7"/>
        </w:numPr>
        <w:suppressAutoHyphens w:val="0"/>
        <w:autoSpaceDE w:val="0"/>
        <w:autoSpaceDN w:val="0"/>
        <w:adjustRightInd w:val="0"/>
        <w:spacing w:line="240" w:lineRule="auto"/>
        <w:ind w:left="1080"/>
        <w:jc w:val="both"/>
        <w:rPr>
          <w:lang w:eastAsia="sr-Cyrl-CS"/>
        </w:rPr>
      </w:pPr>
    </w:p>
    <w:p w14:paraId="658FCBB4" w14:textId="77777777" w:rsidR="00E8098D" w:rsidRPr="007100A2" w:rsidRDefault="00E8098D" w:rsidP="00E8098D">
      <w:pPr>
        <w:numPr>
          <w:ilvl w:val="0"/>
          <w:numId w:val="7"/>
        </w:numPr>
        <w:suppressAutoHyphens w:val="0"/>
        <w:autoSpaceDE w:val="0"/>
        <w:autoSpaceDN w:val="0"/>
        <w:adjustRightInd w:val="0"/>
        <w:spacing w:line="240" w:lineRule="auto"/>
        <w:ind w:left="1080"/>
        <w:jc w:val="both"/>
        <w:rPr>
          <w:lang w:eastAsia="sr-Cyrl-CS"/>
        </w:rPr>
      </w:pPr>
      <w:r>
        <w:rPr>
          <w:lang w:eastAsia="sr-Cyrl-CS"/>
        </w:rPr>
        <w:t>Area of work 3: Reduction of</w:t>
      </w:r>
      <w:r w:rsidRPr="00272287">
        <w:rPr>
          <w:lang w:eastAsia="sr-Cyrl-CS"/>
        </w:rPr>
        <w:t xml:space="preserve"> waste due to better food preservation</w:t>
      </w:r>
      <w:r w:rsidRPr="0044038C">
        <w:rPr>
          <w:lang w:eastAsia="sr-Cyrl-CS"/>
        </w:rPr>
        <w:t>;</w:t>
      </w:r>
    </w:p>
    <w:p w14:paraId="58869A2C" w14:textId="77777777" w:rsidR="00E8098D" w:rsidRPr="0044038C" w:rsidRDefault="00E8098D" w:rsidP="00E8098D">
      <w:pPr>
        <w:numPr>
          <w:ilvl w:val="1"/>
          <w:numId w:val="7"/>
        </w:numPr>
        <w:suppressAutoHyphens w:val="0"/>
        <w:autoSpaceDE w:val="0"/>
        <w:autoSpaceDN w:val="0"/>
        <w:adjustRightInd w:val="0"/>
        <w:spacing w:line="240" w:lineRule="auto"/>
        <w:jc w:val="both"/>
        <w:rPr>
          <w:strike/>
          <w:lang w:eastAsia="sr-Cyrl-CS"/>
        </w:rPr>
      </w:pPr>
      <w:r w:rsidRPr="0044038C">
        <w:rPr>
          <w:strike/>
          <w:lang w:eastAsia="sr-Cyrl-CS"/>
        </w:rPr>
        <w:lastRenderedPageBreak/>
        <w:t>Full overlap (explain)</w:t>
      </w:r>
    </w:p>
    <w:p w14:paraId="3ED56566" w14:textId="77777777" w:rsidR="00E8098D" w:rsidRPr="0044038C" w:rsidRDefault="00E8098D" w:rsidP="00E8098D">
      <w:pPr>
        <w:numPr>
          <w:ilvl w:val="1"/>
          <w:numId w:val="7"/>
        </w:numPr>
        <w:suppressAutoHyphens w:val="0"/>
        <w:autoSpaceDE w:val="0"/>
        <w:autoSpaceDN w:val="0"/>
        <w:adjustRightInd w:val="0"/>
        <w:spacing w:line="240" w:lineRule="auto"/>
        <w:jc w:val="both"/>
        <w:rPr>
          <w:strike/>
          <w:lang w:eastAsia="sr-Cyrl-CS"/>
        </w:rPr>
      </w:pPr>
      <w:r w:rsidRPr="0044038C">
        <w:rPr>
          <w:strike/>
          <w:lang w:eastAsia="sr-Cyrl-CS"/>
        </w:rPr>
        <w:t>Partial overlap (explain)</w:t>
      </w:r>
    </w:p>
    <w:p w14:paraId="1B9FC49C" w14:textId="77777777" w:rsidR="00E8098D" w:rsidRDefault="00E8098D" w:rsidP="00E8098D">
      <w:pPr>
        <w:numPr>
          <w:ilvl w:val="1"/>
          <w:numId w:val="7"/>
        </w:numPr>
        <w:suppressAutoHyphens w:val="0"/>
        <w:autoSpaceDE w:val="0"/>
        <w:autoSpaceDN w:val="0"/>
        <w:adjustRightInd w:val="0"/>
        <w:spacing w:line="240" w:lineRule="auto"/>
        <w:jc w:val="both"/>
        <w:rPr>
          <w:lang w:eastAsia="sr-Cyrl-CS"/>
        </w:rPr>
      </w:pPr>
      <w:r>
        <w:rPr>
          <w:lang w:eastAsia="sr-Cyrl-CS"/>
        </w:rPr>
        <w:t>No overlap</w:t>
      </w:r>
    </w:p>
    <w:p w14:paraId="5B46643F" w14:textId="77777777" w:rsidR="00E8098D" w:rsidRDefault="00E8098D" w:rsidP="00E8098D">
      <w:pPr>
        <w:numPr>
          <w:ilvl w:val="0"/>
          <w:numId w:val="7"/>
        </w:numPr>
        <w:suppressAutoHyphens w:val="0"/>
        <w:autoSpaceDE w:val="0"/>
        <w:autoSpaceDN w:val="0"/>
        <w:adjustRightInd w:val="0"/>
        <w:spacing w:line="240" w:lineRule="auto"/>
        <w:ind w:left="1080"/>
        <w:jc w:val="both"/>
        <w:rPr>
          <w:lang w:eastAsia="sr-Cyrl-CS"/>
        </w:rPr>
      </w:pPr>
    </w:p>
    <w:p w14:paraId="36809AFB" w14:textId="77777777" w:rsidR="00E8098D" w:rsidRPr="00F515E9" w:rsidRDefault="00E8098D" w:rsidP="00E8098D">
      <w:pPr>
        <w:autoSpaceDE w:val="0"/>
        <w:autoSpaceDN w:val="0"/>
        <w:adjustRightInd w:val="0"/>
        <w:jc w:val="both"/>
        <w:rPr>
          <w:lang w:eastAsia="sr-Cyrl-CS"/>
        </w:rPr>
      </w:pPr>
    </w:p>
    <w:p w14:paraId="7EC65DB4" w14:textId="77777777" w:rsidR="00E8098D" w:rsidRPr="00F515E9" w:rsidRDefault="00E8098D" w:rsidP="00E8098D">
      <w:pPr>
        <w:autoSpaceDE w:val="0"/>
        <w:autoSpaceDN w:val="0"/>
        <w:adjustRightInd w:val="0"/>
        <w:ind w:left="360"/>
        <w:jc w:val="both"/>
        <w:rPr>
          <w:b/>
          <w:bCs/>
          <w:lang w:eastAsia="sr-Cyrl-CS"/>
        </w:rPr>
      </w:pPr>
      <w:r>
        <w:rPr>
          <w:b/>
          <w:bCs/>
          <w:lang w:eastAsia="sr-Cyrl-CS"/>
        </w:rPr>
        <w:t>B</w:t>
      </w:r>
      <w:r w:rsidRPr="00F515E9">
        <w:rPr>
          <w:b/>
          <w:bCs/>
          <w:lang w:eastAsia="sr-Cyrl-CS"/>
        </w:rPr>
        <w:t>.</w:t>
      </w:r>
      <w:r w:rsidRPr="00F515E9">
        <w:rPr>
          <w:b/>
          <w:bCs/>
          <w:lang w:eastAsia="sr-Cyrl-CS"/>
        </w:rPr>
        <w:tab/>
      </w:r>
      <w:r w:rsidRPr="00B94983">
        <w:rPr>
          <w:b/>
          <w:bCs/>
          <w:u w:val="single"/>
          <w:lang w:eastAsia="sr-Cyrl-CS"/>
        </w:rPr>
        <w:t>External</w:t>
      </w:r>
      <w:r>
        <w:rPr>
          <w:b/>
          <w:bCs/>
          <w:lang w:eastAsia="sr-Cyrl-CS"/>
        </w:rPr>
        <w:t xml:space="preserve"> overlaps/duplication </w:t>
      </w:r>
      <w:r w:rsidRPr="00F515E9">
        <w:rPr>
          <w:b/>
          <w:bCs/>
          <w:lang w:eastAsia="sr-Cyrl-CS"/>
        </w:rPr>
        <w:t>(</w:t>
      </w:r>
      <w:r>
        <w:rPr>
          <w:b/>
          <w:bCs/>
          <w:lang w:eastAsia="sr-Cyrl-CS"/>
        </w:rPr>
        <w:t>other non-UNECE bodies performing similar/identical tasks) [</w:t>
      </w:r>
      <w:r>
        <w:rPr>
          <w:i/>
          <w:iCs/>
          <w:color w:val="FF0000"/>
          <w:lang w:eastAsia="sr-Cyrl-CS"/>
        </w:rPr>
        <w:t>expand</w:t>
      </w:r>
      <w:r w:rsidRPr="003942AA">
        <w:rPr>
          <w:i/>
          <w:iCs/>
          <w:color w:val="FF0000"/>
          <w:lang w:eastAsia="sr-Cyrl-CS"/>
        </w:rPr>
        <w:t xml:space="preserve"> as necessary, if more than one </w:t>
      </w:r>
      <w:r>
        <w:rPr>
          <w:i/>
          <w:iCs/>
          <w:color w:val="FF0000"/>
          <w:lang w:eastAsia="sr-Cyrl-CS"/>
        </w:rPr>
        <w:t xml:space="preserve">areas </w:t>
      </w:r>
      <w:r w:rsidRPr="003942AA">
        <w:rPr>
          <w:i/>
          <w:iCs/>
          <w:color w:val="FF0000"/>
          <w:lang w:eastAsia="sr-Cyrl-CS"/>
        </w:rPr>
        <w:t>overlap</w:t>
      </w:r>
      <w:r>
        <w:rPr>
          <w:b/>
          <w:bCs/>
          <w:lang w:eastAsia="sr-Cyrl-CS"/>
        </w:rPr>
        <w:t>]</w:t>
      </w:r>
    </w:p>
    <w:p w14:paraId="1B05D062" w14:textId="77777777" w:rsidR="00E8098D" w:rsidRPr="0044038C" w:rsidRDefault="00E8098D" w:rsidP="00E8098D">
      <w:pPr>
        <w:numPr>
          <w:ilvl w:val="0"/>
          <w:numId w:val="7"/>
        </w:numPr>
        <w:suppressAutoHyphens w:val="0"/>
        <w:autoSpaceDE w:val="0"/>
        <w:autoSpaceDN w:val="0"/>
        <w:adjustRightInd w:val="0"/>
        <w:spacing w:line="240" w:lineRule="auto"/>
        <w:ind w:left="1080"/>
        <w:jc w:val="both"/>
        <w:rPr>
          <w:lang w:eastAsia="sr-Cyrl-CS"/>
        </w:rPr>
      </w:pPr>
      <w:r>
        <w:rPr>
          <w:lang w:eastAsia="sr-Cyrl-CS"/>
        </w:rPr>
        <w:t xml:space="preserve">Area of work 1: </w:t>
      </w:r>
      <w:r w:rsidRPr="0044038C">
        <w:rPr>
          <w:lang w:eastAsia="sr-Cyrl-CS"/>
        </w:rPr>
        <w:t>Enhanced facilitation of transport of perishable goods;</w:t>
      </w:r>
    </w:p>
    <w:p w14:paraId="4917FB2B" w14:textId="77777777" w:rsidR="00E8098D" w:rsidRPr="0044038C" w:rsidRDefault="00E8098D" w:rsidP="00E8098D">
      <w:pPr>
        <w:numPr>
          <w:ilvl w:val="1"/>
          <w:numId w:val="7"/>
        </w:numPr>
        <w:suppressAutoHyphens w:val="0"/>
        <w:autoSpaceDE w:val="0"/>
        <w:autoSpaceDN w:val="0"/>
        <w:adjustRightInd w:val="0"/>
        <w:spacing w:line="240" w:lineRule="auto"/>
        <w:jc w:val="both"/>
        <w:rPr>
          <w:strike/>
          <w:lang w:eastAsia="sr-Cyrl-CS"/>
        </w:rPr>
      </w:pPr>
      <w:r w:rsidRPr="0044038C">
        <w:rPr>
          <w:strike/>
          <w:lang w:eastAsia="sr-Cyrl-CS"/>
        </w:rPr>
        <w:t>Full overlap (explain)</w:t>
      </w:r>
    </w:p>
    <w:p w14:paraId="380B89F9" w14:textId="77777777" w:rsidR="00E8098D" w:rsidRPr="0044038C" w:rsidRDefault="00E8098D" w:rsidP="00E8098D">
      <w:pPr>
        <w:numPr>
          <w:ilvl w:val="1"/>
          <w:numId w:val="7"/>
        </w:numPr>
        <w:suppressAutoHyphens w:val="0"/>
        <w:autoSpaceDE w:val="0"/>
        <w:autoSpaceDN w:val="0"/>
        <w:adjustRightInd w:val="0"/>
        <w:spacing w:line="240" w:lineRule="auto"/>
        <w:jc w:val="both"/>
        <w:rPr>
          <w:strike/>
          <w:lang w:eastAsia="sr-Cyrl-CS"/>
        </w:rPr>
      </w:pPr>
      <w:r w:rsidRPr="0044038C">
        <w:rPr>
          <w:strike/>
          <w:lang w:eastAsia="sr-Cyrl-CS"/>
        </w:rPr>
        <w:t>Partial overlap (explain)</w:t>
      </w:r>
    </w:p>
    <w:p w14:paraId="2DB8D7C5" w14:textId="77777777" w:rsidR="00E8098D" w:rsidRDefault="00E8098D" w:rsidP="00E8098D">
      <w:pPr>
        <w:numPr>
          <w:ilvl w:val="1"/>
          <w:numId w:val="7"/>
        </w:numPr>
        <w:suppressAutoHyphens w:val="0"/>
        <w:autoSpaceDE w:val="0"/>
        <w:autoSpaceDN w:val="0"/>
        <w:adjustRightInd w:val="0"/>
        <w:spacing w:line="240" w:lineRule="auto"/>
        <w:jc w:val="both"/>
        <w:rPr>
          <w:lang w:eastAsia="sr-Cyrl-CS"/>
        </w:rPr>
      </w:pPr>
      <w:r>
        <w:rPr>
          <w:lang w:eastAsia="sr-Cyrl-CS"/>
        </w:rPr>
        <w:t>No overlap</w:t>
      </w:r>
    </w:p>
    <w:p w14:paraId="273A70E4" w14:textId="77777777" w:rsidR="00E8098D" w:rsidRPr="007100A2" w:rsidRDefault="00E8098D" w:rsidP="00E8098D">
      <w:pPr>
        <w:numPr>
          <w:ilvl w:val="0"/>
          <w:numId w:val="7"/>
        </w:numPr>
        <w:suppressAutoHyphens w:val="0"/>
        <w:autoSpaceDE w:val="0"/>
        <w:autoSpaceDN w:val="0"/>
        <w:adjustRightInd w:val="0"/>
        <w:spacing w:line="240" w:lineRule="auto"/>
        <w:ind w:left="1080"/>
        <w:jc w:val="both"/>
        <w:rPr>
          <w:lang w:eastAsia="sr-Cyrl-CS"/>
        </w:rPr>
      </w:pPr>
      <w:r>
        <w:rPr>
          <w:lang w:eastAsia="sr-Cyrl-CS"/>
        </w:rPr>
        <w:t xml:space="preserve">Area of work 2: </w:t>
      </w:r>
      <w:r w:rsidRPr="007100A2">
        <w:rPr>
          <w:lang w:eastAsia="sr-Cyrl-CS"/>
        </w:rPr>
        <w:t>Safer food with less negative impact on human health</w:t>
      </w:r>
      <w:r w:rsidRPr="0044038C">
        <w:rPr>
          <w:lang w:eastAsia="sr-Cyrl-CS"/>
        </w:rPr>
        <w:t>;</w:t>
      </w:r>
    </w:p>
    <w:p w14:paraId="0809A9E2" w14:textId="77777777" w:rsidR="00E8098D" w:rsidRPr="0044038C" w:rsidRDefault="00E8098D" w:rsidP="00E8098D">
      <w:pPr>
        <w:numPr>
          <w:ilvl w:val="1"/>
          <w:numId w:val="7"/>
        </w:numPr>
        <w:suppressAutoHyphens w:val="0"/>
        <w:autoSpaceDE w:val="0"/>
        <w:autoSpaceDN w:val="0"/>
        <w:adjustRightInd w:val="0"/>
        <w:spacing w:line="240" w:lineRule="auto"/>
        <w:jc w:val="both"/>
        <w:rPr>
          <w:strike/>
          <w:lang w:eastAsia="sr-Cyrl-CS"/>
        </w:rPr>
      </w:pPr>
      <w:r w:rsidRPr="0044038C">
        <w:rPr>
          <w:strike/>
          <w:lang w:eastAsia="sr-Cyrl-CS"/>
        </w:rPr>
        <w:t>Full overlap (explain)</w:t>
      </w:r>
    </w:p>
    <w:p w14:paraId="75C6E86A" w14:textId="77777777" w:rsidR="00E8098D" w:rsidRPr="0044038C" w:rsidRDefault="00E8098D" w:rsidP="00E8098D">
      <w:pPr>
        <w:numPr>
          <w:ilvl w:val="1"/>
          <w:numId w:val="7"/>
        </w:numPr>
        <w:suppressAutoHyphens w:val="0"/>
        <w:autoSpaceDE w:val="0"/>
        <w:autoSpaceDN w:val="0"/>
        <w:adjustRightInd w:val="0"/>
        <w:spacing w:line="240" w:lineRule="auto"/>
        <w:jc w:val="both"/>
        <w:rPr>
          <w:strike/>
          <w:lang w:eastAsia="sr-Cyrl-CS"/>
        </w:rPr>
      </w:pPr>
      <w:r w:rsidRPr="0044038C">
        <w:rPr>
          <w:strike/>
          <w:lang w:eastAsia="sr-Cyrl-CS"/>
        </w:rPr>
        <w:t>Partial overlap (explain)</w:t>
      </w:r>
    </w:p>
    <w:p w14:paraId="6ACF15E1" w14:textId="77777777" w:rsidR="00E8098D" w:rsidRDefault="00E8098D" w:rsidP="00E8098D">
      <w:pPr>
        <w:numPr>
          <w:ilvl w:val="1"/>
          <w:numId w:val="7"/>
        </w:numPr>
        <w:suppressAutoHyphens w:val="0"/>
        <w:autoSpaceDE w:val="0"/>
        <w:autoSpaceDN w:val="0"/>
        <w:adjustRightInd w:val="0"/>
        <w:spacing w:line="240" w:lineRule="auto"/>
        <w:jc w:val="both"/>
        <w:rPr>
          <w:lang w:eastAsia="sr-Cyrl-CS"/>
        </w:rPr>
      </w:pPr>
      <w:r>
        <w:rPr>
          <w:lang w:eastAsia="sr-Cyrl-CS"/>
        </w:rPr>
        <w:t>No overlap</w:t>
      </w:r>
    </w:p>
    <w:p w14:paraId="25873DD2" w14:textId="77777777" w:rsidR="00E8098D" w:rsidRPr="00272287" w:rsidRDefault="00E8098D" w:rsidP="00E8098D">
      <w:pPr>
        <w:numPr>
          <w:ilvl w:val="0"/>
          <w:numId w:val="7"/>
        </w:numPr>
        <w:suppressAutoHyphens w:val="0"/>
        <w:autoSpaceDE w:val="0"/>
        <w:autoSpaceDN w:val="0"/>
        <w:adjustRightInd w:val="0"/>
        <w:spacing w:line="240" w:lineRule="auto"/>
        <w:ind w:left="1080"/>
        <w:jc w:val="both"/>
        <w:rPr>
          <w:lang w:eastAsia="sr-Cyrl-CS"/>
        </w:rPr>
      </w:pPr>
    </w:p>
    <w:p w14:paraId="505B561D" w14:textId="77777777" w:rsidR="00E8098D" w:rsidRPr="007100A2" w:rsidRDefault="00E8098D" w:rsidP="00E8098D">
      <w:pPr>
        <w:numPr>
          <w:ilvl w:val="0"/>
          <w:numId w:val="7"/>
        </w:numPr>
        <w:suppressAutoHyphens w:val="0"/>
        <w:autoSpaceDE w:val="0"/>
        <w:autoSpaceDN w:val="0"/>
        <w:adjustRightInd w:val="0"/>
        <w:spacing w:line="240" w:lineRule="auto"/>
        <w:ind w:left="1080"/>
        <w:jc w:val="both"/>
        <w:rPr>
          <w:lang w:eastAsia="sr-Cyrl-CS"/>
        </w:rPr>
      </w:pPr>
      <w:r>
        <w:rPr>
          <w:lang w:eastAsia="sr-Cyrl-CS"/>
        </w:rPr>
        <w:t>Area of work 3: Reduction of</w:t>
      </w:r>
      <w:r w:rsidRPr="00272287">
        <w:rPr>
          <w:lang w:eastAsia="sr-Cyrl-CS"/>
        </w:rPr>
        <w:t xml:space="preserve"> waste due to better food preservation</w:t>
      </w:r>
      <w:r w:rsidRPr="0044038C">
        <w:rPr>
          <w:lang w:eastAsia="sr-Cyrl-CS"/>
        </w:rPr>
        <w:t>;</w:t>
      </w:r>
    </w:p>
    <w:p w14:paraId="5B03728C" w14:textId="77777777" w:rsidR="00E8098D" w:rsidRPr="0044038C" w:rsidRDefault="00E8098D" w:rsidP="00E8098D">
      <w:pPr>
        <w:numPr>
          <w:ilvl w:val="1"/>
          <w:numId w:val="7"/>
        </w:numPr>
        <w:suppressAutoHyphens w:val="0"/>
        <w:autoSpaceDE w:val="0"/>
        <w:autoSpaceDN w:val="0"/>
        <w:adjustRightInd w:val="0"/>
        <w:spacing w:line="240" w:lineRule="auto"/>
        <w:jc w:val="both"/>
        <w:rPr>
          <w:strike/>
          <w:lang w:eastAsia="sr-Cyrl-CS"/>
        </w:rPr>
      </w:pPr>
      <w:r w:rsidRPr="0044038C">
        <w:rPr>
          <w:strike/>
          <w:lang w:eastAsia="sr-Cyrl-CS"/>
        </w:rPr>
        <w:t>Full overlap (explain)</w:t>
      </w:r>
    </w:p>
    <w:p w14:paraId="2E4E40CC" w14:textId="77777777" w:rsidR="00E8098D" w:rsidRPr="0044038C" w:rsidRDefault="00E8098D" w:rsidP="00E8098D">
      <w:pPr>
        <w:numPr>
          <w:ilvl w:val="1"/>
          <w:numId w:val="7"/>
        </w:numPr>
        <w:suppressAutoHyphens w:val="0"/>
        <w:autoSpaceDE w:val="0"/>
        <w:autoSpaceDN w:val="0"/>
        <w:adjustRightInd w:val="0"/>
        <w:spacing w:line="240" w:lineRule="auto"/>
        <w:jc w:val="both"/>
        <w:rPr>
          <w:strike/>
          <w:lang w:eastAsia="sr-Cyrl-CS"/>
        </w:rPr>
      </w:pPr>
      <w:r w:rsidRPr="0044038C">
        <w:rPr>
          <w:strike/>
          <w:lang w:eastAsia="sr-Cyrl-CS"/>
        </w:rPr>
        <w:t>Partial overlap (explain)</w:t>
      </w:r>
    </w:p>
    <w:p w14:paraId="0B18A715" w14:textId="77777777" w:rsidR="00E8098D" w:rsidRDefault="00E8098D" w:rsidP="00E8098D">
      <w:pPr>
        <w:numPr>
          <w:ilvl w:val="1"/>
          <w:numId w:val="7"/>
        </w:numPr>
        <w:suppressAutoHyphens w:val="0"/>
        <w:autoSpaceDE w:val="0"/>
        <w:autoSpaceDN w:val="0"/>
        <w:adjustRightInd w:val="0"/>
        <w:spacing w:line="240" w:lineRule="auto"/>
        <w:jc w:val="both"/>
        <w:rPr>
          <w:lang w:eastAsia="sr-Cyrl-CS"/>
        </w:rPr>
      </w:pPr>
      <w:r>
        <w:rPr>
          <w:lang w:eastAsia="sr-Cyrl-CS"/>
        </w:rPr>
        <w:t>No overlap</w:t>
      </w:r>
    </w:p>
    <w:p w14:paraId="4BCE835B" w14:textId="77777777" w:rsidR="00E8098D" w:rsidRPr="00B94983" w:rsidRDefault="00E8098D" w:rsidP="00E8098D">
      <w:pPr>
        <w:autoSpaceDE w:val="0"/>
        <w:autoSpaceDN w:val="0"/>
        <w:adjustRightInd w:val="0"/>
        <w:ind w:left="1080"/>
        <w:jc w:val="both"/>
        <w:rPr>
          <w:lang w:eastAsia="sr-Cyrl-CS"/>
        </w:rPr>
      </w:pPr>
    </w:p>
    <w:p w14:paraId="4C9212C6" w14:textId="77777777" w:rsidR="00E8098D" w:rsidRPr="00F515E9" w:rsidRDefault="00E8098D" w:rsidP="00E8098D">
      <w:pPr>
        <w:autoSpaceDE w:val="0"/>
        <w:autoSpaceDN w:val="0"/>
        <w:adjustRightInd w:val="0"/>
        <w:ind w:left="360"/>
        <w:jc w:val="both"/>
        <w:rPr>
          <w:b/>
          <w:bCs/>
          <w:lang w:eastAsia="sr-Cyrl-CS"/>
        </w:rPr>
      </w:pPr>
      <w:r>
        <w:rPr>
          <w:b/>
          <w:bCs/>
          <w:lang w:eastAsia="sr-Cyrl-CS"/>
        </w:rPr>
        <w:t>C</w:t>
      </w:r>
      <w:r w:rsidRPr="00F515E9">
        <w:rPr>
          <w:b/>
          <w:bCs/>
          <w:lang w:eastAsia="sr-Cyrl-CS"/>
        </w:rPr>
        <w:t>.</w:t>
      </w:r>
      <w:r w:rsidRPr="00F515E9">
        <w:rPr>
          <w:b/>
          <w:bCs/>
          <w:lang w:eastAsia="sr-Cyrl-CS"/>
        </w:rPr>
        <w:tab/>
      </w:r>
      <w:r w:rsidRPr="00B94983">
        <w:rPr>
          <w:b/>
          <w:bCs/>
          <w:u w:val="single"/>
          <w:lang w:eastAsia="sr-Cyrl-CS"/>
        </w:rPr>
        <w:t>Internal</w:t>
      </w:r>
      <w:r>
        <w:rPr>
          <w:b/>
          <w:bCs/>
          <w:lang w:eastAsia="sr-Cyrl-CS"/>
        </w:rPr>
        <w:t xml:space="preserve"> synergies </w:t>
      </w:r>
      <w:r w:rsidRPr="00F515E9">
        <w:rPr>
          <w:b/>
          <w:bCs/>
          <w:lang w:eastAsia="sr-Cyrl-CS"/>
        </w:rPr>
        <w:t>(</w:t>
      </w:r>
      <w:r>
        <w:rPr>
          <w:b/>
          <w:bCs/>
          <w:lang w:eastAsia="sr-Cyrl-CS"/>
        </w:rPr>
        <w:t>with other UNECE bodies performing complementary tasks) [</w:t>
      </w:r>
      <w:r>
        <w:rPr>
          <w:i/>
          <w:iCs/>
          <w:color w:val="FF0000"/>
          <w:lang w:eastAsia="sr-Cyrl-CS"/>
        </w:rPr>
        <w:t>expand</w:t>
      </w:r>
      <w:r w:rsidRPr="00406BEC">
        <w:rPr>
          <w:i/>
          <w:iCs/>
          <w:color w:val="FF0000"/>
          <w:lang w:eastAsia="sr-Cyrl-CS"/>
        </w:rPr>
        <w:t xml:space="preserve"> as necessary, if more than one </w:t>
      </w:r>
      <w:r w:rsidRPr="00B94983">
        <w:rPr>
          <w:i/>
          <w:iCs/>
          <w:color w:val="FF0000"/>
          <w:lang w:eastAsia="sr-Cyrl-CS"/>
        </w:rPr>
        <w:t>areas of synergies</w:t>
      </w:r>
      <w:r>
        <w:rPr>
          <w:b/>
          <w:bCs/>
          <w:lang w:eastAsia="sr-Cyrl-CS"/>
        </w:rPr>
        <w:t>]</w:t>
      </w:r>
    </w:p>
    <w:p w14:paraId="1AE7122B" w14:textId="77777777" w:rsidR="00E8098D" w:rsidRPr="00B94983" w:rsidRDefault="00E8098D" w:rsidP="00E8098D">
      <w:pPr>
        <w:numPr>
          <w:ilvl w:val="0"/>
          <w:numId w:val="7"/>
        </w:numPr>
        <w:suppressAutoHyphens w:val="0"/>
        <w:autoSpaceDE w:val="0"/>
        <w:autoSpaceDN w:val="0"/>
        <w:adjustRightInd w:val="0"/>
        <w:spacing w:after="120" w:line="240" w:lineRule="auto"/>
        <w:ind w:left="1077" w:hanging="357"/>
        <w:jc w:val="both"/>
        <w:rPr>
          <w:b/>
          <w:bCs/>
          <w:sz w:val="28"/>
          <w:szCs w:val="28"/>
          <w:lang w:eastAsia="sr-Cyrl-CS"/>
        </w:rPr>
      </w:pPr>
      <w:r>
        <w:rPr>
          <w:lang w:eastAsia="sr-Cyrl-CS"/>
        </w:rPr>
        <w:t>Area of work 1 (explain)</w:t>
      </w:r>
    </w:p>
    <w:p w14:paraId="2DB0C61A" w14:textId="77777777" w:rsidR="00E8098D" w:rsidRPr="00B806DD" w:rsidRDefault="00E8098D" w:rsidP="00E8098D">
      <w:pPr>
        <w:autoSpaceDE w:val="0"/>
        <w:autoSpaceDN w:val="0"/>
        <w:adjustRightInd w:val="0"/>
        <w:spacing w:after="120"/>
        <w:ind w:left="1440"/>
        <w:jc w:val="both"/>
        <w:rPr>
          <w:lang w:eastAsia="sr-Cyrl-CS"/>
        </w:rPr>
      </w:pPr>
      <w:r w:rsidRPr="004F1532">
        <w:rPr>
          <w:lang w:eastAsia="sr-Cyrl-CS"/>
        </w:rPr>
        <w:t>WP.5 – for accessibility of electrical power at overnight stops of transport equipment.</w:t>
      </w:r>
    </w:p>
    <w:p w14:paraId="71AC9C0C" w14:textId="77777777" w:rsidR="00E8098D" w:rsidRPr="00B806DD" w:rsidRDefault="00E8098D" w:rsidP="00E8098D">
      <w:pPr>
        <w:autoSpaceDE w:val="0"/>
        <w:autoSpaceDN w:val="0"/>
        <w:adjustRightInd w:val="0"/>
        <w:spacing w:after="120"/>
        <w:ind w:left="1440"/>
        <w:jc w:val="both"/>
        <w:rPr>
          <w:lang w:eastAsia="sr-Cyrl-CS"/>
        </w:rPr>
      </w:pPr>
      <w:r w:rsidRPr="00B806DD">
        <w:rPr>
          <w:lang w:eastAsia="sr-Cyrl-CS"/>
        </w:rPr>
        <w:t>WP.29 – for standards on battery performance and emissions of vehicle engines driving thermal appliances, E-axles and braking, electromagnetic compatibility.</w:t>
      </w:r>
    </w:p>
    <w:p w14:paraId="05EB78F1" w14:textId="77777777" w:rsidR="00E8098D" w:rsidRDefault="00E8098D" w:rsidP="00E8098D">
      <w:pPr>
        <w:autoSpaceDE w:val="0"/>
        <w:autoSpaceDN w:val="0"/>
        <w:adjustRightInd w:val="0"/>
        <w:ind w:left="360"/>
        <w:jc w:val="both"/>
        <w:rPr>
          <w:b/>
          <w:bCs/>
          <w:lang w:eastAsia="sr-Cyrl-CS"/>
        </w:rPr>
      </w:pPr>
    </w:p>
    <w:p w14:paraId="358B5D57" w14:textId="77777777" w:rsidR="00E8098D" w:rsidRPr="00F515E9" w:rsidRDefault="00E8098D" w:rsidP="00E8098D">
      <w:pPr>
        <w:autoSpaceDE w:val="0"/>
        <w:autoSpaceDN w:val="0"/>
        <w:adjustRightInd w:val="0"/>
        <w:ind w:left="360"/>
        <w:jc w:val="both"/>
        <w:rPr>
          <w:b/>
          <w:bCs/>
          <w:lang w:eastAsia="sr-Cyrl-CS"/>
        </w:rPr>
      </w:pPr>
      <w:r>
        <w:rPr>
          <w:b/>
          <w:bCs/>
          <w:lang w:eastAsia="sr-Cyrl-CS"/>
        </w:rPr>
        <w:t>D</w:t>
      </w:r>
      <w:r w:rsidRPr="00F515E9">
        <w:rPr>
          <w:b/>
          <w:bCs/>
          <w:lang w:eastAsia="sr-Cyrl-CS"/>
        </w:rPr>
        <w:t>.</w:t>
      </w:r>
      <w:r w:rsidRPr="00F515E9">
        <w:rPr>
          <w:b/>
          <w:bCs/>
          <w:lang w:eastAsia="sr-Cyrl-CS"/>
        </w:rPr>
        <w:tab/>
      </w:r>
      <w:r>
        <w:rPr>
          <w:b/>
          <w:bCs/>
          <w:u w:val="single"/>
          <w:lang w:eastAsia="sr-Cyrl-CS"/>
        </w:rPr>
        <w:t>External</w:t>
      </w:r>
      <w:r w:rsidRPr="00B94983">
        <w:rPr>
          <w:b/>
          <w:bCs/>
          <w:lang w:eastAsia="sr-Cyrl-CS"/>
        </w:rPr>
        <w:t xml:space="preserve"> </w:t>
      </w:r>
      <w:r>
        <w:rPr>
          <w:b/>
          <w:bCs/>
          <w:lang w:eastAsia="sr-Cyrl-CS"/>
        </w:rPr>
        <w:t xml:space="preserve">synergies </w:t>
      </w:r>
      <w:r w:rsidRPr="00F515E9">
        <w:rPr>
          <w:b/>
          <w:bCs/>
          <w:lang w:eastAsia="sr-Cyrl-CS"/>
        </w:rPr>
        <w:t>(</w:t>
      </w:r>
      <w:r>
        <w:rPr>
          <w:b/>
          <w:bCs/>
          <w:lang w:eastAsia="sr-Cyrl-CS"/>
        </w:rPr>
        <w:t>with other non-UNECE bodies performing complementary tasks) [</w:t>
      </w:r>
      <w:r>
        <w:rPr>
          <w:i/>
          <w:iCs/>
          <w:color w:val="FF0000"/>
          <w:lang w:eastAsia="sr-Cyrl-CS"/>
        </w:rPr>
        <w:t>expand</w:t>
      </w:r>
      <w:r w:rsidRPr="00B94983">
        <w:rPr>
          <w:i/>
          <w:iCs/>
          <w:color w:val="FF0000"/>
          <w:lang w:eastAsia="sr-Cyrl-CS"/>
        </w:rPr>
        <w:t xml:space="preserve"> as necessary, if more than one areas of synergies</w:t>
      </w:r>
      <w:r>
        <w:rPr>
          <w:b/>
          <w:bCs/>
          <w:lang w:eastAsia="sr-Cyrl-CS"/>
        </w:rPr>
        <w:t>]</w:t>
      </w:r>
    </w:p>
    <w:p w14:paraId="3E889764" w14:textId="77777777" w:rsidR="00E8098D" w:rsidRPr="00B94983" w:rsidRDefault="00E8098D" w:rsidP="00E8098D">
      <w:pPr>
        <w:numPr>
          <w:ilvl w:val="0"/>
          <w:numId w:val="7"/>
        </w:numPr>
        <w:suppressAutoHyphens w:val="0"/>
        <w:autoSpaceDE w:val="0"/>
        <w:autoSpaceDN w:val="0"/>
        <w:adjustRightInd w:val="0"/>
        <w:spacing w:line="240" w:lineRule="auto"/>
        <w:ind w:left="1080"/>
        <w:jc w:val="both"/>
        <w:rPr>
          <w:b/>
          <w:bCs/>
          <w:sz w:val="28"/>
          <w:szCs w:val="28"/>
          <w:lang w:eastAsia="sr-Cyrl-CS"/>
        </w:rPr>
      </w:pPr>
      <w:r>
        <w:rPr>
          <w:lang w:eastAsia="sr-Cyrl-CS"/>
        </w:rPr>
        <w:t>Area of work 1 (explain)</w:t>
      </w:r>
    </w:p>
    <w:p w14:paraId="1924A76E" w14:textId="77777777" w:rsidR="00E8098D" w:rsidRPr="00653E84" w:rsidRDefault="00E8098D" w:rsidP="00E8098D">
      <w:pPr>
        <w:autoSpaceDE w:val="0"/>
        <w:autoSpaceDN w:val="0"/>
        <w:adjustRightInd w:val="0"/>
        <w:spacing w:after="120"/>
        <w:ind w:left="1440"/>
        <w:jc w:val="both"/>
      </w:pPr>
      <w:r w:rsidRPr="00653E84">
        <w:t xml:space="preserve">International Institute of Refrigeration (IIR): Organizes every year the IIR Sub-Commission “CERTE” Meeting, with participation of ATP testing stations, to discuss technical proposals that </w:t>
      </w:r>
      <w:r>
        <w:t>are</w:t>
      </w:r>
      <w:r w:rsidRPr="00653E84">
        <w:t xml:space="preserve"> submitted at a later stage to WP.11.</w:t>
      </w:r>
    </w:p>
    <w:p w14:paraId="2E37E11B" w14:textId="77777777" w:rsidR="00E8098D" w:rsidRPr="00FD60B5" w:rsidRDefault="00E8098D" w:rsidP="00E8098D">
      <w:pPr>
        <w:autoSpaceDE w:val="0"/>
        <w:autoSpaceDN w:val="0"/>
        <w:adjustRightInd w:val="0"/>
        <w:spacing w:after="120"/>
        <w:ind w:left="1440"/>
        <w:jc w:val="both"/>
      </w:pPr>
      <w:r w:rsidRPr="00FD60B5">
        <w:t xml:space="preserve">There is a long standing procedure cooperation with the European Committee for Standardization (CEN) and the International Organization for Standardization (ISO). Standards developed by CEN/ISO in relation with transport of perishable foodstuffs are aligned with the provisions developed for ATP and referenced in the regulations. </w:t>
      </w:r>
    </w:p>
    <w:p w14:paraId="30C3A0DA" w14:textId="77777777" w:rsidR="00E8098D" w:rsidRPr="008E0F1F" w:rsidRDefault="00E8098D" w:rsidP="00E8098D">
      <w:pPr>
        <w:autoSpaceDE w:val="0"/>
        <w:autoSpaceDN w:val="0"/>
        <w:adjustRightInd w:val="0"/>
        <w:ind w:left="720" w:hanging="720"/>
        <w:jc w:val="both"/>
        <w:rPr>
          <w:b/>
          <w:bCs/>
          <w:sz w:val="28"/>
          <w:szCs w:val="28"/>
          <w:lang w:eastAsia="sr-Cyrl-CS"/>
        </w:rPr>
      </w:pPr>
      <w:r w:rsidRPr="008E0F1F">
        <w:rPr>
          <w:b/>
          <w:bCs/>
          <w:sz w:val="28"/>
          <w:szCs w:val="28"/>
          <w:lang w:eastAsia="sr-Cyrl-CS"/>
        </w:rPr>
        <w:t>V.</w:t>
      </w:r>
      <w:r w:rsidRPr="008E0F1F">
        <w:rPr>
          <w:b/>
          <w:bCs/>
          <w:sz w:val="28"/>
          <w:szCs w:val="28"/>
          <w:lang w:eastAsia="sr-Cyrl-CS"/>
        </w:rPr>
        <w:tab/>
        <w:t xml:space="preserve">Work methods </w:t>
      </w:r>
    </w:p>
    <w:p w14:paraId="5BFE8F14" w14:textId="77777777" w:rsidR="00E8098D" w:rsidRDefault="00E8098D" w:rsidP="00E8098D">
      <w:pPr>
        <w:autoSpaceDE w:val="0"/>
        <w:autoSpaceDN w:val="0"/>
        <w:adjustRightInd w:val="0"/>
        <w:ind w:firstLine="720"/>
        <w:jc w:val="both"/>
        <w:rPr>
          <w:b/>
          <w:bCs/>
          <w:lang w:eastAsia="sr-Cyrl-CS"/>
        </w:rPr>
      </w:pPr>
      <w:r w:rsidRPr="00B94983">
        <w:rPr>
          <w:b/>
          <w:bCs/>
          <w:lang w:eastAsia="sr-Cyrl-CS"/>
        </w:rPr>
        <w:t>[</w:t>
      </w:r>
      <w:r w:rsidRPr="00556BA6">
        <w:rPr>
          <w:i/>
          <w:iCs/>
          <w:color w:val="FF0000"/>
          <w:lang w:eastAsia="sr-Cyrl-CS"/>
        </w:rPr>
        <w:t>please outline, e.g. numbers of meetings and official documents, other types of meetings, number of subsidiary Working Parties, supervision of informal groups or Groups of Experts, communication methods, etc</w:t>
      </w:r>
      <w:r>
        <w:rPr>
          <w:i/>
          <w:iCs/>
          <w:lang w:eastAsia="sr-Cyrl-CS"/>
        </w:rPr>
        <w:t>.</w:t>
      </w:r>
      <w:r w:rsidRPr="00B94983">
        <w:rPr>
          <w:b/>
          <w:bCs/>
          <w:lang w:eastAsia="sr-Cyrl-CS"/>
        </w:rPr>
        <w:t>]</w:t>
      </w:r>
    </w:p>
    <w:p w14:paraId="4FC3E1D5" w14:textId="77777777" w:rsidR="00E8098D" w:rsidRPr="00B94983" w:rsidRDefault="00E8098D" w:rsidP="00E8098D">
      <w:pPr>
        <w:autoSpaceDE w:val="0"/>
        <w:autoSpaceDN w:val="0"/>
        <w:adjustRightInd w:val="0"/>
        <w:ind w:firstLine="720"/>
        <w:jc w:val="both"/>
        <w:rPr>
          <w:b/>
          <w:bCs/>
          <w:lang w:eastAsia="sr-Cyrl-CS"/>
        </w:rPr>
      </w:pPr>
    </w:p>
    <w:p w14:paraId="28BB93FA" w14:textId="77777777" w:rsidR="00E8098D" w:rsidRDefault="00E8098D" w:rsidP="00E8098D">
      <w:pPr>
        <w:autoSpaceDE w:val="0"/>
        <w:autoSpaceDN w:val="0"/>
        <w:adjustRightInd w:val="0"/>
        <w:spacing w:after="120"/>
        <w:ind w:left="1440"/>
        <w:jc w:val="both"/>
      </w:pPr>
      <w:r w:rsidRPr="00D87C6E">
        <w:t xml:space="preserve">The Working Party normally meets </w:t>
      </w:r>
      <w:r>
        <w:t>once</w:t>
      </w:r>
      <w:r w:rsidRPr="00D87C6E">
        <w:t xml:space="preserve"> a year</w:t>
      </w:r>
      <w:r>
        <w:t xml:space="preserve"> with</w:t>
      </w:r>
      <w:r w:rsidRPr="00D87C6E">
        <w:t xml:space="preserve"> around 60 participants per session who represent contracting parties, their competent authorities, other countries, intergovernmental organizations and non‑governmental organizations. Countries intending to accede to </w:t>
      </w:r>
      <w:r>
        <w:t>ATP</w:t>
      </w:r>
      <w:r w:rsidRPr="00D87C6E">
        <w:t xml:space="preserve"> are welcome to participate in the sessions of the Working Party.</w:t>
      </w:r>
    </w:p>
    <w:p w14:paraId="3F28B15E" w14:textId="77777777" w:rsidR="00E8098D" w:rsidRPr="00F300A3" w:rsidRDefault="00E8098D" w:rsidP="00E8098D">
      <w:pPr>
        <w:autoSpaceDE w:val="0"/>
        <w:autoSpaceDN w:val="0"/>
        <w:adjustRightInd w:val="0"/>
        <w:spacing w:after="120"/>
        <w:ind w:left="1440"/>
        <w:jc w:val="both"/>
      </w:pPr>
      <w:r>
        <w:t xml:space="preserve">Industries and businesses </w:t>
      </w:r>
      <w:r w:rsidRPr="00F300A3">
        <w:t xml:space="preserve">involved in shipping and transport of </w:t>
      </w:r>
      <w:r>
        <w:t>perishable foodstuffs</w:t>
      </w:r>
      <w:r w:rsidRPr="00F300A3">
        <w:t xml:space="preserve"> can also follow the work of the Working Party through the non-governmental organizations that represent them in the meetings and through the meeting documentation publicly available. This represents an advantage for all those involved </w:t>
      </w:r>
      <w:r>
        <w:t>as</w:t>
      </w:r>
      <w:r w:rsidRPr="00F300A3">
        <w:t xml:space="preserve"> they can know which standards will govern the sector in the years to come and can anticipate future regulatory changes.</w:t>
      </w:r>
    </w:p>
    <w:p w14:paraId="17292AEF" w14:textId="77777777" w:rsidR="00E8098D" w:rsidRPr="00097083" w:rsidRDefault="00E8098D" w:rsidP="00E8098D">
      <w:pPr>
        <w:pStyle w:val="SingleTxtG"/>
        <w:rPr>
          <w:b/>
          <w:bCs/>
          <w:sz w:val="24"/>
          <w:szCs w:val="24"/>
        </w:rPr>
      </w:pPr>
      <w:r w:rsidRPr="00097083">
        <w:rPr>
          <w:b/>
          <w:bCs/>
          <w:sz w:val="24"/>
          <w:szCs w:val="24"/>
        </w:rPr>
        <w:t xml:space="preserve">Official documents per year: </w:t>
      </w:r>
    </w:p>
    <w:p w14:paraId="2160C6C0" w14:textId="77777777" w:rsidR="00E8098D" w:rsidRPr="00097083" w:rsidRDefault="00E8098D" w:rsidP="00E8098D">
      <w:pPr>
        <w:pStyle w:val="SingleTxtG"/>
        <w:numPr>
          <w:ilvl w:val="0"/>
          <w:numId w:val="11"/>
        </w:numPr>
        <w:rPr>
          <w:sz w:val="24"/>
          <w:szCs w:val="24"/>
        </w:rPr>
      </w:pPr>
      <w:r w:rsidRPr="00097083">
        <w:rPr>
          <w:sz w:val="24"/>
          <w:szCs w:val="24"/>
        </w:rPr>
        <w:t>Around 25</w:t>
      </w:r>
    </w:p>
    <w:p w14:paraId="18B588DF" w14:textId="77777777" w:rsidR="00E8098D" w:rsidRPr="00097083" w:rsidRDefault="00E8098D" w:rsidP="00E8098D">
      <w:pPr>
        <w:pStyle w:val="SingleTxtG"/>
        <w:rPr>
          <w:b/>
          <w:bCs/>
          <w:sz w:val="24"/>
          <w:szCs w:val="24"/>
        </w:rPr>
      </w:pPr>
      <w:r w:rsidRPr="00097083">
        <w:rPr>
          <w:b/>
          <w:bCs/>
          <w:sz w:val="24"/>
          <w:szCs w:val="24"/>
        </w:rPr>
        <w:lastRenderedPageBreak/>
        <w:t>Optimization of the work:</w:t>
      </w:r>
    </w:p>
    <w:p w14:paraId="075093AE" w14:textId="77777777" w:rsidR="00E8098D" w:rsidRPr="00097083" w:rsidRDefault="00E8098D" w:rsidP="00E8098D">
      <w:pPr>
        <w:pStyle w:val="SingleTxtG"/>
        <w:numPr>
          <w:ilvl w:val="0"/>
          <w:numId w:val="12"/>
        </w:numPr>
        <w:rPr>
          <w:sz w:val="24"/>
          <w:szCs w:val="24"/>
        </w:rPr>
      </w:pPr>
      <w:r w:rsidRPr="00097083">
        <w:rPr>
          <w:sz w:val="24"/>
          <w:szCs w:val="24"/>
        </w:rPr>
        <w:t>Planned to make the best use of the available resources, especially financial resources;</w:t>
      </w:r>
    </w:p>
    <w:p w14:paraId="393E2452" w14:textId="77777777" w:rsidR="00E8098D" w:rsidRPr="00097083" w:rsidRDefault="00E8098D" w:rsidP="00E8098D">
      <w:pPr>
        <w:pStyle w:val="SingleTxtG"/>
        <w:numPr>
          <w:ilvl w:val="0"/>
          <w:numId w:val="12"/>
        </w:numPr>
        <w:rPr>
          <w:sz w:val="24"/>
          <w:szCs w:val="24"/>
        </w:rPr>
      </w:pPr>
      <w:r w:rsidRPr="00097083">
        <w:rPr>
          <w:sz w:val="24"/>
          <w:szCs w:val="24"/>
        </w:rPr>
        <w:t>Procedures to avoid duplication of work;</w:t>
      </w:r>
    </w:p>
    <w:p w14:paraId="20043AC7" w14:textId="77777777" w:rsidR="00E8098D" w:rsidRPr="00097083" w:rsidRDefault="00E8098D" w:rsidP="00E8098D">
      <w:pPr>
        <w:pStyle w:val="SingleTxtG"/>
        <w:numPr>
          <w:ilvl w:val="0"/>
          <w:numId w:val="12"/>
        </w:numPr>
        <w:rPr>
          <w:sz w:val="24"/>
          <w:szCs w:val="24"/>
        </w:rPr>
      </w:pPr>
      <w:r w:rsidRPr="00097083">
        <w:rPr>
          <w:sz w:val="24"/>
          <w:szCs w:val="24"/>
        </w:rPr>
        <w:t>Preliminary discussions and preparation of draft amendments in the informal working groups;</w:t>
      </w:r>
    </w:p>
    <w:p w14:paraId="5D4FA7BA" w14:textId="77777777" w:rsidR="00E8098D" w:rsidRPr="00097083" w:rsidRDefault="00E8098D" w:rsidP="00E8098D">
      <w:pPr>
        <w:pStyle w:val="SingleTxtG"/>
        <w:rPr>
          <w:b/>
          <w:bCs/>
          <w:sz w:val="24"/>
          <w:szCs w:val="24"/>
        </w:rPr>
      </w:pPr>
      <w:r w:rsidRPr="00097083">
        <w:rPr>
          <w:b/>
          <w:bCs/>
          <w:sz w:val="24"/>
          <w:szCs w:val="24"/>
        </w:rPr>
        <w:t>Informal working groups under the supervision of WP.11 (2017-2023):</w:t>
      </w:r>
    </w:p>
    <w:tbl>
      <w:tblPr>
        <w:tblStyle w:val="TableGrid"/>
        <w:tblW w:w="9356" w:type="dxa"/>
        <w:tblInd w:w="-5" w:type="dxa"/>
        <w:tblLook w:val="04A0" w:firstRow="1" w:lastRow="0" w:firstColumn="1" w:lastColumn="0" w:noHBand="0" w:noVBand="1"/>
      </w:tblPr>
      <w:tblGrid>
        <w:gridCol w:w="2924"/>
        <w:gridCol w:w="6432"/>
      </w:tblGrid>
      <w:tr w:rsidR="00E8098D" w:rsidRPr="00097083" w14:paraId="1D7BCD75" w14:textId="77777777" w:rsidTr="00AE409A">
        <w:tc>
          <w:tcPr>
            <w:tcW w:w="2924" w:type="dxa"/>
          </w:tcPr>
          <w:p w14:paraId="53E276B1" w14:textId="77777777" w:rsidR="00E8098D" w:rsidRPr="00097083" w:rsidRDefault="00E8098D" w:rsidP="00AE409A">
            <w:pPr>
              <w:pStyle w:val="SingleTxtG"/>
              <w:spacing w:after="0"/>
              <w:ind w:left="0" w:right="33"/>
              <w:rPr>
                <w:sz w:val="24"/>
                <w:szCs w:val="24"/>
              </w:rPr>
            </w:pPr>
            <w:r w:rsidRPr="00097083">
              <w:rPr>
                <w:sz w:val="24"/>
                <w:szCs w:val="24"/>
              </w:rPr>
              <w:t>WP.11</w:t>
            </w:r>
          </w:p>
        </w:tc>
        <w:tc>
          <w:tcPr>
            <w:tcW w:w="6432" w:type="dxa"/>
          </w:tcPr>
          <w:p w14:paraId="31F04243" w14:textId="77777777" w:rsidR="00E8098D" w:rsidRPr="00097083" w:rsidRDefault="00E8098D" w:rsidP="00E8098D">
            <w:pPr>
              <w:pStyle w:val="SingleTxtG"/>
              <w:numPr>
                <w:ilvl w:val="0"/>
                <w:numId w:val="13"/>
              </w:numPr>
              <w:spacing w:after="0"/>
              <w:ind w:left="457" w:right="31"/>
              <w:rPr>
                <w:sz w:val="24"/>
                <w:szCs w:val="24"/>
              </w:rPr>
            </w:pPr>
            <w:r w:rsidRPr="00097083">
              <w:rPr>
                <w:sz w:val="24"/>
                <w:szCs w:val="24"/>
              </w:rPr>
              <w:t>Informal working group on improvements to the approval system of ATP equipment and thermal units.</w:t>
            </w:r>
          </w:p>
          <w:p w14:paraId="692AD5A3" w14:textId="77777777" w:rsidR="00E8098D" w:rsidRDefault="00E8098D" w:rsidP="00E8098D">
            <w:pPr>
              <w:pStyle w:val="SingleTxtG"/>
              <w:numPr>
                <w:ilvl w:val="0"/>
                <w:numId w:val="13"/>
              </w:numPr>
              <w:spacing w:after="0"/>
              <w:ind w:left="457" w:right="31"/>
              <w:rPr>
                <w:sz w:val="24"/>
                <w:szCs w:val="24"/>
              </w:rPr>
            </w:pPr>
            <w:r w:rsidRPr="00097083">
              <w:rPr>
                <w:sz w:val="24"/>
                <w:szCs w:val="24"/>
              </w:rPr>
              <w:t xml:space="preserve">Informal working group </w:t>
            </w:r>
            <w:r>
              <w:rPr>
                <w:sz w:val="24"/>
                <w:szCs w:val="24"/>
              </w:rPr>
              <w:t>on documentation.</w:t>
            </w:r>
          </w:p>
          <w:p w14:paraId="2B52AB21" w14:textId="77777777" w:rsidR="00E8098D" w:rsidRPr="00097083" w:rsidRDefault="00E8098D" w:rsidP="00E8098D">
            <w:pPr>
              <w:pStyle w:val="SingleTxtG"/>
              <w:numPr>
                <w:ilvl w:val="0"/>
                <w:numId w:val="13"/>
              </w:numPr>
              <w:spacing w:after="0"/>
              <w:ind w:left="457" w:right="31"/>
              <w:rPr>
                <w:sz w:val="24"/>
                <w:szCs w:val="24"/>
              </w:rPr>
            </w:pPr>
            <w:r w:rsidRPr="00097083">
              <w:rPr>
                <w:sz w:val="24"/>
                <w:szCs w:val="24"/>
              </w:rPr>
              <w:t>Informal working group</w:t>
            </w:r>
            <w:r w:rsidRPr="00097083" w:rsidDel="008E0F1F">
              <w:rPr>
                <w:sz w:val="24"/>
                <w:szCs w:val="24"/>
              </w:rPr>
              <w:t xml:space="preserve"> </w:t>
            </w:r>
            <w:r w:rsidRPr="00097083">
              <w:rPr>
                <w:sz w:val="24"/>
                <w:szCs w:val="24"/>
              </w:rPr>
              <w:t>for the improvement of the methods of work of WP.11.</w:t>
            </w:r>
          </w:p>
        </w:tc>
      </w:tr>
    </w:tbl>
    <w:p w14:paraId="3185CB62" w14:textId="77777777" w:rsidR="00E8098D" w:rsidRPr="00B94983" w:rsidRDefault="00E8098D" w:rsidP="00E8098D">
      <w:pPr>
        <w:autoSpaceDE w:val="0"/>
        <w:autoSpaceDN w:val="0"/>
        <w:adjustRightInd w:val="0"/>
        <w:ind w:left="720"/>
        <w:jc w:val="both"/>
        <w:rPr>
          <w:b/>
          <w:bCs/>
          <w:lang w:eastAsia="sr-Cyrl-CS"/>
        </w:rPr>
      </w:pPr>
    </w:p>
    <w:p w14:paraId="74D84C2F" w14:textId="77777777" w:rsidR="00E8098D" w:rsidRDefault="00E8098D" w:rsidP="00E8098D">
      <w:pPr>
        <w:autoSpaceDE w:val="0"/>
        <w:autoSpaceDN w:val="0"/>
        <w:adjustRightInd w:val="0"/>
        <w:ind w:left="720" w:hanging="720"/>
        <w:jc w:val="both"/>
        <w:rPr>
          <w:b/>
          <w:bCs/>
          <w:sz w:val="28"/>
          <w:szCs w:val="28"/>
          <w:lang w:eastAsia="sr-Cyrl-CS"/>
        </w:rPr>
      </w:pPr>
    </w:p>
    <w:p w14:paraId="28EFA242" w14:textId="77777777" w:rsidR="00E8098D" w:rsidRDefault="00E8098D" w:rsidP="00E8098D">
      <w:pPr>
        <w:autoSpaceDE w:val="0"/>
        <w:autoSpaceDN w:val="0"/>
        <w:adjustRightInd w:val="0"/>
        <w:ind w:left="720" w:hanging="720"/>
        <w:jc w:val="both"/>
        <w:rPr>
          <w:b/>
          <w:bCs/>
          <w:sz w:val="28"/>
          <w:szCs w:val="28"/>
          <w:lang w:eastAsia="sr-Cyrl-CS"/>
        </w:rPr>
      </w:pPr>
      <w:r>
        <w:rPr>
          <w:b/>
          <w:bCs/>
          <w:sz w:val="28"/>
          <w:szCs w:val="28"/>
          <w:lang w:eastAsia="sr-Cyrl-CS"/>
        </w:rPr>
        <w:t>VI.</w:t>
      </w:r>
      <w:r>
        <w:rPr>
          <w:b/>
          <w:bCs/>
          <w:sz w:val="28"/>
          <w:szCs w:val="28"/>
          <w:lang w:eastAsia="sr-Cyrl-CS"/>
        </w:rPr>
        <w:tab/>
        <w:t xml:space="preserve">Main partners </w:t>
      </w:r>
      <w:r w:rsidRPr="00556BA6">
        <w:rPr>
          <w:b/>
          <w:bCs/>
          <w:lang w:eastAsia="sr-Cyrl-CS"/>
        </w:rPr>
        <w:t>[</w:t>
      </w:r>
      <w:r w:rsidRPr="00556BA6">
        <w:rPr>
          <w:i/>
          <w:iCs/>
          <w:color w:val="FF0000"/>
          <w:lang w:eastAsia="sr-Cyrl-CS"/>
        </w:rPr>
        <w:t>please outline</w:t>
      </w:r>
      <w:r w:rsidRPr="00556BA6">
        <w:rPr>
          <w:b/>
          <w:bCs/>
          <w:lang w:eastAsia="sr-Cyrl-CS"/>
        </w:rPr>
        <w:t>]</w:t>
      </w:r>
    </w:p>
    <w:p w14:paraId="0C308922" w14:textId="77777777" w:rsidR="00E8098D" w:rsidRDefault="00E8098D" w:rsidP="00E8098D">
      <w:pPr>
        <w:numPr>
          <w:ilvl w:val="0"/>
          <w:numId w:val="14"/>
        </w:numPr>
        <w:suppressAutoHyphens w:val="0"/>
        <w:autoSpaceDE w:val="0"/>
        <w:autoSpaceDN w:val="0"/>
        <w:adjustRightInd w:val="0"/>
        <w:spacing w:line="240" w:lineRule="auto"/>
        <w:jc w:val="both"/>
        <w:rPr>
          <w:b/>
          <w:bCs/>
          <w:lang w:eastAsia="sr-Cyrl-CS"/>
        </w:rPr>
      </w:pPr>
      <w:r w:rsidRPr="00387D7A">
        <w:rPr>
          <w:b/>
          <w:bCs/>
          <w:lang w:eastAsia="sr-Cyrl-CS"/>
        </w:rPr>
        <w:t>Government sector</w:t>
      </w:r>
      <w:r>
        <w:rPr>
          <w:b/>
          <w:bCs/>
          <w:lang w:eastAsia="sr-Cyrl-CS"/>
        </w:rPr>
        <w:t>:</w:t>
      </w:r>
    </w:p>
    <w:p w14:paraId="3D0997F2" w14:textId="77777777" w:rsidR="00E8098D" w:rsidRPr="00387D7A" w:rsidRDefault="00E8098D" w:rsidP="00E8098D">
      <w:pPr>
        <w:autoSpaceDE w:val="0"/>
        <w:autoSpaceDN w:val="0"/>
        <w:adjustRightInd w:val="0"/>
        <w:spacing w:after="120"/>
        <w:ind w:left="1440"/>
        <w:jc w:val="both"/>
        <w:rPr>
          <w:b/>
          <w:bCs/>
          <w:lang w:eastAsia="sr-Cyrl-CS"/>
        </w:rPr>
      </w:pPr>
      <w:r w:rsidRPr="008A4B57">
        <w:t xml:space="preserve">Representatives of the following countries </w:t>
      </w:r>
      <w:r>
        <w:t>have taken part in the sessions of WP.11:</w:t>
      </w:r>
      <w:r w:rsidRPr="008A4B57">
        <w:t xml:space="preserve"> Croatia, Czech Republic, Denmark, Finland, France, Germany, Italy, Luxembourg, Netherlands, Poland, </w:t>
      </w:r>
      <w:r>
        <w:t xml:space="preserve">Portugal, </w:t>
      </w:r>
      <w:r w:rsidRPr="008A4B57">
        <w:t xml:space="preserve">Russian Federation, Slovakia, Slovenia, Spain, </w:t>
      </w:r>
      <w:r>
        <w:t xml:space="preserve">Switzerland, </w:t>
      </w:r>
      <w:r w:rsidRPr="008A4B57">
        <w:t>Turkey, United Kingdom of Great Britain and Northern Ireland and United States of America.</w:t>
      </w:r>
    </w:p>
    <w:p w14:paraId="3416FA67" w14:textId="77777777" w:rsidR="00E8098D" w:rsidRDefault="00E8098D" w:rsidP="00E8098D">
      <w:pPr>
        <w:numPr>
          <w:ilvl w:val="0"/>
          <w:numId w:val="14"/>
        </w:numPr>
        <w:suppressAutoHyphens w:val="0"/>
        <w:autoSpaceDE w:val="0"/>
        <w:autoSpaceDN w:val="0"/>
        <w:adjustRightInd w:val="0"/>
        <w:spacing w:line="240" w:lineRule="auto"/>
        <w:jc w:val="both"/>
        <w:rPr>
          <w:b/>
          <w:bCs/>
          <w:lang w:eastAsia="sr-Cyrl-CS"/>
        </w:rPr>
      </w:pPr>
      <w:r w:rsidRPr="00842578">
        <w:rPr>
          <w:b/>
          <w:bCs/>
          <w:lang w:eastAsia="sr-Cyrl-CS"/>
        </w:rPr>
        <w:t>International/intergo</w:t>
      </w:r>
      <w:r w:rsidRPr="000E3BF1">
        <w:rPr>
          <w:b/>
          <w:bCs/>
          <w:lang w:eastAsia="sr-Cyrl-CS"/>
        </w:rPr>
        <w:t>vernmen</w:t>
      </w:r>
      <w:r>
        <w:rPr>
          <w:b/>
          <w:bCs/>
          <w:lang w:eastAsia="sr-Cyrl-CS"/>
        </w:rPr>
        <w:t>tal organizations:</w:t>
      </w:r>
    </w:p>
    <w:p w14:paraId="709112F0" w14:textId="77777777" w:rsidR="00E8098D" w:rsidRDefault="00E8098D" w:rsidP="00E8098D">
      <w:pPr>
        <w:numPr>
          <w:ilvl w:val="0"/>
          <w:numId w:val="15"/>
        </w:numPr>
        <w:suppressAutoHyphens w:val="0"/>
        <w:autoSpaceDE w:val="0"/>
        <w:autoSpaceDN w:val="0"/>
        <w:adjustRightInd w:val="0"/>
        <w:spacing w:line="240" w:lineRule="auto"/>
        <w:jc w:val="both"/>
      </w:pPr>
      <w:r w:rsidRPr="0009377F">
        <w:t>International Institute of Refrigeration (IIR)</w:t>
      </w:r>
    </w:p>
    <w:p w14:paraId="08907302" w14:textId="77777777" w:rsidR="00E8098D" w:rsidRDefault="00E8098D" w:rsidP="00E8098D">
      <w:pPr>
        <w:autoSpaceDE w:val="0"/>
        <w:autoSpaceDN w:val="0"/>
        <w:adjustRightInd w:val="0"/>
        <w:ind w:left="1080"/>
        <w:jc w:val="both"/>
        <w:rPr>
          <w:b/>
          <w:bCs/>
          <w:lang w:eastAsia="sr-Cyrl-CS"/>
        </w:rPr>
      </w:pPr>
    </w:p>
    <w:p w14:paraId="2898C3E8" w14:textId="77777777" w:rsidR="00E8098D" w:rsidRDefault="00E8098D" w:rsidP="00E8098D">
      <w:pPr>
        <w:autoSpaceDE w:val="0"/>
        <w:autoSpaceDN w:val="0"/>
        <w:adjustRightInd w:val="0"/>
        <w:ind w:firstLine="720"/>
        <w:jc w:val="both"/>
        <w:rPr>
          <w:b/>
          <w:bCs/>
          <w:lang w:eastAsia="sr-Cyrl-CS"/>
        </w:rPr>
      </w:pPr>
      <w:r w:rsidRPr="00556BA6">
        <w:rPr>
          <w:b/>
          <w:bCs/>
          <w:lang w:eastAsia="sr-Cyrl-CS"/>
        </w:rPr>
        <w:t xml:space="preserve">C. </w:t>
      </w:r>
      <w:r w:rsidRPr="00387D7A">
        <w:rPr>
          <w:b/>
          <w:bCs/>
          <w:lang w:eastAsia="sr-Cyrl-CS"/>
        </w:rPr>
        <w:t>Non-governmental sector</w:t>
      </w:r>
      <w:r>
        <w:rPr>
          <w:b/>
          <w:bCs/>
          <w:lang w:eastAsia="sr-Cyrl-CS"/>
        </w:rPr>
        <w:t>:</w:t>
      </w:r>
    </w:p>
    <w:p w14:paraId="07A06D42" w14:textId="77777777" w:rsidR="00E8098D" w:rsidRDefault="00E8098D" w:rsidP="00E8098D">
      <w:pPr>
        <w:numPr>
          <w:ilvl w:val="0"/>
          <w:numId w:val="15"/>
        </w:numPr>
        <w:suppressAutoHyphens w:val="0"/>
        <w:autoSpaceDE w:val="0"/>
        <w:autoSpaceDN w:val="0"/>
        <w:adjustRightInd w:val="0"/>
        <w:spacing w:line="240" w:lineRule="auto"/>
        <w:jc w:val="both"/>
      </w:pPr>
      <w:proofErr w:type="spellStart"/>
      <w:r w:rsidRPr="0009377F">
        <w:t>Transfrigoroute</w:t>
      </w:r>
      <w:proofErr w:type="spellEnd"/>
      <w:r w:rsidRPr="0009377F">
        <w:t xml:space="preserve"> International (TI)</w:t>
      </w:r>
    </w:p>
    <w:p w14:paraId="308C2584" w14:textId="77777777" w:rsidR="00E8098D" w:rsidRPr="00CB5102" w:rsidRDefault="00E8098D" w:rsidP="00E8098D">
      <w:pPr>
        <w:numPr>
          <w:ilvl w:val="0"/>
          <w:numId w:val="15"/>
        </w:numPr>
        <w:suppressAutoHyphens w:val="0"/>
        <w:autoSpaceDE w:val="0"/>
        <w:autoSpaceDN w:val="0"/>
        <w:adjustRightInd w:val="0"/>
        <w:spacing w:line="240" w:lineRule="auto"/>
        <w:jc w:val="both"/>
        <w:rPr>
          <w:lang w:val="fr-FR"/>
        </w:rPr>
      </w:pPr>
      <w:r w:rsidRPr="00CB5102">
        <w:rPr>
          <w:lang w:val="fr-FR"/>
        </w:rPr>
        <w:t>International Air Transport Association (IATA)</w:t>
      </w:r>
    </w:p>
    <w:p w14:paraId="0B87F6B3" w14:textId="77777777" w:rsidR="00E8098D" w:rsidRDefault="00E8098D" w:rsidP="00E8098D">
      <w:pPr>
        <w:numPr>
          <w:ilvl w:val="0"/>
          <w:numId w:val="15"/>
        </w:numPr>
        <w:suppressAutoHyphens w:val="0"/>
        <w:autoSpaceDE w:val="0"/>
        <w:autoSpaceDN w:val="0"/>
        <w:adjustRightInd w:val="0"/>
        <w:spacing w:line="240" w:lineRule="auto"/>
        <w:jc w:val="both"/>
      </w:pPr>
      <w:r w:rsidRPr="00CA365D">
        <w:t>International Association of the Body and Trailer Building Industry (CLCCR)</w:t>
      </w:r>
    </w:p>
    <w:p w14:paraId="7A0FD7E9" w14:textId="77777777" w:rsidR="00E8098D" w:rsidRPr="00842578" w:rsidRDefault="00E8098D" w:rsidP="00E8098D">
      <w:pPr>
        <w:autoSpaceDE w:val="0"/>
        <w:autoSpaceDN w:val="0"/>
        <w:adjustRightInd w:val="0"/>
        <w:ind w:firstLine="720"/>
        <w:jc w:val="both"/>
        <w:rPr>
          <w:b/>
          <w:bCs/>
          <w:lang w:eastAsia="sr-Cyrl-CS"/>
        </w:rPr>
      </w:pPr>
    </w:p>
    <w:p w14:paraId="4CDB1043" w14:textId="77777777" w:rsidR="00E8098D" w:rsidRPr="00556BA6" w:rsidRDefault="00E8098D" w:rsidP="00E8098D">
      <w:pPr>
        <w:autoSpaceDE w:val="0"/>
        <w:autoSpaceDN w:val="0"/>
        <w:adjustRightInd w:val="0"/>
        <w:ind w:firstLine="720"/>
        <w:jc w:val="both"/>
        <w:rPr>
          <w:b/>
          <w:bCs/>
          <w:lang w:eastAsia="sr-Cyrl-CS"/>
        </w:rPr>
      </w:pPr>
      <w:r w:rsidRPr="00842578">
        <w:rPr>
          <w:b/>
          <w:bCs/>
          <w:lang w:eastAsia="sr-Cyrl-CS"/>
        </w:rPr>
        <w:t xml:space="preserve">D. </w:t>
      </w:r>
      <w:r w:rsidRPr="00556BA6">
        <w:rPr>
          <w:b/>
          <w:bCs/>
          <w:lang w:eastAsia="sr-Cyrl-CS"/>
        </w:rPr>
        <w:t>Academia</w:t>
      </w:r>
      <w:r>
        <w:rPr>
          <w:b/>
          <w:bCs/>
          <w:lang w:eastAsia="sr-Cyrl-CS"/>
        </w:rPr>
        <w:t>:</w:t>
      </w:r>
    </w:p>
    <w:p w14:paraId="0B0BB5AE" w14:textId="77777777" w:rsidR="00E8098D" w:rsidRPr="00556BA6" w:rsidRDefault="00E8098D" w:rsidP="00E8098D">
      <w:pPr>
        <w:autoSpaceDE w:val="0"/>
        <w:autoSpaceDN w:val="0"/>
        <w:adjustRightInd w:val="0"/>
        <w:ind w:firstLine="720"/>
        <w:jc w:val="both"/>
        <w:rPr>
          <w:b/>
          <w:bCs/>
          <w:lang w:eastAsia="sr-Cyrl-CS"/>
        </w:rPr>
      </w:pPr>
      <w:r w:rsidRPr="00556BA6">
        <w:rPr>
          <w:b/>
          <w:bCs/>
          <w:lang w:eastAsia="sr-Cyrl-CS"/>
        </w:rPr>
        <w:t>D. Other (please specify)</w:t>
      </w:r>
      <w:r>
        <w:rPr>
          <w:b/>
          <w:bCs/>
          <w:lang w:eastAsia="sr-Cyrl-CS"/>
        </w:rPr>
        <w:t>:</w:t>
      </w:r>
    </w:p>
    <w:p w14:paraId="5B4597CB" w14:textId="77777777" w:rsidR="00E8098D" w:rsidRPr="00556BA6" w:rsidRDefault="00E8098D" w:rsidP="00E8098D">
      <w:pPr>
        <w:autoSpaceDE w:val="0"/>
        <w:autoSpaceDN w:val="0"/>
        <w:adjustRightInd w:val="0"/>
        <w:ind w:firstLine="720"/>
        <w:jc w:val="both"/>
        <w:rPr>
          <w:b/>
          <w:bCs/>
          <w:sz w:val="28"/>
          <w:szCs w:val="28"/>
          <w:lang w:eastAsia="sr-Cyrl-CS"/>
        </w:rPr>
      </w:pPr>
    </w:p>
    <w:p w14:paraId="17DD40CF" w14:textId="77777777" w:rsidR="00E8098D" w:rsidRPr="008D373B" w:rsidRDefault="00E8098D" w:rsidP="00E8098D">
      <w:pPr>
        <w:rPr>
          <w:color w:val="FF0000"/>
        </w:rPr>
      </w:pPr>
      <w:r>
        <w:rPr>
          <w:b/>
          <w:bCs/>
          <w:sz w:val="28"/>
          <w:szCs w:val="28"/>
          <w:lang w:eastAsia="sr-Cyrl-CS"/>
        </w:rPr>
        <w:t>VII.</w:t>
      </w:r>
      <w:r>
        <w:rPr>
          <w:b/>
          <w:bCs/>
          <w:sz w:val="28"/>
          <w:szCs w:val="28"/>
          <w:lang w:eastAsia="sr-Cyrl-CS"/>
        </w:rPr>
        <w:tab/>
        <w:t xml:space="preserve">Results achieved </w:t>
      </w:r>
      <w:r w:rsidRPr="008D373B">
        <w:rPr>
          <w:i/>
          <w:color w:val="FF0000"/>
        </w:rPr>
        <w:t xml:space="preserve">(highlight major results </w:t>
      </w:r>
      <w:r>
        <w:rPr>
          <w:i/>
          <w:color w:val="FF0000"/>
        </w:rPr>
        <w:t>since 2017</w:t>
      </w:r>
      <w:r w:rsidRPr="008D373B">
        <w:rPr>
          <w:i/>
          <w:color w:val="FF0000"/>
        </w:rPr>
        <w:t>)</w:t>
      </w:r>
    </w:p>
    <w:p w14:paraId="1E0BF48E" w14:textId="77777777" w:rsidR="00E8098D" w:rsidRDefault="00E8098D" w:rsidP="00E8098D">
      <w:pPr>
        <w:numPr>
          <w:ilvl w:val="0"/>
          <w:numId w:val="8"/>
        </w:numPr>
        <w:suppressAutoHyphens w:val="0"/>
        <w:autoSpaceDE w:val="0"/>
        <w:autoSpaceDN w:val="0"/>
        <w:adjustRightInd w:val="0"/>
        <w:spacing w:line="240" w:lineRule="auto"/>
        <w:jc w:val="both"/>
        <w:rPr>
          <w:lang w:eastAsia="sr-Cyrl-CS"/>
        </w:rPr>
      </w:pPr>
      <w:r w:rsidRPr="00F515E9">
        <w:rPr>
          <w:lang w:eastAsia="sr-Cyrl-CS"/>
        </w:rPr>
        <w:t>Regulatory/Normative work and contracting parties</w:t>
      </w:r>
      <w:r>
        <w:rPr>
          <w:lang w:eastAsia="sr-Cyrl-CS"/>
        </w:rPr>
        <w:t xml:space="preserve"> (</w:t>
      </w:r>
      <w:r w:rsidRPr="00122D05">
        <w:rPr>
          <w:i/>
          <w:iCs/>
          <w:lang w:eastAsia="sr-Cyrl-CS"/>
        </w:rPr>
        <w:t>e.g., amendments to legal instruments, number of contracting parties, etc.</w:t>
      </w:r>
      <w:r>
        <w:rPr>
          <w:lang w:eastAsia="sr-Cyrl-CS"/>
        </w:rPr>
        <w:t>)</w:t>
      </w:r>
    </w:p>
    <w:p w14:paraId="4BB1BDA2" w14:textId="77777777" w:rsidR="00E8098D" w:rsidRDefault="00E8098D" w:rsidP="00E8098D">
      <w:pPr>
        <w:pStyle w:val="SingleTxtG"/>
        <w:ind w:left="720"/>
        <w:rPr>
          <w:b/>
          <w:bCs/>
        </w:rPr>
      </w:pPr>
    </w:p>
    <w:p w14:paraId="7CC4C5B7" w14:textId="77777777" w:rsidR="00E8098D" w:rsidRPr="00C72CB2" w:rsidRDefault="00E8098D" w:rsidP="00E8098D">
      <w:pPr>
        <w:pStyle w:val="SingleTxtG"/>
        <w:ind w:left="720"/>
        <w:rPr>
          <w:b/>
          <w:bCs/>
          <w:sz w:val="24"/>
          <w:szCs w:val="24"/>
        </w:rPr>
      </w:pPr>
      <w:r w:rsidRPr="00C72CB2">
        <w:rPr>
          <w:b/>
          <w:bCs/>
          <w:sz w:val="24"/>
          <w:szCs w:val="24"/>
        </w:rPr>
        <w:t>Amendments to legal instruments</w:t>
      </w:r>
    </w:p>
    <w:p w14:paraId="23E203D4" w14:textId="77777777" w:rsidR="00E8098D" w:rsidRPr="00C72CB2" w:rsidRDefault="00E8098D" w:rsidP="00E8098D">
      <w:pPr>
        <w:autoSpaceDE w:val="0"/>
        <w:autoSpaceDN w:val="0"/>
        <w:adjustRightInd w:val="0"/>
        <w:spacing w:after="120"/>
        <w:ind w:left="1440"/>
        <w:jc w:val="both"/>
      </w:pPr>
      <w:r w:rsidRPr="00C72CB2">
        <w:t xml:space="preserve">WP.11 adopts draft amendments to the ATP which are proposed to contracting parties for final adoption and entry into force, according to the legal procedure of treaties. </w:t>
      </w:r>
    </w:p>
    <w:p w14:paraId="30B9A9B8" w14:textId="77777777" w:rsidR="00E8098D" w:rsidRPr="00C72CB2" w:rsidRDefault="00E8098D" w:rsidP="00E8098D">
      <w:pPr>
        <w:autoSpaceDE w:val="0"/>
        <w:autoSpaceDN w:val="0"/>
        <w:adjustRightInd w:val="0"/>
        <w:spacing w:after="120"/>
        <w:ind w:left="1440"/>
        <w:jc w:val="both"/>
      </w:pPr>
      <w:r w:rsidRPr="00C72CB2">
        <w:t>Every two years, a revised consolidated version of ATP as amended is published.</w:t>
      </w:r>
    </w:p>
    <w:p w14:paraId="5DB0B92E" w14:textId="77777777" w:rsidR="00E8098D" w:rsidRPr="00C72CB2" w:rsidRDefault="00E8098D" w:rsidP="00E8098D">
      <w:pPr>
        <w:pStyle w:val="SingleTxtG"/>
        <w:ind w:left="720"/>
        <w:rPr>
          <w:b/>
          <w:bCs/>
          <w:sz w:val="24"/>
          <w:szCs w:val="24"/>
        </w:rPr>
      </w:pPr>
      <w:r w:rsidRPr="00C72CB2">
        <w:rPr>
          <w:b/>
          <w:bCs/>
          <w:sz w:val="24"/>
          <w:szCs w:val="24"/>
        </w:rPr>
        <w:t>Main amendments since 2017</w:t>
      </w:r>
    </w:p>
    <w:p w14:paraId="5FBD0289" w14:textId="77777777" w:rsidR="00E8098D" w:rsidRPr="008D2B80" w:rsidRDefault="00E8098D" w:rsidP="00E8098D">
      <w:pPr>
        <w:autoSpaceDE w:val="0"/>
        <w:autoSpaceDN w:val="0"/>
        <w:adjustRightInd w:val="0"/>
        <w:spacing w:after="120"/>
        <w:ind w:left="1440"/>
        <w:jc w:val="both"/>
      </w:pPr>
      <w:r w:rsidRPr="008D2B80">
        <w:t>The 201</w:t>
      </w:r>
      <w:r>
        <w:t>7</w:t>
      </w:r>
      <w:r w:rsidRPr="008D2B80">
        <w:t>, 202</w:t>
      </w:r>
      <w:r>
        <w:t>0</w:t>
      </w:r>
      <w:r w:rsidRPr="008D2B80">
        <w:t xml:space="preserve"> and 20</w:t>
      </w:r>
      <w:r>
        <w:t>22</w:t>
      </w:r>
      <w:r w:rsidRPr="008D2B80">
        <w:t xml:space="preserve"> editions of ATP contain new or revised provisions concerning particularly:</w:t>
      </w:r>
    </w:p>
    <w:p w14:paraId="71172007" w14:textId="77777777" w:rsidR="00E8098D" w:rsidRPr="00EA194E" w:rsidRDefault="00E8098D" w:rsidP="00E8098D">
      <w:pPr>
        <w:numPr>
          <w:ilvl w:val="0"/>
          <w:numId w:val="8"/>
        </w:numPr>
        <w:suppressAutoHyphens w:val="0"/>
        <w:autoSpaceDE w:val="0"/>
        <w:autoSpaceDN w:val="0"/>
        <w:adjustRightInd w:val="0"/>
        <w:spacing w:after="120" w:line="240" w:lineRule="auto"/>
        <w:ind w:left="1843"/>
        <w:jc w:val="both"/>
      </w:pPr>
      <w:r w:rsidRPr="00EA194E">
        <w:t>New methodologies for calculating the mean surface area of the body of a panel van as well as inclusion of Illustrations on the three methods adopted in the ATP Handbook;</w:t>
      </w:r>
    </w:p>
    <w:p w14:paraId="1F3499B7" w14:textId="77777777" w:rsidR="00E8098D" w:rsidRPr="00EA194E" w:rsidRDefault="00E8098D" w:rsidP="00E8098D">
      <w:pPr>
        <w:numPr>
          <w:ilvl w:val="0"/>
          <w:numId w:val="8"/>
        </w:numPr>
        <w:suppressAutoHyphens w:val="0"/>
        <w:autoSpaceDE w:val="0"/>
        <w:autoSpaceDN w:val="0"/>
        <w:adjustRightInd w:val="0"/>
        <w:spacing w:after="120" w:line="240" w:lineRule="auto"/>
        <w:ind w:left="1843"/>
        <w:jc w:val="both"/>
      </w:pPr>
      <w:r w:rsidRPr="00EA194E">
        <w:rPr>
          <w:color w:val="000000"/>
        </w:rPr>
        <w:t xml:space="preserve">Amendments to </w:t>
      </w:r>
      <w:r w:rsidRPr="00EA194E">
        <w:t>Model Test reports</w:t>
      </w:r>
      <w:r w:rsidRPr="00EA194E">
        <w:rPr>
          <w:color w:val="000000"/>
        </w:rPr>
        <w:t xml:space="preserve"> included in </w:t>
      </w:r>
      <w:r w:rsidRPr="00EA194E">
        <w:t>Annex 1, appendix 2</w:t>
      </w:r>
      <w:r>
        <w:t xml:space="preserve"> of the ATP</w:t>
      </w:r>
      <w:r w:rsidRPr="00EA194E">
        <w:t>;</w:t>
      </w:r>
    </w:p>
    <w:p w14:paraId="3FF9CDFC" w14:textId="77777777" w:rsidR="00E8098D" w:rsidRPr="00EA194E" w:rsidRDefault="00E8098D" w:rsidP="00E8098D">
      <w:pPr>
        <w:numPr>
          <w:ilvl w:val="0"/>
          <w:numId w:val="8"/>
        </w:numPr>
        <w:suppressAutoHyphens w:val="0"/>
        <w:autoSpaceDE w:val="0"/>
        <w:autoSpaceDN w:val="0"/>
        <w:adjustRightInd w:val="0"/>
        <w:spacing w:after="120" w:line="240" w:lineRule="auto"/>
        <w:ind w:left="1843"/>
        <w:jc w:val="both"/>
      </w:pPr>
      <w:r w:rsidRPr="00EA194E">
        <w:t xml:space="preserve">Adoption of provisions to allow for the replacement of fluorinated gases (F-gases) used as refrigerants in special equipment currently in use for other refrigerants with lower Global Warming Potential (GWP). F-gases are a family of man-made gases used in a range of industrial applications; </w:t>
      </w:r>
    </w:p>
    <w:p w14:paraId="6D60017A" w14:textId="77777777" w:rsidR="00E8098D" w:rsidRDefault="00E8098D" w:rsidP="00E8098D">
      <w:pPr>
        <w:numPr>
          <w:ilvl w:val="0"/>
          <w:numId w:val="8"/>
        </w:numPr>
        <w:suppressAutoHyphens w:val="0"/>
        <w:autoSpaceDE w:val="0"/>
        <w:autoSpaceDN w:val="0"/>
        <w:adjustRightInd w:val="0"/>
        <w:spacing w:after="120" w:line="240" w:lineRule="auto"/>
        <w:ind w:left="1843"/>
        <w:jc w:val="both"/>
      </w:pPr>
      <w:r w:rsidRPr="00EA194E">
        <w:lastRenderedPageBreak/>
        <w:t>Provisions to define a procedure for the replacement of fluorinated gases for other refrigerants with lower Global Warming Potential (GWP), that might emerge in the near future, facilitating the reduction of emission and combating climate change;</w:t>
      </w:r>
    </w:p>
    <w:p w14:paraId="1725A9B9" w14:textId="77777777" w:rsidR="00E8098D" w:rsidRPr="00D86C8A" w:rsidRDefault="00E8098D" w:rsidP="00E8098D">
      <w:pPr>
        <w:numPr>
          <w:ilvl w:val="0"/>
          <w:numId w:val="8"/>
        </w:numPr>
        <w:suppressAutoHyphens w:val="0"/>
        <w:autoSpaceDE w:val="0"/>
        <w:autoSpaceDN w:val="0"/>
        <w:adjustRightInd w:val="0"/>
        <w:spacing w:after="120" w:line="240" w:lineRule="auto"/>
        <w:ind w:left="1843"/>
        <w:jc w:val="both"/>
      </w:pPr>
      <w:r w:rsidRPr="00D86C8A">
        <w:t>Methods to calculate the internal surface of panel vans and external surface of tanks;</w:t>
      </w:r>
    </w:p>
    <w:p w14:paraId="1AECD030" w14:textId="77777777" w:rsidR="00E8098D" w:rsidRPr="00D86C8A" w:rsidRDefault="00E8098D" w:rsidP="00E8098D">
      <w:pPr>
        <w:autoSpaceDE w:val="0"/>
        <w:autoSpaceDN w:val="0"/>
        <w:adjustRightInd w:val="0"/>
        <w:jc w:val="both"/>
        <w:rPr>
          <w:lang w:eastAsia="sr-Cyrl-CS"/>
        </w:rPr>
      </w:pPr>
    </w:p>
    <w:p w14:paraId="09FB7AD6" w14:textId="77777777" w:rsidR="00E8098D" w:rsidRPr="00C86BB0" w:rsidRDefault="00E8098D" w:rsidP="00E8098D">
      <w:pPr>
        <w:pStyle w:val="SingleTxtG"/>
        <w:numPr>
          <w:ilvl w:val="0"/>
          <w:numId w:val="8"/>
        </w:numPr>
        <w:rPr>
          <w:b/>
          <w:bCs/>
          <w:sz w:val="24"/>
          <w:szCs w:val="24"/>
        </w:rPr>
      </w:pPr>
      <w:r w:rsidRPr="00C86BB0">
        <w:rPr>
          <w:b/>
          <w:bCs/>
          <w:sz w:val="24"/>
          <w:szCs w:val="24"/>
        </w:rPr>
        <w:t>Number of contracting parties</w:t>
      </w:r>
    </w:p>
    <w:p w14:paraId="0FA41C77" w14:textId="77777777" w:rsidR="00E8098D" w:rsidRPr="00D96EDA" w:rsidRDefault="00E8098D" w:rsidP="00E8098D">
      <w:pPr>
        <w:autoSpaceDE w:val="0"/>
        <w:autoSpaceDN w:val="0"/>
        <w:adjustRightInd w:val="0"/>
        <w:spacing w:after="120"/>
        <w:ind w:left="1440"/>
        <w:jc w:val="both"/>
      </w:pPr>
      <w:r w:rsidRPr="00D96EDA">
        <w:t xml:space="preserve">With the accession of San Marino (17/05/2016), Islamic Republic of Iran (2/12/2021) and Armenia (25/01/2022), ATP now counts 52 contracting parties. </w:t>
      </w:r>
    </w:p>
    <w:p w14:paraId="25E4C7F7" w14:textId="77777777" w:rsidR="00E8098D" w:rsidRPr="00DA7603" w:rsidRDefault="00E8098D" w:rsidP="00E8098D">
      <w:pPr>
        <w:numPr>
          <w:ilvl w:val="0"/>
          <w:numId w:val="8"/>
        </w:numPr>
        <w:suppressAutoHyphens w:val="0"/>
        <w:autoSpaceDE w:val="0"/>
        <w:autoSpaceDN w:val="0"/>
        <w:adjustRightInd w:val="0"/>
        <w:spacing w:line="240" w:lineRule="auto"/>
        <w:jc w:val="both"/>
        <w:rPr>
          <w:lang w:eastAsia="sr-Cyrl-CS"/>
        </w:rPr>
      </w:pPr>
    </w:p>
    <w:p w14:paraId="54D81430" w14:textId="77777777" w:rsidR="00E8098D" w:rsidRPr="00F515E9" w:rsidRDefault="00E8098D" w:rsidP="00E8098D">
      <w:pPr>
        <w:numPr>
          <w:ilvl w:val="0"/>
          <w:numId w:val="8"/>
        </w:numPr>
        <w:suppressAutoHyphens w:val="0"/>
        <w:autoSpaceDE w:val="0"/>
        <w:autoSpaceDN w:val="0"/>
        <w:adjustRightInd w:val="0"/>
        <w:spacing w:line="240" w:lineRule="auto"/>
        <w:jc w:val="both"/>
        <w:rPr>
          <w:lang w:eastAsia="sr-Cyrl-CS"/>
        </w:rPr>
      </w:pPr>
      <w:r w:rsidRPr="00F515E9">
        <w:rPr>
          <w:lang w:eastAsia="sr-Cyrl-CS"/>
        </w:rPr>
        <w:t>Policy recommendations</w:t>
      </w:r>
    </w:p>
    <w:p w14:paraId="008B5DE4" w14:textId="77777777" w:rsidR="00E8098D" w:rsidRPr="00F515E9" w:rsidRDefault="00E8098D" w:rsidP="00E8098D">
      <w:pPr>
        <w:numPr>
          <w:ilvl w:val="0"/>
          <w:numId w:val="8"/>
        </w:numPr>
        <w:suppressAutoHyphens w:val="0"/>
        <w:autoSpaceDE w:val="0"/>
        <w:autoSpaceDN w:val="0"/>
        <w:adjustRightInd w:val="0"/>
        <w:spacing w:line="240" w:lineRule="auto"/>
        <w:jc w:val="both"/>
        <w:rPr>
          <w:lang w:eastAsia="sr-Cyrl-CS"/>
        </w:rPr>
      </w:pPr>
      <w:r w:rsidRPr="00F515E9">
        <w:rPr>
          <w:lang w:eastAsia="sr-Cyrl-CS"/>
        </w:rPr>
        <w:t>Capacity development and technical assistance</w:t>
      </w:r>
      <w:r>
        <w:rPr>
          <w:lang w:eastAsia="sr-Cyrl-CS"/>
        </w:rPr>
        <w:t xml:space="preserve"> (</w:t>
      </w:r>
      <w:r w:rsidRPr="00122D05">
        <w:rPr>
          <w:i/>
          <w:iCs/>
          <w:lang w:eastAsia="sr-Cyrl-CS"/>
        </w:rPr>
        <w:t>e.g., seminars, webinars, other activities</w:t>
      </w:r>
      <w:r>
        <w:rPr>
          <w:lang w:eastAsia="sr-Cyrl-CS"/>
        </w:rPr>
        <w:t>)</w:t>
      </w:r>
    </w:p>
    <w:p w14:paraId="7D9DAF3E" w14:textId="77777777" w:rsidR="00E8098D" w:rsidRDefault="00E8098D" w:rsidP="00E8098D">
      <w:pPr>
        <w:numPr>
          <w:ilvl w:val="1"/>
          <w:numId w:val="8"/>
        </w:numPr>
        <w:suppressAutoHyphens w:val="0"/>
        <w:autoSpaceDE w:val="0"/>
        <w:autoSpaceDN w:val="0"/>
        <w:adjustRightInd w:val="0"/>
        <w:spacing w:line="240" w:lineRule="auto"/>
        <w:jc w:val="both"/>
        <w:rPr>
          <w:lang w:eastAsia="sr-Cyrl-CS"/>
        </w:rPr>
      </w:pPr>
      <w:r>
        <w:rPr>
          <w:lang w:eastAsia="sr-Cyrl-CS"/>
        </w:rPr>
        <w:t>Major outputs</w:t>
      </w:r>
    </w:p>
    <w:p w14:paraId="2558DF4D" w14:textId="77777777" w:rsidR="00E8098D" w:rsidRPr="00BD7D33" w:rsidRDefault="00E8098D" w:rsidP="00E8098D">
      <w:pPr>
        <w:autoSpaceDE w:val="0"/>
        <w:autoSpaceDN w:val="0"/>
        <w:adjustRightInd w:val="0"/>
        <w:spacing w:after="120"/>
        <w:ind w:left="1440"/>
        <w:jc w:val="both"/>
      </w:pPr>
      <w:r w:rsidRPr="00BD7D33">
        <w:t xml:space="preserve">At its </w:t>
      </w:r>
      <w:r>
        <w:t>seventy-first</w:t>
      </w:r>
      <w:r w:rsidRPr="00BD7D33">
        <w:t xml:space="preserve"> session, WP.1</w:t>
      </w:r>
      <w:r>
        <w:t>1</w:t>
      </w:r>
      <w:r w:rsidRPr="00BD7D33">
        <w:t xml:space="preserve"> </w:t>
      </w:r>
      <w:r>
        <w:t>endorsed</w:t>
      </w:r>
      <w:r w:rsidRPr="00BD7D33">
        <w:t xml:space="preserve"> a text for a Road Map on </w:t>
      </w:r>
      <w:r>
        <w:t xml:space="preserve">accession and </w:t>
      </w:r>
      <w:r w:rsidRPr="00BD7D33">
        <w:t>implementation of A</w:t>
      </w:r>
      <w:r>
        <w:t>TP</w:t>
      </w:r>
      <w:r w:rsidRPr="00BD7D33">
        <w:t xml:space="preserve">. This Road Map contains information for experts and legal advisers in </w:t>
      </w:r>
      <w:r>
        <w:t>relevant</w:t>
      </w:r>
      <w:r w:rsidRPr="00BD7D33">
        <w:t xml:space="preserve"> ministries and departments, as well as for other relevant ministries (e.g. environment, interior, foreign affairs), presidential administrations and national parliaments in countries interested in becoming contracting parties to </w:t>
      </w:r>
      <w:r>
        <w:t>ATP</w:t>
      </w:r>
      <w:r w:rsidRPr="00BD7D33">
        <w:t>. It also aims to provide useful information to Contracting Parties to A</w:t>
      </w:r>
      <w:r>
        <w:t>TP</w:t>
      </w:r>
      <w:r w:rsidRPr="00BD7D33">
        <w:t xml:space="preserve"> during the implementation process. Now available in electronic format, it is considered a useful tool for promoting </w:t>
      </w:r>
      <w:r>
        <w:t>ATP</w:t>
      </w:r>
      <w:r w:rsidRPr="00BD7D33">
        <w:t xml:space="preserve"> and the work of WP.</w:t>
      </w:r>
      <w:r>
        <w:t>11</w:t>
      </w:r>
      <w:r w:rsidRPr="00BD7D33">
        <w:t xml:space="preserve"> in countries not yet Contracting Parties and in the national administrations of countries already Contracting Parties. It also </w:t>
      </w:r>
      <w:r>
        <w:t>contributes</w:t>
      </w:r>
      <w:r w:rsidRPr="00BD7D33">
        <w:t xml:space="preserve"> to the implementation of the 2030 Strategy of the ITC. See</w:t>
      </w:r>
      <w:r>
        <w:t xml:space="preserve"> </w:t>
      </w:r>
      <w:hyperlink r:id="rId12" w:history="1">
        <w:r w:rsidRPr="00827C70">
          <w:rPr>
            <w:rStyle w:val="Hyperlink"/>
          </w:rPr>
          <w:t>https://unece.org/road-map-accession-and-implementation-atp</w:t>
        </w:r>
      </w:hyperlink>
    </w:p>
    <w:p w14:paraId="5D7B6310" w14:textId="77777777" w:rsidR="00E8098D" w:rsidRPr="00BD7D33" w:rsidRDefault="00E8098D" w:rsidP="00E8098D">
      <w:pPr>
        <w:autoSpaceDE w:val="0"/>
        <w:autoSpaceDN w:val="0"/>
        <w:adjustRightInd w:val="0"/>
        <w:ind w:left="1440"/>
        <w:jc w:val="both"/>
        <w:rPr>
          <w:lang w:eastAsia="sr-Cyrl-CS"/>
        </w:rPr>
      </w:pPr>
    </w:p>
    <w:p w14:paraId="619451B3" w14:textId="77777777" w:rsidR="00E8098D" w:rsidRDefault="00E8098D" w:rsidP="00E8098D">
      <w:pPr>
        <w:numPr>
          <w:ilvl w:val="0"/>
          <w:numId w:val="8"/>
        </w:numPr>
        <w:suppressAutoHyphens w:val="0"/>
        <w:autoSpaceDE w:val="0"/>
        <w:autoSpaceDN w:val="0"/>
        <w:adjustRightInd w:val="0"/>
        <w:spacing w:line="240" w:lineRule="auto"/>
        <w:jc w:val="both"/>
        <w:rPr>
          <w:lang w:eastAsia="sr-Cyrl-CS"/>
        </w:rPr>
      </w:pPr>
      <w:r w:rsidRPr="00F515E9">
        <w:rPr>
          <w:lang w:eastAsia="sr-Cyrl-CS"/>
        </w:rPr>
        <w:t>Analytical work</w:t>
      </w:r>
    </w:p>
    <w:p w14:paraId="120F27A8" w14:textId="77777777" w:rsidR="00E8098D" w:rsidRPr="00F515E9" w:rsidRDefault="00E8098D" w:rsidP="00E8098D">
      <w:pPr>
        <w:numPr>
          <w:ilvl w:val="1"/>
          <w:numId w:val="8"/>
        </w:numPr>
        <w:suppressAutoHyphens w:val="0"/>
        <w:autoSpaceDE w:val="0"/>
        <w:autoSpaceDN w:val="0"/>
        <w:adjustRightInd w:val="0"/>
        <w:spacing w:line="240" w:lineRule="auto"/>
        <w:jc w:val="both"/>
        <w:rPr>
          <w:lang w:eastAsia="sr-Cyrl-CS"/>
        </w:rPr>
      </w:pPr>
      <w:r>
        <w:rPr>
          <w:lang w:eastAsia="sr-Cyrl-CS"/>
        </w:rPr>
        <w:t>Major publications</w:t>
      </w:r>
    </w:p>
    <w:p w14:paraId="6A711386" w14:textId="77777777" w:rsidR="00E8098D" w:rsidRPr="00DC540C" w:rsidRDefault="00E8098D" w:rsidP="00E8098D">
      <w:pPr>
        <w:autoSpaceDE w:val="0"/>
        <w:autoSpaceDN w:val="0"/>
        <w:adjustRightInd w:val="0"/>
        <w:ind w:left="720" w:hanging="720"/>
        <w:jc w:val="both"/>
        <w:rPr>
          <w:b/>
          <w:bCs/>
          <w:sz w:val="28"/>
          <w:szCs w:val="28"/>
          <w:lang w:eastAsia="sr-Cyrl-CS"/>
        </w:rPr>
      </w:pPr>
    </w:p>
    <w:p w14:paraId="0F06DE10" w14:textId="77777777" w:rsidR="00E8098D" w:rsidRPr="00F515E9" w:rsidRDefault="00E8098D" w:rsidP="00E8098D">
      <w:pPr>
        <w:autoSpaceDE w:val="0"/>
        <w:autoSpaceDN w:val="0"/>
        <w:adjustRightInd w:val="0"/>
        <w:ind w:left="720" w:hanging="720"/>
        <w:jc w:val="both"/>
        <w:rPr>
          <w:b/>
          <w:bCs/>
          <w:sz w:val="28"/>
          <w:szCs w:val="28"/>
          <w:lang w:eastAsia="sr-Cyrl-CS"/>
        </w:rPr>
      </w:pPr>
      <w:r w:rsidRPr="00F515E9">
        <w:rPr>
          <w:b/>
          <w:bCs/>
          <w:sz w:val="28"/>
          <w:szCs w:val="28"/>
          <w:lang w:eastAsia="sr-Cyrl-CS"/>
        </w:rPr>
        <w:t>VII.</w:t>
      </w:r>
      <w:r w:rsidRPr="00F515E9">
        <w:rPr>
          <w:b/>
          <w:bCs/>
          <w:sz w:val="28"/>
          <w:szCs w:val="28"/>
          <w:lang w:eastAsia="sr-Cyrl-CS"/>
        </w:rPr>
        <w:tab/>
        <w:t>Results</w:t>
      </w:r>
      <w:r>
        <w:rPr>
          <w:b/>
          <w:bCs/>
          <w:sz w:val="28"/>
          <w:szCs w:val="28"/>
          <w:lang w:eastAsia="sr-Cyrl-CS"/>
        </w:rPr>
        <w:t xml:space="preserve"> and changes</w:t>
      </w:r>
      <w:r w:rsidRPr="00F515E9">
        <w:rPr>
          <w:b/>
          <w:bCs/>
          <w:sz w:val="28"/>
          <w:szCs w:val="28"/>
          <w:lang w:eastAsia="sr-Cyrl-CS"/>
        </w:rPr>
        <w:t xml:space="preserve"> expected in near future</w:t>
      </w:r>
    </w:p>
    <w:p w14:paraId="1581D23F" w14:textId="77777777" w:rsidR="00E8098D" w:rsidRDefault="00E8098D" w:rsidP="00E8098D">
      <w:pPr>
        <w:autoSpaceDE w:val="0"/>
        <w:autoSpaceDN w:val="0"/>
        <w:adjustRightInd w:val="0"/>
        <w:jc w:val="both"/>
        <w:rPr>
          <w:lang w:eastAsia="sr-Cyrl-CS"/>
        </w:rPr>
      </w:pPr>
    </w:p>
    <w:p w14:paraId="306B8AD6" w14:textId="77777777" w:rsidR="00E8098D" w:rsidRPr="00BF1B93" w:rsidRDefault="00E8098D" w:rsidP="00E8098D">
      <w:pPr>
        <w:numPr>
          <w:ilvl w:val="0"/>
          <w:numId w:val="8"/>
        </w:numPr>
        <w:suppressAutoHyphens w:val="0"/>
        <w:autoSpaceDE w:val="0"/>
        <w:autoSpaceDN w:val="0"/>
        <w:adjustRightInd w:val="0"/>
        <w:spacing w:after="120" w:line="240" w:lineRule="auto"/>
        <w:ind w:left="1843"/>
        <w:jc w:val="both"/>
      </w:pPr>
      <w:r w:rsidRPr="00BF1B93">
        <w:t xml:space="preserve">Use of new insulating foams and blowing agents that are both safe for the ozone layer and highly effective </w:t>
      </w:r>
    </w:p>
    <w:p w14:paraId="28BA0651" w14:textId="77777777" w:rsidR="00E8098D" w:rsidRPr="00BF1B93" w:rsidRDefault="00E8098D" w:rsidP="00E8098D">
      <w:pPr>
        <w:numPr>
          <w:ilvl w:val="0"/>
          <w:numId w:val="8"/>
        </w:numPr>
        <w:suppressAutoHyphens w:val="0"/>
        <w:autoSpaceDE w:val="0"/>
        <w:autoSpaceDN w:val="0"/>
        <w:adjustRightInd w:val="0"/>
        <w:spacing w:after="120" w:line="240" w:lineRule="auto"/>
        <w:ind w:left="1843"/>
        <w:jc w:val="both"/>
      </w:pPr>
      <w:r w:rsidRPr="00BF1B93">
        <w:t xml:space="preserve">Determination of fuel consumption of vehicle-powered refrigeration units in order to increase energy efficiency and reduce emissions; </w:t>
      </w:r>
    </w:p>
    <w:p w14:paraId="03910B59" w14:textId="77777777" w:rsidR="00E8098D" w:rsidRPr="00BF1B93" w:rsidRDefault="00E8098D" w:rsidP="00E8098D">
      <w:pPr>
        <w:numPr>
          <w:ilvl w:val="0"/>
          <w:numId w:val="8"/>
        </w:numPr>
        <w:suppressAutoHyphens w:val="0"/>
        <w:autoSpaceDE w:val="0"/>
        <w:autoSpaceDN w:val="0"/>
        <w:adjustRightInd w:val="0"/>
        <w:spacing w:after="120" w:line="240" w:lineRule="auto"/>
        <w:ind w:left="1843"/>
        <w:jc w:val="both"/>
      </w:pPr>
      <w:r w:rsidRPr="00BF1B93">
        <w:t xml:space="preserve">Determination of the insulating capacity of isothermal transport equipment (K value) that directly influences the final CO2 emissions of a thermal engine; </w:t>
      </w:r>
    </w:p>
    <w:p w14:paraId="6E6D1877" w14:textId="77777777" w:rsidR="00E8098D" w:rsidRPr="00EC07C6" w:rsidRDefault="00E8098D" w:rsidP="00E8098D">
      <w:pPr>
        <w:numPr>
          <w:ilvl w:val="0"/>
          <w:numId w:val="8"/>
        </w:numPr>
        <w:suppressAutoHyphens w:val="0"/>
        <w:autoSpaceDE w:val="0"/>
        <w:autoSpaceDN w:val="0"/>
        <w:adjustRightInd w:val="0"/>
        <w:spacing w:after="120" w:line="240" w:lineRule="auto"/>
        <w:ind w:left="1848" w:hanging="357"/>
        <w:jc w:val="both"/>
      </w:pPr>
      <w:r w:rsidRPr="00EC07C6">
        <w:t>Develop energy-labelling schemes or minimum-efficiency standards for the refrigerated transport industry, which have shown a push of the market towards more energy-efficient products.</w:t>
      </w:r>
    </w:p>
    <w:p w14:paraId="6A5083D7" w14:textId="77777777" w:rsidR="00E8098D" w:rsidRDefault="00E8098D" w:rsidP="00E8098D">
      <w:pPr>
        <w:autoSpaceDE w:val="0"/>
        <w:autoSpaceDN w:val="0"/>
        <w:adjustRightInd w:val="0"/>
        <w:ind w:left="720" w:hanging="720"/>
        <w:jc w:val="both"/>
        <w:rPr>
          <w:lang w:eastAsia="sr-Cyrl-CS"/>
        </w:rPr>
      </w:pPr>
      <w:r>
        <w:rPr>
          <w:lang w:eastAsia="sr-Cyrl-CS"/>
        </w:rPr>
        <w:t>A.</w:t>
      </w:r>
      <w:r>
        <w:rPr>
          <w:lang w:eastAsia="sr-Cyrl-CS"/>
        </w:rPr>
        <w:tab/>
      </w:r>
      <w:r w:rsidRPr="0093121D">
        <w:rPr>
          <w:lang w:eastAsia="sr-Cyrl-CS"/>
        </w:rPr>
        <w:t>Possibilities for streamlining and synergizing activities within each of the expected results</w:t>
      </w:r>
    </w:p>
    <w:p w14:paraId="2DDEBDA0" w14:textId="77777777" w:rsidR="00E8098D" w:rsidRDefault="00E8098D" w:rsidP="00E8098D">
      <w:pPr>
        <w:autoSpaceDE w:val="0"/>
        <w:autoSpaceDN w:val="0"/>
        <w:adjustRightInd w:val="0"/>
        <w:jc w:val="both"/>
        <w:rPr>
          <w:lang w:eastAsia="sr-Cyrl-CS"/>
        </w:rPr>
      </w:pPr>
      <w:r>
        <w:rPr>
          <w:lang w:eastAsia="sr-Cyrl-CS"/>
        </w:rPr>
        <w:tab/>
        <w:t>.......</w:t>
      </w:r>
    </w:p>
    <w:p w14:paraId="551D79E4" w14:textId="77777777" w:rsidR="00E8098D" w:rsidRDefault="00E8098D" w:rsidP="00E8098D">
      <w:pPr>
        <w:autoSpaceDE w:val="0"/>
        <w:autoSpaceDN w:val="0"/>
        <w:adjustRightInd w:val="0"/>
        <w:jc w:val="both"/>
        <w:rPr>
          <w:lang w:eastAsia="sr-Cyrl-CS"/>
        </w:rPr>
      </w:pPr>
    </w:p>
    <w:p w14:paraId="66DA06B4" w14:textId="77777777" w:rsidR="00E8098D" w:rsidRDefault="00E8098D" w:rsidP="00E8098D">
      <w:pPr>
        <w:numPr>
          <w:ilvl w:val="0"/>
          <w:numId w:val="14"/>
        </w:numPr>
        <w:suppressAutoHyphens w:val="0"/>
        <w:autoSpaceDE w:val="0"/>
        <w:autoSpaceDN w:val="0"/>
        <w:adjustRightInd w:val="0"/>
        <w:spacing w:line="240" w:lineRule="auto"/>
        <w:jc w:val="both"/>
        <w:rPr>
          <w:lang w:eastAsia="sr-Cyrl-CS"/>
        </w:rPr>
      </w:pPr>
      <w:r w:rsidRPr="0093121D">
        <w:rPr>
          <w:lang w:eastAsia="sr-Cyrl-CS"/>
        </w:rPr>
        <w:t>Ways of improving efficiency and methods of work</w:t>
      </w:r>
    </w:p>
    <w:p w14:paraId="5540104A" w14:textId="77777777" w:rsidR="00E8098D" w:rsidRDefault="00E8098D" w:rsidP="00E8098D">
      <w:pPr>
        <w:autoSpaceDE w:val="0"/>
        <w:autoSpaceDN w:val="0"/>
        <w:adjustRightInd w:val="0"/>
        <w:ind w:left="1080"/>
        <w:jc w:val="both"/>
        <w:rPr>
          <w:lang w:eastAsia="sr-Cyrl-CS"/>
        </w:rPr>
      </w:pPr>
    </w:p>
    <w:p w14:paraId="15BDCC1D" w14:textId="77777777" w:rsidR="00E8098D" w:rsidRPr="00407F20" w:rsidRDefault="00E8098D" w:rsidP="00E8098D">
      <w:pPr>
        <w:numPr>
          <w:ilvl w:val="0"/>
          <w:numId w:val="8"/>
        </w:numPr>
        <w:suppressAutoHyphens w:val="0"/>
        <w:autoSpaceDE w:val="0"/>
        <w:autoSpaceDN w:val="0"/>
        <w:adjustRightInd w:val="0"/>
        <w:spacing w:after="120" w:line="240" w:lineRule="auto"/>
        <w:ind w:left="1843"/>
        <w:jc w:val="both"/>
      </w:pPr>
      <w:r>
        <w:t xml:space="preserve">Extended </w:t>
      </w:r>
      <w:r w:rsidRPr="00407F20">
        <w:t xml:space="preserve">cycle of amendments to the Agreement </w:t>
      </w:r>
      <w:r>
        <w:t>(</w:t>
      </w:r>
      <w:r w:rsidRPr="00407F20">
        <w:t>two years</w:t>
      </w:r>
      <w:r>
        <w:t>)</w:t>
      </w:r>
      <w:r w:rsidRPr="00407F20">
        <w:t xml:space="preserve"> with the possibility of notifying amendments dealing with urgent matters at any time during the cycle;</w:t>
      </w:r>
    </w:p>
    <w:p w14:paraId="2D4C3739" w14:textId="77777777" w:rsidR="00E8098D" w:rsidRPr="00407F20" w:rsidRDefault="00E8098D" w:rsidP="00E8098D">
      <w:pPr>
        <w:numPr>
          <w:ilvl w:val="0"/>
          <w:numId w:val="8"/>
        </w:numPr>
        <w:suppressAutoHyphens w:val="0"/>
        <w:autoSpaceDE w:val="0"/>
        <w:autoSpaceDN w:val="0"/>
        <w:adjustRightInd w:val="0"/>
        <w:spacing w:after="120" w:line="240" w:lineRule="auto"/>
        <w:ind w:left="1843"/>
        <w:jc w:val="both"/>
      </w:pPr>
      <w:r w:rsidRPr="00407F20">
        <w:t>To explore the possibility of including non-legally binding provisions for the transport of fresh fruits and vegetables</w:t>
      </w:r>
      <w:r>
        <w:t>;</w:t>
      </w:r>
    </w:p>
    <w:p w14:paraId="5FEF5282" w14:textId="77777777" w:rsidR="00E8098D" w:rsidRPr="00FD279C" w:rsidRDefault="00E8098D" w:rsidP="00E8098D">
      <w:pPr>
        <w:numPr>
          <w:ilvl w:val="0"/>
          <w:numId w:val="8"/>
        </w:numPr>
        <w:suppressAutoHyphens w:val="0"/>
        <w:autoSpaceDE w:val="0"/>
        <w:autoSpaceDN w:val="0"/>
        <w:adjustRightInd w:val="0"/>
        <w:spacing w:after="120" w:line="240" w:lineRule="auto"/>
        <w:ind w:left="1843"/>
        <w:jc w:val="both"/>
      </w:pPr>
      <w:r w:rsidRPr="00FD279C">
        <w:t>Creation of informal working groups for topics in which expert knowledge is required (i.e. technical requirements for cooling systems/control systems, etc.)</w:t>
      </w:r>
      <w:r>
        <w:t>.</w:t>
      </w:r>
    </w:p>
    <w:p w14:paraId="7B3D2608" w14:textId="77777777" w:rsidR="00E8098D" w:rsidRDefault="00E8098D" w:rsidP="00E8098D">
      <w:pPr>
        <w:numPr>
          <w:ilvl w:val="0"/>
          <w:numId w:val="14"/>
        </w:numPr>
        <w:suppressAutoHyphens w:val="0"/>
        <w:autoSpaceDE w:val="0"/>
        <w:autoSpaceDN w:val="0"/>
        <w:adjustRightInd w:val="0"/>
        <w:spacing w:line="240" w:lineRule="auto"/>
        <w:jc w:val="both"/>
        <w:rPr>
          <w:lang w:eastAsia="sr-Cyrl-CS"/>
        </w:rPr>
      </w:pPr>
      <w:r w:rsidRPr="0093121D">
        <w:rPr>
          <w:lang w:eastAsia="sr-Cyrl-CS"/>
        </w:rPr>
        <w:t>Expected results and related activities that may need to be reoriented/refocused to better reflect priority demands of member States</w:t>
      </w:r>
      <w:r>
        <w:rPr>
          <w:lang w:eastAsia="sr-Cyrl-CS"/>
        </w:rPr>
        <w:t xml:space="preserve"> and contracting parties</w:t>
      </w:r>
    </w:p>
    <w:p w14:paraId="73E8F4D1" w14:textId="77777777" w:rsidR="00E8098D" w:rsidRDefault="00E8098D" w:rsidP="00E8098D">
      <w:pPr>
        <w:autoSpaceDE w:val="0"/>
        <w:autoSpaceDN w:val="0"/>
        <w:adjustRightInd w:val="0"/>
        <w:ind w:left="1080"/>
        <w:jc w:val="both"/>
        <w:rPr>
          <w:lang w:eastAsia="sr-Cyrl-CS"/>
        </w:rPr>
      </w:pPr>
    </w:p>
    <w:p w14:paraId="4B04F621" w14:textId="77777777" w:rsidR="00E8098D" w:rsidRDefault="00E8098D" w:rsidP="00E8098D">
      <w:pPr>
        <w:autoSpaceDE w:val="0"/>
        <w:autoSpaceDN w:val="0"/>
        <w:adjustRightInd w:val="0"/>
        <w:jc w:val="both"/>
        <w:rPr>
          <w:lang w:eastAsia="sr-Cyrl-CS"/>
        </w:rPr>
      </w:pPr>
      <w:r>
        <w:rPr>
          <w:lang w:eastAsia="sr-Cyrl-CS"/>
        </w:rPr>
        <w:t>D.</w:t>
      </w:r>
      <w:r>
        <w:rPr>
          <w:lang w:eastAsia="sr-Cyrl-CS"/>
        </w:rPr>
        <w:tab/>
      </w:r>
      <w:r w:rsidRPr="0093121D">
        <w:rPr>
          <w:lang w:eastAsia="sr-Cyrl-CS"/>
        </w:rPr>
        <w:t>Possible optimization of the structure of the programme of work</w:t>
      </w:r>
    </w:p>
    <w:p w14:paraId="186321BD" w14:textId="77777777" w:rsidR="00E8098D" w:rsidRDefault="00E8098D" w:rsidP="00E8098D">
      <w:pPr>
        <w:autoSpaceDE w:val="0"/>
        <w:autoSpaceDN w:val="0"/>
        <w:adjustRightInd w:val="0"/>
        <w:jc w:val="both"/>
        <w:rPr>
          <w:lang w:eastAsia="sr-Cyrl-CS"/>
        </w:rPr>
      </w:pPr>
      <w:r>
        <w:rPr>
          <w:lang w:eastAsia="sr-Cyrl-CS"/>
        </w:rPr>
        <w:tab/>
        <w:t>.......</w:t>
      </w:r>
    </w:p>
    <w:p w14:paraId="2E1209A8" w14:textId="77777777" w:rsidR="00E8098D" w:rsidRPr="0093121D" w:rsidRDefault="00E8098D" w:rsidP="00E8098D">
      <w:pPr>
        <w:autoSpaceDE w:val="0"/>
        <w:autoSpaceDN w:val="0"/>
        <w:adjustRightInd w:val="0"/>
        <w:jc w:val="both"/>
        <w:rPr>
          <w:lang w:eastAsia="sr-Cyrl-CS"/>
        </w:rPr>
      </w:pPr>
    </w:p>
    <w:p w14:paraId="05093C24" w14:textId="77777777" w:rsidR="00E8098D" w:rsidRDefault="00E8098D" w:rsidP="00E8098D">
      <w:r>
        <w:rPr>
          <w:lang w:eastAsia="sr-Cyrl-CS"/>
        </w:rPr>
        <w:lastRenderedPageBreak/>
        <w:t>E.</w:t>
      </w:r>
      <w:r>
        <w:rPr>
          <w:lang w:eastAsia="sr-Cyrl-CS"/>
        </w:rPr>
        <w:tab/>
      </w:r>
      <w:r>
        <w:t>Areas identified for enhancement or abolishment, if any</w:t>
      </w:r>
    </w:p>
    <w:p w14:paraId="4E54D6D7" w14:textId="77777777" w:rsidR="00E8098D" w:rsidRDefault="00E8098D" w:rsidP="00E8098D"/>
    <w:p w14:paraId="27C2E4ED" w14:textId="77777777" w:rsidR="00E8098D" w:rsidRPr="005A69F1" w:rsidRDefault="00E8098D" w:rsidP="00E8098D">
      <w:pPr>
        <w:numPr>
          <w:ilvl w:val="0"/>
          <w:numId w:val="10"/>
        </w:numPr>
        <w:spacing w:after="120"/>
        <w:ind w:right="1134"/>
        <w:jc w:val="both"/>
      </w:pPr>
      <w:bookmarkStart w:id="1" w:name="_Hlk527639142"/>
      <w:r w:rsidRPr="005A69F1">
        <w:t>Agree</w:t>
      </w:r>
      <w:r>
        <w:t>ing</w:t>
      </w:r>
      <w:r w:rsidRPr="005A69F1">
        <w:t xml:space="preserve"> on a clear definition of the scope of the ATP including an opening clause/extension clause to provide flexibility to extend the scope of application if necessary.</w:t>
      </w:r>
    </w:p>
    <w:bookmarkEnd w:id="1"/>
    <w:p w14:paraId="7AD5245F" w14:textId="77777777" w:rsidR="00E8098D" w:rsidRPr="00E41A90" w:rsidRDefault="00E8098D" w:rsidP="00E8098D">
      <w:pPr>
        <w:autoSpaceDE w:val="0"/>
        <w:autoSpaceDN w:val="0"/>
        <w:adjustRightInd w:val="0"/>
        <w:jc w:val="both"/>
        <w:rPr>
          <w:lang w:eastAsia="sr-Cyrl-CS"/>
        </w:rPr>
      </w:pPr>
    </w:p>
    <w:p w14:paraId="5DE14D44" w14:textId="77777777" w:rsidR="00E8098D" w:rsidRDefault="00E8098D" w:rsidP="00E8098D">
      <w:pPr>
        <w:autoSpaceDE w:val="0"/>
        <w:autoSpaceDN w:val="0"/>
        <w:adjustRightInd w:val="0"/>
        <w:jc w:val="both"/>
        <w:rPr>
          <w:lang w:eastAsia="sr-Cyrl-CS"/>
        </w:rPr>
      </w:pPr>
      <w:smartTag w:uri="urn:schemas-microsoft-com:office:smarttags" w:element="Street">
        <w:smartTag w:uri="urn:schemas-microsoft-com:office:smarttags" w:element="address">
          <w:r>
            <w:rPr>
              <w:lang w:eastAsia="sr-Cyrl-CS"/>
            </w:rPr>
            <w:t>F.</w:t>
          </w:r>
          <w:r>
            <w:rPr>
              <w:lang w:eastAsia="sr-Cyrl-CS"/>
            </w:rPr>
            <w:tab/>
          </w:r>
          <w:r w:rsidRPr="0093121D">
            <w:rPr>
              <w:lang w:eastAsia="sr-Cyrl-CS"/>
            </w:rPr>
            <w:t>Ways</w:t>
          </w:r>
        </w:smartTag>
      </w:smartTag>
      <w:r w:rsidRPr="0093121D">
        <w:rPr>
          <w:lang w:eastAsia="sr-Cyrl-CS"/>
        </w:rPr>
        <w:t xml:space="preserve"> of improving co</w:t>
      </w:r>
      <w:r>
        <w:rPr>
          <w:lang w:eastAsia="sr-Cyrl-CS"/>
        </w:rPr>
        <w:t>mmunication and public outreach</w:t>
      </w:r>
    </w:p>
    <w:p w14:paraId="275E142E" w14:textId="77777777" w:rsidR="00E8098D" w:rsidRDefault="00E8098D" w:rsidP="00E8098D">
      <w:pPr>
        <w:autoSpaceDE w:val="0"/>
        <w:autoSpaceDN w:val="0"/>
        <w:adjustRightInd w:val="0"/>
        <w:jc w:val="both"/>
        <w:rPr>
          <w:lang w:eastAsia="sr-Cyrl-CS"/>
        </w:rPr>
      </w:pPr>
    </w:p>
    <w:p w14:paraId="5F38E075" w14:textId="77777777" w:rsidR="00E8098D" w:rsidRPr="0093121D" w:rsidRDefault="00E8098D" w:rsidP="00E8098D">
      <w:pPr>
        <w:autoSpaceDE w:val="0"/>
        <w:autoSpaceDN w:val="0"/>
        <w:adjustRightInd w:val="0"/>
        <w:jc w:val="both"/>
        <w:rPr>
          <w:lang w:eastAsia="sr-Cyrl-CS"/>
        </w:rPr>
      </w:pPr>
      <w:r>
        <w:rPr>
          <w:lang w:eastAsia="sr-Cyrl-CS"/>
        </w:rPr>
        <w:tab/>
        <w:t>.......</w:t>
      </w:r>
    </w:p>
    <w:p w14:paraId="2407C7BD" w14:textId="77777777" w:rsidR="00E8098D" w:rsidRPr="003064DA" w:rsidRDefault="00E8098D" w:rsidP="00E8098D">
      <w:pPr>
        <w:pBdr>
          <w:bottom w:val="single" w:sz="4" w:space="1" w:color="auto"/>
        </w:pBdr>
      </w:pPr>
    </w:p>
    <w:p w14:paraId="59867254" w14:textId="77777777" w:rsidR="00E8098D" w:rsidRDefault="00E8098D" w:rsidP="00E8098D"/>
    <w:p w14:paraId="15DCE419" w14:textId="77777777" w:rsidR="00E8098D" w:rsidRDefault="00E8098D" w:rsidP="00E8098D">
      <w:r>
        <w:t>G.</w:t>
      </w:r>
      <w:r>
        <w:tab/>
        <w:t>Any other comments</w:t>
      </w:r>
    </w:p>
    <w:p w14:paraId="562755EB" w14:textId="77777777" w:rsidR="00E8098D" w:rsidRDefault="00E8098D" w:rsidP="00E8098D"/>
    <w:p w14:paraId="3E17F31C" w14:textId="77777777" w:rsidR="00E8098D" w:rsidRDefault="00E8098D" w:rsidP="00E8098D">
      <w:r>
        <w:tab/>
        <w:t>.......</w:t>
      </w:r>
    </w:p>
    <w:p w14:paraId="37D651BD" w14:textId="77777777" w:rsidR="00E8098D" w:rsidRPr="002713DA" w:rsidRDefault="00E8098D" w:rsidP="00E8098D"/>
    <w:p w14:paraId="5EAB533B" w14:textId="10E58885" w:rsidR="00E8098D" w:rsidRPr="00FE12F2" w:rsidRDefault="00FE12F2" w:rsidP="00FE12F2">
      <w:pPr>
        <w:spacing w:before="240"/>
        <w:jc w:val="center"/>
        <w:rPr>
          <w:u w:val="single"/>
        </w:rPr>
      </w:pPr>
      <w:r>
        <w:rPr>
          <w:u w:val="single"/>
        </w:rPr>
        <w:tab/>
      </w:r>
      <w:r>
        <w:rPr>
          <w:u w:val="single"/>
        </w:rPr>
        <w:tab/>
      </w:r>
      <w:r>
        <w:rPr>
          <w:u w:val="single"/>
        </w:rPr>
        <w:tab/>
      </w:r>
    </w:p>
    <w:sectPr w:rsidR="00E8098D" w:rsidRPr="00FE12F2" w:rsidSect="00C83B36">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7121" w14:textId="77777777" w:rsidR="0033084B" w:rsidRPr="00FB1744" w:rsidRDefault="0033084B" w:rsidP="00FB1744">
      <w:pPr>
        <w:pStyle w:val="Footer"/>
      </w:pPr>
    </w:p>
  </w:endnote>
  <w:endnote w:type="continuationSeparator" w:id="0">
    <w:p w14:paraId="7AE8C81B" w14:textId="77777777" w:rsidR="0033084B" w:rsidRPr="00FB1744" w:rsidRDefault="0033084B" w:rsidP="00FB1744">
      <w:pPr>
        <w:pStyle w:val="Footer"/>
      </w:pPr>
    </w:p>
  </w:endnote>
  <w:endnote w:type="continuationNotice" w:id="1">
    <w:p w14:paraId="0AA1FDCA" w14:textId="77777777" w:rsidR="0033084B" w:rsidRDefault="003308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tiv Grotesk Thin">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4226D" w14:textId="77777777" w:rsidR="0033084B" w:rsidRPr="00FB1744" w:rsidRDefault="0033084B" w:rsidP="00FB1744">
      <w:pPr>
        <w:tabs>
          <w:tab w:val="right" w:pos="2155"/>
        </w:tabs>
        <w:spacing w:after="80" w:line="240" w:lineRule="auto"/>
        <w:ind w:left="680"/>
      </w:pPr>
      <w:r>
        <w:rPr>
          <w:u w:val="single"/>
        </w:rPr>
        <w:tab/>
      </w:r>
    </w:p>
  </w:footnote>
  <w:footnote w:type="continuationSeparator" w:id="0">
    <w:p w14:paraId="0C24AA06" w14:textId="77777777" w:rsidR="0033084B" w:rsidRPr="00FB1744" w:rsidRDefault="0033084B" w:rsidP="00FB1744">
      <w:pPr>
        <w:tabs>
          <w:tab w:val="right" w:pos="2155"/>
        </w:tabs>
        <w:spacing w:after="80" w:line="240" w:lineRule="auto"/>
        <w:ind w:left="680"/>
      </w:pPr>
      <w:r>
        <w:rPr>
          <w:u w:val="single"/>
        </w:rPr>
        <w:tab/>
      </w:r>
    </w:p>
  </w:footnote>
  <w:footnote w:type="continuationNotice" w:id="1">
    <w:p w14:paraId="659C1C3E" w14:textId="77777777" w:rsidR="0033084B" w:rsidRDefault="0033084B">
      <w:pPr>
        <w:spacing w:line="240" w:lineRule="auto"/>
      </w:pPr>
    </w:p>
  </w:footnote>
  <w:footnote w:id="2">
    <w:p w14:paraId="340A8DF6" w14:textId="2B2CFF98" w:rsidR="00E8098D" w:rsidRDefault="001826C5" w:rsidP="00E8098D">
      <w:pPr>
        <w:pStyle w:val="FootnoteText"/>
      </w:pPr>
      <w:r>
        <w:tab/>
      </w:r>
      <w:r w:rsidR="00E8098D">
        <w:rPr>
          <w:rStyle w:val="FootnoteReference"/>
        </w:rPr>
        <w:footnoteRef/>
      </w:r>
      <w:r>
        <w:tab/>
      </w:r>
      <w:r w:rsidR="00E8098D">
        <w:t xml:space="preserve">If a Working Party considers it relevant, it may submit information for the period </w:t>
      </w:r>
      <w:r w:rsidR="00E8098D" w:rsidRPr="00EB0BAE">
        <w:rPr>
          <w:b/>
          <w:bCs/>
        </w:rPr>
        <w:t>2013-2023</w:t>
      </w:r>
      <w:r w:rsidR="00E8098D">
        <w:t xml:space="preserve">, i.e. since the previous full </w:t>
      </w:r>
      <w:r w:rsidR="00E8098D" w:rsidRPr="000F6FCA">
        <w:t>review</w:t>
      </w:r>
      <w:r w:rsidR="00E8098D">
        <w:t xml:space="preserve"> of working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05506FD2" w:rsidR="002D18CF" w:rsidRPr="000C2B80" w:rsidRDefault="000C2B80" w:rsidP="002D18CF">
    <w:pPr>
      <w:pStyle w:val="Header"/>
      <w:rPr>
        <w:lang w:val="fr-CH"/>
      </w:rPr>
    </w:pPr>
    <w:r>
      <w:rPr>
        <w:lang w:val="fr-CH"/>
      </w:rPr>
      <w:t>INF.</w:t>
    </w:r>
    <w:r w:rsidR="00A777CB">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6647C72B" w:rsidR="002D18CF" w:rsidRPr="000C2B80" w:rsidRDefault="000C2B80" w:rsidP="002D18CF">
    <w:pPr>
      <w:pStyle w:val="Header"/>
      <w:jc w:val="right"/>
      <w:rPr>
        <w:lang w:val="fr-CH"/>
      </w:rPr>
    </w:pPr>
    <w:r>
      <w:rPr>
        <w:lang w:val="fr-CH"/>
      </w:rPr>
      <w:t>INF.</w:t>
    </w:r>
    <w:r w:rsidR="00A777CB">
      <w:rPr>
        <w:lang w:val="fr-CH"/>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E092F"/>
    <w:multiLevelType w:val="hybridMultilevel"/>
    <w:tmpl w:val="254AF11C"/>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057CD244"/>
    <w:lvl w:ilvl="0" w:tplc="09C08EE6">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596D13"/>
    <w:multiLevelType w:val="hybridMultilevel"/>
    <w:tmpl w:val="6F0A57A2"/>
    <w:lvl w:ilvl="0" w:tplc="100C0001">
      <w:start w:val="1"/>
      <w:numFmt w:val="bullet"/>
      <w:lvlText w:val=""/>
      <w:lvlJc w:val="left"/>
      <w:pPr>
        <w:ind w:left="1854" w:hanging="360"/>
      </w:pPr>
      <w:rPr>
        <w:rFonts w:ascii="Symbol" w:hAnsi="Symbol"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6" w15:restartNumberingAfterBreak="0">
    <w:nsid w:val="44066013"/>
    <w:multiLevelType w:val="hybridMultilevel"/>
    <w:tmpl w:val="1B5610D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E01D5D"/>
    <w:multiLevelType w:val="hybridMultilevel"/>
    <w:tmpl w:val="66D0D5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CA7D3C"/>
    <w:multiLevelType w:val="hybridMultilevel"/>
    <w:tmpl w:val="8586FCE4"/>
    <w:lvl w:ilvl="0" w:tplc="33C6B0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CE756DE"/>
    <w:multiLevelType w:val="hybridMultilevel"/>
    <w:tmpl w:val="8EF282A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AB53CA"/>
    <w:multiLevelType w:val="hybridMultilevel"/>
    <w:tmpl w:val="52F608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D9C238C"/>
    <w:multiLevelType w:val="hybridMultilevel"/>
    <w:tmpl w:val="85B4C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559454">
    <w:abstractNumId w:val="4"/>
  </w:num>
  <w:num w:numId="2" w16cid:durableId="1857032750">
    <w:abstractNumId w:val="3"/>
  </w:num>
  <w:num w:numId="3" w16cid:durableId="529992993">
    <w:abstractNumId w:val="0"/>
  </w:num>
  <w:num w:numId="4" w16cid:durableId="692607390">
    <w:abstractNumId w:val="10"/>
  </w:num>
  <w:num w:numId="5" w16cid:durableId="1563179248">
    <w:abstractNumId w:val="13"/>
  </w:num>
  <w:num w:numId="6" w16cid:durableId="1566840734">
    <w:abstractNumId w:val="2"/>
  </w:num>
  <w:num w:numId="7" w16cid:durableId="897325061">
    <w:abstractNumId w:val="6"/>
  </w:num>
  <w:num w:numId="8" w16cid:durableId="473184337">
    <w:abstractNumId w:val="14"/>
  </w:num>
  <w:num w:numId="9" w16cid:durableId="703676782">
    <w:abstractNumId w:val="12"/>
  </w:num>
  <w:num w:numId="10" w16cid:durableId="1430007830">
    <w:abstractNumId w:val="11"/>
  </w:num>
  <w:num w:numId="11" w16cid:durableId="1995989187">
    <w:abstractNumId w:val="5"/>
  </w:num>
  <w:num w:numId="12" w16cid:durableId="1694841100">
    <w:abstractNumId w:val="1"/>
  </w:num>
  <w:num w:numId="13" w16cid:durableId="1272737383">
    <w:abstractNumId w:val="9"/>
  </w:num>
  <w:num w:numId="14" w16cid:durableId="599029239">
    <w:abstractNumId w:val="8"/>
  </w:num>
  <w:num w:numId="15" w16cid:durableId="131972399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23B4"/>
    <w:rsid w:val="00046E92"/>
    <w:rsid w:val="00050626"/>
    <w:rsid w:val="00087AD8"/>
    <w:rsid w:val="000B664C"/>
    <w:rsid w:val="000C1C74"/>
    <w:rsid w:val="000C29EF"/>
    <w:rsid w:val="000C2B80"/>
    <w:rsid w:val="000D1B89"/>
    <w:rsid w:val="000D7BA0"/>
    <w:rsid w:val="000E2D9B"/>
    <w:rsid w:val="001020C6"/>
    <w:rsid w:val="00107863"/>
    <w:rsid w:val="0011442C"/>
    <w:rsid w:val="0011479F"/>
    <w:rsid w:val="001170DC"/>
    <w:rsid w:val="00180350"/>
    <w:rsid w:val="001826C5"/>
    <w:rsid w:val="0018353A"/>
    <w:rsid w:val="00193301"/>
    <w:rsid w:val="001A09F4"/>
    <w:rsid w:val="001C11FB"/>
    <w:rsid w:val="001C2868"/>
    <w:rsid w:val="001C4519"/>
    <w:rsid w:val="001C5536"/>
    <w:rsid w:val="001E105A"/>
    <w:rsid w:val="001E391D"/>
    <w:rsid w:val="001E4853"/>
    <w:rsid w:val="001E5750"/>
    <w:rsid w:val="00202A4B"/>
    <w:rsid w:val="002132B8"/>
    <w:rsid w:val="00221675"/>
    <w:rsid w:val="002227C8"/>
    <w:rsid w:val="002270AC"/>
    <w:rsid w:val="00231E6A"/>
    <w:rsid w:val="002340E4"/>
    <w:rsid w:val="00246D1A"/>
    <w:rsid w:val="00247E2C"/>
    <w:rsid w:val="00282508"/>
    <w:rsid w:val="002830DC"/>
    <w:rsid w:val="002A26AF"/>
    <w:rsid w:val="002A43E9"/>
    <w:rsid w:val="002C782E"/>
    <w:rsid w:val="002D18CF"/>
    <w:rsid w:val="002D439F"/>
    <w:rsid w:val="002D6C53"/>
    <w:rsid w:val="002E560E"/>
    <w:rsid w:val="002F07D0"/>
    <w:rsid w:val="002F5595"/>
    <w:rsid w:val="002F56B7"/>
    <w:rsid w:val="0032099E"/>
    <w:rsid w:val="0033084B"/>
    <w:rsid w:val="00334F6A"/>
    <w:rsid w:val="00342AC8"/>
    <w:rsid w:val="00365F42"/>
    <w:rsid w:val="003673F1"/>
    <w:rsid w:val="003A2706"/>
    <w:rsid w:val="003B4550"/>
    <w:rsid w:val="003C0A45"/>
    <w:rsid w:val="003C2D00"/>
    <w:rsid w:val="003C4CB5"/>
    <w:rsid w:val="003D55E8"/>
    <w:rsid w:val="003F1DFF"/>
    <w:rsid w:val="003F5D8E"/>
    <w:rsid w:val="004032A8"/>
    <w:rsid w:val="00417397"/>
    <w:rsid w:val="0041767D"/>
    <w:rsid w:val="004255FE"/>
    <w:rsid w:val="00426FA2"/>
    <w:rsid w:val="0043448D"/>
    <w:rsid w:val="0043798F"/>
    <w:rsid w:val="00456087"/>
    <w:rsid w:val="00461253"/>
    <w:rsid w:val="00461F59"/>
    <w:rsid w:val="004671E3"/>
    <w:rsid w:val="004832F8"/>
    <w:rsid w:val="004934C6"/>
    <w:rsid w:val="004A3C4D"/>
    <w:rsid w:val="004C06A9"/>
    <w:rsid w:val="004D2096"/>
    <w:rsid w:val="005042C2"/>
    <w:rsid w:val="00506C12"/>
    <w:rsid w:val="005270FC"/>
    <w:rsid w:val="00552466"/>
    <w:rsid w:val="0056599A"/>
    <w:rsid w:val="00570A21"/>
    <w:rsid w:val="00584043"/>
    <w:rsid w:val="0058628E"/>
    <w:rsid w:val="00587690"/>
    <w:rsid w:val="005B08D1"/>
    <w:rsid w:val="005C1032"/>
    <w:rsid w:val="005C70FF"/>
    <w:rsid w:val="005D024A"/>
    <w:rsid w:val="005D4454"/>
    <w:rsid w:val="005F06F2"/>
    <w:rsid w:val="005F7003"/>
    <w:rsid w:val="006079CB"/>
    <w:rsid w:val="00653F4A"/>
    <w:rsid w:val="00657675"/>
    <w:rsid w:val="006604B7"/>
    <w:rsid w:val="00671529"/>
    <w:rsid w:val="00687DFE"/>
    <w:rsid w:val="00695892"/>
    <w:rsid w:val="006A1362"/>
    <w:rsid w:val="006B24B4"/>
    <w:rsid w:val="006C0D53"/>
    <w:rsid w:val="006C33B9"/>
    <w:rsid w:val="006D4A35"/>
    <w:rsid w:val="006E6D4D"/>
    <w:rsid w:val="006F30E7"/>
    <w:rsid w:val="006F40C3"/>
    <w:rsid w:val="00703BBD"/>
    <w:rsid w:val="0071513D"/>
    <w:rsid w:val="00717266"/>
    <w:rsid w:val="007268F9"/>
    <w:rsid w:val="00761D32"/>
    <w:rsid w:val="00770E69"/>
    <w:rsid w:val="00776846"/>
    <w:rsid w:val="00780A81"/>
    <w:rsid w:val="00787570"/>
    <w:rsid w:val="007A08A8"/>
    <w:rsid w:val="007C52B0"/>
    <w:rsid w:val="007D4E01"/>
    <w:rsid w:val="007E3E3A"/>
    <w:rsid w:val="007E6295"/>
    <w:rsid w:val="007F0335"/>
    <w:rsid w:val="007F6750"/>
    <w:rsid w:val="00813AC3"/>
    <w:rsid w:val="00815873"/>
    <w:rsid w:val="0083139F"/>
    <w:rsid w:val="00832C58"/>
    <w:rsid w:val="00847DAD"/>
    <w:rsid w:val="00885E2F"/>
    <w:rsid w:val="00887F31"/>
    <w:rsid w:val="008B1D65"/>
    <w:rsid w:val="008C1853"/>
    <w:rsid w:val="008C1C83"/>
    <w:rsid w:val="008D060F"/>
    <w:rsid w:val="008E1527"/>
    <w:rsid w:val="00901D57"/>
    <w:rsid w:val="009411B4"/>
    <w:rsid w:val="009517E5"/>
    <w:rsid w:val="00955E2B"/>
    <w:rsid w:val="00975A9A"/>
    <w:rsid w:val="00994049"/>
    <w:rsid w:val="00994965"/>
    <w:rsid w:val="0099765B"/>
    <w:rsid w:val="009A07CD"/>
    <w:rsid w:val="009A34E1"/>
    <w:rsid w:val="009A63F6"/>
    <w:rsid w:val="009B6E13"/>
    <w:rsid w:val="009C15AC"/>
    <w:rsid w:val="009D0139"/>
    <w:rsid w:val="009D401D"/>
    <w:rsid w:val="009E36A4"/>
    <w:rsid w:val="009E4218"/>
    <w:rsid w:val="009E6429"/>
    <w:rsid w:val="009F4780"/>
    <w:rsid w:val="009F5CDC"/>
    <w:rsid w:val="00A032EB"/>
    <w:rsid w:val="00A068BC"/>
    <w:rsid w:val="00A10EF0"/>
    <w:rsid w:val="00A429CD"/>
    <w:rsid w:val="00A56530"/>
    <w:rsid w:val="00A64C7A"/>
    <w:rsid w:val="00A7359C"/>
    <w:rsid w:val="00A775CF"/>
    <w:rsid w:val="00A777CB"/>
    <w:rsid w:val="00A80218"/>
    <w:rsid w:val="00A81F61"/>
    <w:rsid w:val="00AA7773"/>
    <w:rsid w:val="00AA7839"/>
    <w:rsid w:val="00AB3C7E"/>
    <w:rsid w:val="00AB4D10"/>
    <w:rsid w:val="00AC33BC"/>
    <w:rsid w:val="00AE710D"/>
    <w:rsid w:val="00AF5845"/>
    <w:rsid w:val="00B06045"/>
    <w:rsid w:val="00B11CBD"/>
    <w:rsid w:val="00B1725F"/>
    <w:rsid w:val="00B4553E"/>
    <w:rsid w:val="00B508C9"/>
    <w:rsid w:val="00B615C6"/>
    <w:rsid w:val="00B64945"/>
    <w:rsid w:val="00B662C1"/>
    <w:rsid w:val="00B74A72"/>
    <w:rsid w:val="00B768C2"/>
    <w:rsid w:val="00B95EF6"/>
    <w:rsid w:val="00B979A0"/>
    <w:rsid w:val="00BA6DE9"/>
    <w:rsid w:val="00BA6E34"/>
    <w:rsid w:val="00BB16E9"/>
    <w:rsid w:val="00BB191D"/>
    <w:rsid w:val="00BF0127"/>
    <w:rsid w:val="00BF7E2B"/>
    <w:rsid w:val="00C21AF4"/>
    <w:rsid w:val="00C2521F"/>
    <w:rsid w:val="00C32109"/>
    <w:rsid w:val="00C335F5"/>
    <w:rsid w:val="00C35A27"/>
    <w:rsid w:val="00C452A7"/>
    <w:rsid w:val="00C53D16"/>
    <w:rsid w:val="00C54041"/>
    <w:rsid w:val="00C64660"/>
    <w:rsid w:val="00C70780"/>
    <w:rsid w:val="00C83B36"/>
    <w:rsid w:val="00C87952"/>
    <w:rsid w:val="00C9198D"/>
    <w:rsid w:val="00C94CCC"/>
    <w:rsid w:val="00CA5F05"/>
    <w:rsid w:val="00CB00E9"/>
    <w:rsid w:val="00CB78BA"/>
    <w:rsid w:val="00CC2E0B"/>
    <w:rsid w:val="00CC6247"/>
    <w:rsid w:val="00CC7C52"/>
    <w:rsid w:val="00CD5661"/>
    <w:rsid w:val="00CE0DF9"/>
    <w:rsid w:val="00CF36F8"/>
    <w:rsid w:val="00CF7850"/>
    <w:rsid w:val="00D34A7B"/>
    <w:rsid w:val="00D414A0"/>
    <w:rsid w:val="00D56775"/>
    <w:rsid w:val="00D7659A"/>
    <w:rsid w:val="00D85B88"/>
    <w:rsid w:val="00DA1BC8"/>
    <w:rsid w:val="00DB34FC"/>
    <w:rsid w:val="00DE33BB"/>
    <w:rsid w:val="00DE588A"/>
    <w:rsid w:val="00E00163"/>
    <w:rsid w:val="00E02C2B"/>
    <w:rsid w:val="00E05DDE"/>
    <w:rsid w:val="00E113C0"/>
    <w:rsid w:val="00E16DF7"/>
    <w:rsid w:val="00E333C4"/>
    <w:rsid w:val="00E47CF3"/>
    <w:rsid w:val="00E507D8"/>
    <w:rsid w:val="00E7067E"/>
    <w:rsid w:val="00E8098D"/>
    <w:rsid w:val="00EA0932"/>
    <w:rsid w:val="00EA30C2"/>
    <w:rsid w:val="00EB3BEF"/>
    <w:rsid w:val="00EB4157"/>
    <w:rsid w:val="00EC3BE2"/>
    <w:rsid w:val="00ED0076"/>
    <w:rsid w:val="00ED16F7"/>
    <w:rsid w:val="00ED6C48"/>
    <w:rsid w:val="00EE6AA6"/>
    <w:rsid w:val="00F12695"/>
    <w:rsid w:val="00F20DA9"/>
    <w:rsid w:val="00F228EB"/>
    <w:rsid w:val="00F45727"/>
    <w:rsid w:val="00F549EC"/>
    <w:rsid w:val="00F65DAA"/>
    <w:rsid w:val="00F65F5D"/>
    <w:rsid w:val="00F750DD"/>
    <w:rsid w:val="00F776A5"/>
    <w:rsid w:val="00F86A3A"/>
    <w:rsid w:val="00F90144"/>
    <w:rsid w:val="00FA2BA6"/>
    <w:rsid w:val="00FB1744"/>
    <w:rsid w:val="00FB2EE9"/>
    <w:rsid w:val="00FB33FE"/>
    <w:rsid w:val="00FB7F41"/>
    <w:rsid w:val="00FC04AB"/>
    <w:rsid w:val="00FE12F2"/>
    <w:rsid w:val="00FF2D3C"/>
    <w:rsid w:val="00FF66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C98EE6D"/>
  <w15:docId w15:val="{702489AF-1B30-413F-A9FC-1EE9C06E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6"/>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road-map-accession-and-implementation-at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3-04/ECE_TRANS_328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2.xml><?xml version="1.0" encoding="utf-8"?>
<ds:datastoreItem xmlns:ds="http://schemas.openxmlformats.org/officeDocument/2006/customXml" ds:itemID="{6B01C5DF-C03B-4105-8B93-2ACCF94B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B91E7B8-8541-436C-A0A5-6D88FD1028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7</Pages>
  <Words>2557</Words>
  <Characters>14577</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Editorial</cp:lastModifiedBy>
  <cp:revision>104</cp:revision>
  <cp:lastPrinted>2023-10-09T16:04:00Z</cp:lastPrinted>
  <dcterms:created xsi:type="dcterms:W3CDTF">2023-10-09T10:01:00Z</dcterms:created>
  <dcterms:modified xsi:type="dcterms:W3CDTF">2023-10-09T16:04:00Z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