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7C60" w:rsidRPr="00DC7C60" w14:paraId="5C8F5239" w14:textId="77777777" w:rsidTr="00C97039">
        <w:trPr>
          <w:trHeight w:hRule="exact" w:val="851"/>
        </w:trPr>
        <w:tc>
          <w:tcPr>
            <w:tcW w:w="1276" w:type="dxa"/>
            <w:tcBorders>
              <w:bottom w:val="single" w:sz="4" w:space="0" w:color="auto"/>
            </w:tcBorders>
          </w:tcPr>
          <w:p w14:paraId="55C6948F" w14:textId="77777777" w:rsidR="00F35BAF" w:rsidRPr="00DC7C60" w:rsidRDefault="00F35BAF" w:rsidP="000542BC"/>
        </w:tc>
        <w:tc>
          <w:tcPr>
            <w:tcW w:w="2268" w:type="dxa"/>
            <w:tcBorders>
              <w:bottom w:val="single" w:sz="4" w:space="0" w:color="auto"/>
            </w:tcBorders>
            <w:vAlign w:val="bottom"/>
          </w:tcPr>
          <w:p w14:paraId="3E3E0A97" w14:textId="77777777" w:rsidR="00F35BAF" w:rsidRPr="00DC7C60" w:rsidRDefault="00F35BAF" w:rsidP="00C97039">
            <w:pPr>
              <w:spacing w:after="80" w:line="300" w:lineRule="exact"/>
              <w:rPr>
                <w:sz w:val="28"/>
              </w:rPr>
            </w:pPr>
            <w:r w:rsidRPr="00DC7C60">
              <w:rPr>
                <w:sz w:val="28"/>
              </w:rPr>
              <w:t>Nations Unies</w:t>
            </w:r>
          </w:p>
        </w:tc>
        <w:tc>
          <w:tcPr>
            <w:tcW w:w="6095" w:type="dxa"/>
            <w:gridSpan w:val="2"/>
            <w:tcBorders>
              <w:bottom w:val="single" w:sz="4" w:space="0" w:color="auto"/>
            </w:tcBorders>
            <w:vAlign w:val="bottom"/>
          </w:tcPr>
          <w:p w14:paraId="6D29181F" w14:textId="20DB927A" w:rsidR="00F35BAF" w:rsidRPr="00DC7C60" w:rsidRDefault="000542BC" w:rsidP="000542BC">
            <w:pPr>
              <w:jc w:val="right"/>
            </w:pPr>
            <w:r w:rsidRPr="00DC7C60">
              <w:rPr>
                <w:sz w:val="40"/>
              </w:rPr>
              <w:t>ECE</w:t>
            </w:r>
            <w:r w:rsidRPr="00DC7C60">
              <w:t>/TRANS/WP.29/GRBP/2024/8</w:t>
            </w:r>
          </w:p>
        </w:tc>
      </w:tr>
      <w:tr w:rsidR="00DC7C60" w:rsidRPr="00DC7C60" w14:paraId="1368A82C" w14:textId="77777777" w:rsidTr="00C97039">
        <w:trPr>
          <w:trHeight w:hRule="exact" w:val="2835"/>
        </w:trPr>
        <w:tc>
          <w:tcPr>
            <w:tcW w:w="1276" w:type="dxa"/>
            <w:tcBorders>
              <w:top w:val="single" w:sz="4" w:space="0" w:color="auto"/>
              <w:bottom w:val="single" w:sz="12" w:space="0" w:color="auto"/>
            </w:tcBorders>
          </w:tcPr>
          <w:p w14:paraId="01524361" w14:textId="77777777" w:rsidR="00F35BAF" w:rsidRPr="00DC7C60" w:rsidRDefault="00F35BAF" w:rsidP="00C97039">
            <w:pPr>
              <w:spacing w:before="120"/>
              <w:jc w:val="center"/>
            </w:pPr>
            <w:r w:rsidRPr="00DC7C60">
              <w:rPr>
                <w:noProof/>
                <w:lang w:eastAsia="fr-CH"/>
              </w:rPr>
              <w:drawing>
                <wp:inline distT="0" distB="0" distL="0" distR="0" wp14:anchorId="7D31B2F7" wp14:editId="76ABB3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EF9E94" w14:textId="77777777" w:rsidR="00F35BAF" w:rsidRPr="00DC7C60" w:rsidRDefault="00F35BAF" w:rsidP="00C97039">
            <w:pPr>
              <w:spacing w:before="120" w:line="420" w:lineRule="exact"/>
              <w:rPr>
                <w:b/>
                <w:sz w:val="40"/>
                <w:szCs w:val="40"/>
              </w:rPr>
            </w:pPr>
            <w:r w:rsidRPr="00DC7C60">
              <w:rPr>
                <w:b/>
                <w:sz w:val="40"/>
                <w:szCs w:val="40"/>
              </w:rPr>
              <w:t>Conseil économique et social</w:t>
            </w:r>
          </w:p>
        </w:tc>
        <w:tc>
          <w:tcPr>
            <w:tcW w:w="2835" w:type="dxa"/>
            <w:tcBorders>
              <w:top w:val="single" w:sz="4" w:space="0" w:color="auto"/>
              <w:bottom w:val="single" w:sz="12" w:space="0" w:color="auto"/>
            </w:tcBorders>
          </w:tcPr>
          <w:p w14:paraId="3F77EAD5" w14:textId="77777777" w:rsidR="00F35BAF" w:rsidRPr="00DC7C60" w:rsidRDefault="000542BC" w:rsidP="00C97039">
            <w:pPr>
              <w:spacing w:before="240"/>
            </w:pPr>
            <w:proofErr w:type="spellStart"/>
            <w:r w:rsidRPr="00DC7C60">
              <w:t>Distr</w:t>
            </w:r>
            <w:proofErr w:type="spellEnd"/>
            <w:r w:rsidRPr="00DC7C60">
              <w:t>. générale</w:t>
            </w:r>
          </w:p>
          <w:p w14:paraId="18C7E712" w14:textId="77777777" w:rsidR="000542BC" w:rsidRPr="00DC7C60" w:rsidRDefault="000542BC" w:rsidP="000542BC">
            <w:pPr>
              <w:spacing w:line="240" w:lineRule="exact"/>
            </w:pPr>
            <w:r w:rsidRPr="00DC7C60">
              <w:t>21 novembre 2023</w:t>
            </w:r>
          </w:p>
          <w:p w14:paraId="196F2C13" w14:textId="77777777" w:rsidR="000542BC" w:rsidRPr="00DC7C60" w:rsidRDefault="000542BC" w:rsidP="000542BC">
            <w:pPr>
              <w:spacing w:line="240" w:lineRule="exact"/>
            </w:pPr>
            <w:r w:rsidRPr="00DC7C60">
              <w:t>Français</w:t>
            </w:r>
          </w:p>
          <w:p w14:paraId="42A37267" w14:textId="20F52464" w:rsidR="000542BC" w:rsidRPr="00DC7C60" w:rsidRDefault="000542BC" w:rsidP="000542BC">
            <w:pPr>
              <w:spacing w:line="240" w:lineRule="exact"/>
            </w:pPr>
            <w:r w:rsidRPr="00DC7C60">
              <w:t>Original : anglais</w:t>
            </w:r>
          </w:p>
        </w:tc>
      </w:tr>
    </w:tbl>
    <w:p w14:paraId="31084FCA" w14:textId="77777777" w:rsidR="007F20FA" w:rsidRPr="00DC7C60" w:rsidRDefault="007F20FA" w:rsidP="007F20FA">
      <w:pPr>
        <w:spacing w:before="120"/>
        <w:rPr>
          <w:b/>
          <w:sz w:val="28"/>
          <w:szCs w:val="28"/>
        </w:rPr>
      </w:pPr>
      <w:r w:rsidRPr="00DC7C60">
        <w:rPr>
          <w:b/>
          <w:sz w:val="28"/>
          <w:szCs w:val="28"/>
        </w:rPr>
        <w:t>Commission économique pour l’Europe</w:t>
      </w:r>
    </w:p>
    <w:p w14:paraId="26E9CDE1" w14:textId="77777777" w:rsidR="007F20FA" w:rsidRPr="00DC7C60" w:rsidRDefault="007F20FA" w:rsidP="007F20FA">
      <w:pPr>
        <w:spacing w:before="120"/>
        <w:rPr>
          <w:sz w:val="28"/>
          <w:szCs w:val="28"/>
        </w:rPr>
      </w:pPr>
      <w:r w:rsidRPr="00DC7C60">
        <w:rPr>
          <w:sz w:val="28"/>
          <w:szCs w:val="28"/>
        </w:rPr>
        <w:t>Comité des transports intérieurs</w:t>
      </w:r>
    </w:p>
    <w:p w14:paraId="4CD762BD" w14:textId="49A73B64" w:rsidR="005F5BE9" w:rsidRPr="00DC7C60" w:rsidRDefault="005F5BE9" w:rsidP="005F5BE9">
      <w:pPr>
        <w:spacing w:before="120"/>
        <w:rPr>
          <w:sz w:val="28"/>
          <w:szCs w:val="28"/>
          <w:lang w:val="fr-FR"/>
        </w:rPr>
      </w:pPr>
      <w:r w:rsidRPr="00DC7C60">
        <w:rPr>
          <w:b/>
          <w:bCs/>
          <w:sz w:val="24"/>
          <w:szCs w:val="24"/>
          <w:lang w:val="fr-FR"/>
        </w:rPr>
        <w:t xml:space="preserve">Forum mondial de l’harmonisation des Règlements </w:t>
      </w:r>
      <w:r w:rsidR="00DC7C60" w:rsidRPr="00DC7C60">
        <w:rPr>
          <w:b/>
          <w:bCs/>
          <w:sz w:val="24"/>
          <w:szCs w:val="24"/>
          <w:lang w:val="fr-FR"/>
        </w:rPr>
        <w:br/>
      </w:r>
      <w:r w:rsidRPr="00DC7C60">
        <w:rPr>
          <w:b/>
          <w:bCs/>
          <w:sz w:val="24"/>
          <w:szCs w:val="24"/>
          <w:lang w:val="fr-FR"/>
        </w:rPr>
        <w:t>concernant les véhicules</w:t>
      </w:r>
      <w:r w:rsidRPr="00DC7C60">
        <w:rPr>
          <w:sz w:val="24"/>
          <w:szCs w:val="24"/>
          <w:lang w:val="fr-FR"/>
        </w:rPr>
        <w:t xml:space="preserve"> </w:t>
      </w:r>
    </w:p>
    <w:p w14:paraId="7DF3BE67" w14:textId="77777777" w:rsidR="005F5BE9" w:rsidRPr="00DC7C60" w:rsidRDefault="005F5BE9" w:rsidP="005F5BE9">
      <w:pPr>
        <w:spacing w:before="120" w:after="120"/>
        <w:rPr>
          <w:b/>
          <w:bCs/>
          <w:lang w:val="fr-FR"/>
        </w:rPr>
      </w:pPr>
      <w:r w:rsidRPr="00DC7C60">
        <w:rPr>
          <w:b/>
          <w:bCs/>
          <w:lang w:val="fr-FR"/>
        </w:rPr>
        <w:t>Groupe de travail du bruit et des pneumatiques</w:t>
      </w:r>
    </w:p>
    <w:p w14:paraId="0ADC7C25" w14:textId="77777777" w:rsidR="005F5BE9" w:rsidRPr="00DC7C60" w:rsidRDefault="005F5BE9" w:rsidP="005F5BE9">
      <w:pPr>
        <w:rPr>
          <w:b/>
          <w:lang w:val="fr-FR"/>
        </w:rPr>
      </w:pPr>
      <w:r w:rsidRPr="00DC7C60">
        <w:rPr>
          <w:b/>
          <w:bCs/>
          <w:lang w:val="fr-FR"/>
        </w:rPr>
        <w:t>Soixante-dix-neuvième session</w:t>
      </w:r>
      <w:r w:rsidRPr="00DC7C60">
        <w:rPr>
          <w:lang w:val="fr-FR"/>
        </w:rPr>
        <w:t xml:space="preserve"> </w:t>
      </w:r>
    </w:p>
    <w:p w14:paraId="47933B55" w14:textId="77777777" w:rsidR="005F5BE9" w:rsidRPr="00DC7C60" w:rsidRDefault="005F5BE9" w:rsidP="005F5BE9">
      <w:pPr>
        <w:rPr>
          <w:bCs/>
          <w:lang w:val="fr-FR"/>
        </w:rPr>
      </w:pPr>
      <w:r w:rsidRPr="00DC7C60">
        <w:rPr>
          <w:lang w:val="fr-FR"/>
        </w:rPr>
        <w:t>Genève, 6-9 février 2024</w:t>
      </w:r>
    </w:p>
    <w:p w14:paraId="765805F1" w14:textId="77777777" w:rsidR="005F5BE9" w:rsidRPr="00DC7C60" w:rsidRDefault="005F5BE9" w:rsidP="005F5BE9">
      <w:pPr>
        <w:rPr>
          <w:bCs/>
          <w:lang w:val="fr-FR"/>
        </w:rPr>
      </w:pPr>
      <w:r w:rsidRPr="00DC7C60">
        <w:rPr>
          <w:lang w:val="fr-FR"/>
        </w:rPr>
        <w:t>Point 3 de l’ordre du jour provisoire</w:t>
      </w:r>
    </w:p>
    <w:p w14:paraId="29E8D521" w14:textId="4CCCE40C" w:rsidR="005F5BE9" w:rsidRPr="00DC7C60" w:rsidRDefault="005F5BE9" w:rsidP="005F5BE9">
      <w:pPr>
        <w:rPr>
          <w:b/>
          <w:lang w:val="fr-FR"/>
        </w:rPr>
      </w:pPr>
      <w:r w:rsidRPr="00DC7C60">
        <w:rPr>
          <w:b/>
          <w:bCs/>
          <w:lang w:val="fr-FR"/>
        </w:rPr>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rPr>
          <w:b/>
          <w:bCs/>
          <w:lang w:val="fr-FR"/>
        </w:rPr>
        <w:t>51 (Bruit des véhicules des catégories M et N)</w:t>
      </w:r>
    </w:p>
    <w:p w14:paraId="64452016" w14:textId="68B609F4" w:rsidR="005F5BE9" w:rsidRPr="00DC7C60" w:rsidRDefault="005F5BE9" w:rsidP="00DC7C60">
      <w:pPr>
        <w:pStyle w:val="HChG"/>
        <w:rPr>
          <w:sz w:val="24"/>
          <w:szCs w:val="24"/>
          <w:lang w:val="fr-FR"/>
        </w:rPr>
      </w:pPr>
      <w:r w:rsidRPr="00DC7C60">
        <w:rPr>
          <w:lang w:val="fr-FR"/>
        </w:rPr>
        <w:tab/>
      </w:r>
      <w:r w:rsidRPr="00DC7C60">
        <w:rPr>
          <w:lang w:val="fr-FR"/>
        </w:rPr>
        <w:tab/>
        <w:t>Projet de document d’information</w:t>
      </w:r>
      <w:r w:rsidR="00C327F7">
        <w:rPr>
          <w:lang w:val="fr-FR"/>
        </w:rPr>
        <w:t> </w:t>
      </w:r>
      <w:r w:rsidRPr="00DC7C60">
        <w:rPr>
          <w:lang w:val="fr-FR"/>
        </w:rPr>
        <w:t>: incertitude de mesure lors des essais menés dans le cadre des Règlements ONU relevant du Groupe de travail du bruit et des pneumatiques</w:t>
      </w:r>
      <w:bookmarkStart w:id="0" w:name="_Hlk87371461"/>
      <w:bookmarkEnd w:id="0"/>
    </w:p>
    <w:p w14:paraId="4AECE8AC" w14:textId="0AE65C41" w:rsidR="005F5BE9" w:rsidRPr="00DC7C60" w:rsidRDefault="005F5BE9" w:rsidP="00DC7C60">
      <w:pPr>
        <w:pStyle w:val="H1G"/>
        <w:rPr>
          <w:lang w:val="fr-FR"/>
        </w:rPr>
      </w:pPr>
      <w:r w:rsidRPr="00DC7C60">
        <w:rPr>
          <w:lang w:val="fr-FR"/>
        </w:rPr>
        <w:tab/>
      </w:r>
      <w:r w:rsidRPr="00DC7C60">
        <w:rPr>
          <w:lang w:val="fr-FR"/>
        </w:rPr>
        <w:tab/>
        <w:t xml:space="preserve">Communication du groupe de travail informel de l’incertitude </w:t>
      </w:r>
      <w:r w:rsidR="00DC7C60">
        <w:rPr>
          <w:lang w:val="fr-FR"/>
        </w:rPr>
        <w:br/>
      </w:r>
      <w:r w:rsidRPr="00DC7C60">
        <w:rPr>
          <w:lang w:val="fr-FR"/>
        </w:rPr>
        <w:t>de mesure</w:t>
      </w:r>
      <w:r w:rsidRPr="00DC7C60">
        <w:rPr>
          <w:b w:val="0"/>
          <w:bCs/>
          <w:sz w:val="20"/>
          <w:lang w:val="fr-FR"/>
        </w:rPr>
        <w:footnoteReference w:customMarkFollows="1" w:id="2"/>
        <w:t>*</w:t>
      </w:r>
      <w:r w:rsidRPr="00DC7C60">
        <w:rPr>
          <w:lang w:val="fr-FR"/>
        </w:rPr>
        <w:t xml:space="preserve">  </w:t>
      </w:r>
    </w:p>
    <w:p w14:paraId="7DA6F1E9" w14:textId="3EAC47E4" w:rsidR="005F5BE9" w:rsidRPr="00DC7C60" w:rsidRDefault="005F5BE9" w:rsidP="00DC7C60">
      <w:pPr>
        <w:pStyle w:val="SingleTxtG"/>
        <w:ind w:firstLine="567"/>
        <w:rPr>
          <w:lang w:val="fr-FR"/>
        </w:rPr>
      </w:pPr>
      <w:r w:rsidRPr="00DC7C60">
        <w:rPr>
          <w:lang w:val="fr-FR"/>
        </w:rPr>
        <w:tab/>
        <w:t>Le texte ci-après, à visée informative, a été établi par le groupe de travail informel de l’incertitude de mesure (groupe MU). Conformément au mandat que lui avait confié le Groupe de travail du bruit et des pneumatiques (GRBP) à sa soixante et onzième session (ECE/TRANS/WP.29/GRBP/69), le groupe MU a été chargé en premier lieu de modifier les Règlements ONU n</w:t>
      </w:r>
      <w:r w:rsidRPr="00DC7C60">
        <w:rPr>
          <w:vertAlign w:val="superscript"/>
          <w:lang w:val="fr-FR"/>
        </w:rPr>
        <w:t>os</w:t>
      </w:r>
      <w:r w:rsidR="00DC7C60">
        <w:rPr>
          <w:lang w:val="fr-FR"/>
        </w:rPr>
        <w:t> </w:t>
      </w:r>
      <w:r w:rsidRPr="00DC7C60">
        <w:rPr>
          <w:lang w:val="fr-FR"/>
        </w:rPr>
        <w:t xml:space="preserve">51 et 117 pour y réduire l’incertitude de mesure. Son mandat prévoit aussi l’élaboration d’une approche générale de l’incertitude de mesure dans les Règlements ONU. </w:t>
      </w:r>
    </w:p>
    <w:p w14:paraId="089B7946" w14:textId="77777777" w:rsidR="005F5BE9" w:rsidRPr="00DC7C60" w:rsidRDefault="005F5BE9" w:rsidP="005F5BE9">
      <w:pPr>
        <w:suppressAutoHyphens w:val="0"/>
        <w:kinsoku/>
        <w:overflowPunct/>
        <w:autoSpaceDE/>
        <w:autoSpaceDN/>
        <w:adjustRightInd/>
        <w:snapToGrid/>
        <w:spacing w:line="240" w:lineRule="auto"/>
        <w:rPr>
          <w:lang w:val="fr-FR"/>
        </w:rPr>
      </w:pPr>
      <w:r w:rsidRPr="00DC7C60">
        <w:rPr>
          <w:lang w:val="fr-FR"/>
        </w:rPr>
        <w:br w:type="page"/>
      </w:r>
    </w:p>
    <w:p w14:paraId="4F882F32" w14:textId="27499F47" w:rsidR="005F5BE9" w:rsidRDefault="005F5BE9" w:rsidP="00DC7C60">
      <w:pPr>
        <w:pStyle w:val="HChG"/>
        <w:rPr>
          <w:lang w:val="fr-FR"/>
        </w:rPr>
      </w:pPr>
      <w:r w:rsidRPr="00DC7C60">
        <w:rPr>
          <w:lang w:val="fr-FR"/>
        </w:rPr>
        <w:lastRenderedPageBreak/>
        <w:tab/>
      </w:r>
      <w:r w:rsidRPr="00DC7C60">
        <w:rPr>
          <w:lang w:val="fr-FR"/>
        </w:rPr>
        <w:tab/>
        <w:t>Document d’information</w:t>
      </w:r>
      <w:r w:rsidR="00095806">
        <w:rPr>
          <w:lang w:val="fr-FR"/>
        </w:rPr>
        <w:t> </w:t>
      </w:r>
      <w:r w:rsidRPr="00DC7C60">
        <w:rPr>
          <w:lang w:val="fr-FR"/>
        </w:rPr>
        <w:t xml:space="preserve">: incertitude de mesure lors </w:t>
      </w:r>
      <w:r w:rsidR="00026938">
        <w:rPr>
          <w:lang w:val="fr-FR"/>
        </w:rPr>
        <w:br/>
      </w:r>
      <w:r w:rsidRPr="00DC7C60">
        <w:rPr>
          <w:lang w:val="fr-FR"/>
        </w:rPr>
        <w:t xml:space="preserve">des essais menés dans le cadre des Règlements ONU </w:t>
      </w:r>
      <w:r w:rsidR="00026938">
        <w:rPr>
          <w:lang w:val="fr-FR"/>
        </w:rPr>
        <w:br/>
      </w:r>
      <w:r w:rsidRPr="00DC7C60">
        <w:rPr>
          <w:lang w:val="fr-FR"/>
        </w:rPr>
        <w:t xml:space="preserve">relevant du Groupe de travail du bruit et des pneumatiques </w:t>
      </w:r>
    </w:p>
    <w:p w14:paraId="43A09EB9" w14:textId="41B17DBD" w:rsidR="00026938" w:rsidRPr="00026938" w:rsidRDefault="00026938" w:rsidP="00026938">
      <w:pPr>
        <w:spacing w:after="120"/>
        <w:rPr>
          <w:sz w:val="28"/>
        </w:rPr>
      </w:pPr>
      <w:r w:rsidRPr="00026938">
        <w:rPr>
          <w:sz w:val="28"/>
        </w:rPr>
        <w:t>Table des matières</w:t>
      </w:r>
    </w:p>
    <w:p w14:paraId="513192CD" w14:textId="69F44CE0" w:rsidR="00026938" w:rsidRPr="00026938" w:rsidRDefault="00026938" w:rsidP="00026938">
      <w:pPr>
        <w:tabs>
          <w:tab w:val="right" w:pos="9638"/>
        </w:tabs>
        <w:spacing w:after="120"/>
        <w:ind w:left="283"/>
        <w:rPr>
          <w:i/>
          <w:sz w:val="18"/>
        </w:rPr>
      </w:pPr>
      <w:r w:rsidRPr="00026938">
        <w:rPr>
          <w:i/>
          <w:sz w:val="18"/>
        </w:rPr>
        <w:tab/>
        <w:t>Page</w:t>
      </w:r>
    </w:p>
    <w:p w14:paraId="6AB5DFE0" w14:textId="0C5ADEB7" w:rsidR="00026938" w:rsidRDefault="00026938" w:rsidP="00026938">
      <w:pPr>
        <w:tabs>
          <w:tab w:val="right" w:pos="850"/>
          <w:tab w:val="right" w:leader="dot" w:pos="8787"/>
          <w:tab w:val="right" w:pos="9638"/>
        </w:tabs>
        <w:spacing w:after="120"/>
        <w:ind w:left="1134" w:hanging="1134"/>
      </w:pPr>
      <w:r>
        <w:tab/>
        <w:t>1.</w:t>
      </w:r>
      <w:r>
        <w:tab/>
      </w:r>
      <w:r w:rsidRPr="00DC7C60">
        <w:rPr>
          <w:bCs/>
          <w:lang w:val="fr-FR"/>
        </w:rPr>
        <w:t>Contexte</w:t>
      </w:r>
      <w:r>
        <w:tab/>
      </w:r>
      <w:r>
        <w:tab/>
        <w:t>3</w:t>
      </w:r>
    </w:p>
    <w:p w14:paraId="0FBD0C28" w14:textId="2C66BBA4" w:rsidR="00026938" w:rsidRDefault="00026938" w:rsidP="00026938">
      <w:pPr>
        <w:tabs>
          <w:tab w:val="right" w:pos="850"/>
          <w:tab w:val="right" w:leader="dot" w:pos="8787"/>
          <w:tab w:val="right" w:pos="9638"/>
        </w:tabs>
        <w:spacing w:after="120"/>
        <w:ind w:left="1134" w:hanging="1134"/>
      </w:pPr>
      <w:r>
        <w:tab/>
        <w:t>2.</w:t>
      </w:r>
      <w:r>
        <w:tab/>
      </w:r>
      <w:r w:rsidR="007A5690" w:rsidRPr="00DC7C60">
        <w:rPr>
          <w:bCs/>
          <w:lang w:val="fr-FR"/>
        </w:rPr>
        <w:t>Incertitude de mesure dans les Règlements ONU</w:t>
      </w:r>
      <w:r>
        <w:tab/>
      </w:r>
      <w:r>
        <w:tab/>
      </w:r>
      <w:r w:rsidR="007A5690">
        <w:t>3</w:t>
      </w:r>
    </w:p>
    <w:p w14:paraId="43280CB9" w14:textId="703F6616" w:rsidR="00026938" w:rsidRDefault="00026938" w:rsidP="00026938">
      <w:pPr>
        <w:tabs>
          <w:tab w:val="right" w:pos="850"/>
          <w:tab w:val="right" w:leader="dot" w:pos="8787"/>
          <w:tab w:val="right" w:pos="9638"/>
        </w:tabs>
        <w:spacing w:after="120"/>
        <w:ind w:left="1134" w:hanging="1134"/>
      </w:pPr>
      <w:r>
        <w:tab/>
        <w:t>3.</w:t>
      </w:r>
      <w:r>
        <w:tab/>
      </w:r>
      <w:r w:rsidR="00095806">
        <w:t>Références</w:t>
      </w:r>
      <w:r>
        <w:tab/>
      </w:r>
      <w:r>
        <w:tab/>
      </w:r>
      <w:r w:rsidR="00095806">
        <w:t>8</w:t>
      </w:r>
    </w:p>
    <w:p w14:paraId="5A2A3EAE" w14:textId="79B66826" w:rsidR="00026938" w:rsidRPr="00026938" w:rsidRDefault="00026938" w:rsidP="00026938">
      <w:pPr>
        <w:tabs>
          <w:tab w:val="right" w:pos="850"/>
        </w:tabs>
        <w:spacing w:after="120"/>
      </w:pPr>
      <w:r>
        <w:tab/>
        <w:t>Annexe</w:t>
      </w:r>
    </w:p>
    <w:p w14:paraId="7CA3EADB" w14:textId="680A9018" w:rsidR="005F5BE9" w:rsidRPr="00026938" w:rsidRDefault="00026938" w:rsidP="00026938">
      <w:pPr>
        <w:tabs>
          <w:tab w:val="right" w:pos="850"/>
          <w:tab w:val="right" w:leader="dot" w:pos="8787"/>
          <w:tab w:val="right" w:pos="9638"/>
        </w:tabs>
        <w:spacing w:after="120"/>
        <w:ind w:left="1134" w:hanging="1134"/>
        <w:rPr>
          <w:rStyle w:val="Lienhypertexte"/>
          <w:color w:val="auto"/>
        </w:rPr>
      </w:pPr>
      <w:r>
        <w:tab/>
      </w:r>
      <w:r>
        <w:tab/>
      </w:r>
      <w:r w:rsidR="00095806" w:rsidRPr="00DC7C60">
        <w:rPr>
          <w:lang w:val="fr-FR"/>
        </w:rPr>
        <w:t>Tableaux de mesure de l’incertitude</w:t>
      </w:r>
      <w:r>
        <w:tab/>
      </w:r>
      <w:r w:rsidR="00095806">
        <w:tab/>
        <w:t>9</w:t>
      </w:r>
    </w:p>
    <w:p w14:paraId="3775D543" w14:textId="77777777" w:rsidR="005F5BE9" w:rsidRPr="00DC7C60" w:rsidRDefault="005F5BE9" w:rsidP="005F5BE9">
      <w:pPr>
        <w:suppressAutoHyphens w:val="0"/>
        <w:spacing w:line="240" w:lineRule="auto"/>
        <w:rPr>
          <w:b/>
          <w:sz w:val="28"/>
          <w:lang w:val="fr-FR"/>
        </w:rPr>
      </w:pPr>
      <w:bookmarkStart w:id="1" w:name="_Toc87431059"/>
      <w:r w:rsidRPr="00DC7C60">
        <w:rPr>
          <w:lang w:val="fr-FR"/>
        </w:rPr>
        <w:br w:type="page"/>
      </w:r>
    </w:p>
    <w:p w14:paraId="3E832F00" w14:textId="3A17769C" w:rsidR="005F5BE9" w:rsidRPr="00DC7C60" w:rsidRDefault="005F5BE9" w:rsidP="00C23419">
      <w:pPr>
        <w:pStyle w:val="H1G"/>
        <w:ind w:left="2268"/>
        <w:rPr>
          <w:lang w:val="fr-FR"/>
        </w:rPr>
      </w:pPr>
      <w:r w:rsidRPr="00DC7C60">
        <w:rPr>
          <w:lang w:val="fr-FR"/>
        </w:rPr>
        <w:lastRenderedPageBreak/>
        <w:t>1.</w:t>
      </w:r>
      <w:r w:rsidRPr="00DC7C60">
        <w:rPr>
          <w:lang w:val="fr-FR"/>
        </w:rPr>
        <w:tab/>
        <w:t>Contexte</w:t>
      </w:r>
      <w:bookmarkEnd w:id="1"/>
    </w:p>
    <w:p w14:paraId="49AEEDAA" w14:textId="77777777" w:rsidR="005F5BE9" w:rsidRPr="00DC7C60" w:rsidRDefault="005F5BE9" w:rsidP="007A5690">
      <w:pPr>
        <w:pStyle w:val="SingleTxtG"/>
        <w:ind w:left="2268" w:hanging="1134"/>
        <w:rPr>
          <w:lang w:val="fr-FR"/>
        </w:rPr>
      </w:pPr>
      <w:r w:rsidRPr="00DC7C60">
        <w:rPr>
          <w:lang w:val="fr-FR"/>
        </w:rPr>
        <w:t>1.1</w:t>
      </w:r>
      <w:r w:rsidRPr="00DC7C60">
        <w:rPr>
          <w:lang w:val="fr-FR"/>
        </w:rPr>
        <w:tab/>
        <w:t xml:space="preserve">Lorsque des objets sont mis à l’essai selon des normes, il y a toujours une certaine incertitude de mesure. C’est notamment le cas si l’on mesure le bruit émis par des véhicules ou des pneumatiques, par exemple au stade de leur homologation de type. Dans les normes utilisées pour les essais (ISO, ANSI, CEN, etc.), un chapitre est obligatoirement consacré à l’incertitude de mesure. Ce n’est toutefois pas le cas dans les Règlements ONU relevant de la compétence du GRBP. </w:t>
      </w:r>
    </w:p>
    <w:p w14:paraId="56E0645B" w14:textId="64B42038" w:rsidR="005F5BE9" w:rsidRPr="00DC7C60" w:rsidRDefault="005F5BE9" w:rsidP="007A5690">
      <w:pPr>
        <w:pStyle w:val="SingleTxtG"/>
        <w:ind w:left="2268" w:hanging="1134"/>
        <w:rPr>
          <w:lang w:val="fr-FR"/>
        </w:rPr>
      </w:pPr>
      <w:r w:rsidRPr="00DC7C60">
        <w:rPr>
          <w:lang w:val="fr-FR"/>
        </w:rPr>
        <w:t>1.2</w:t>
      </w:r>
      <w:r w:rsidRPr="00DC7C60">
        <w:rPr>
          <w:lang w:val="fr-FR"/>
        </w:rPr>
        <w:tab/>
        <w:t>L’accent est de plus en plus mis sur la vérification de la conformité des véhicules en circulation, comme en témoigne l’adoption du Règlement (UE) 2018/858</w:t>
      </w:r>
      <w:r w:rsidR="00334E45" w:rsidRPr="00555328">
        <w:rPr>
          <w:sz w:val="18"/>
          <w:szCs w:val="18"/>
          <w:vertAlign w:val="superscript"/>
          <w:lang w:val="fr-FR"/>
        </w:rPr>
        <w:t>[</w:t>
      </w:r>
      <w:r w:rsidRPr="00555328">
        <w:rPr>
          <w:sz w:val="18"/>
          <w:szCs w:val="18"/>
          <w:vertAlign w:val="superscript"/>
          <w:lang w:val="fr-FR"/>
        </w:rPr>
        <w:t>1</w:t>
      </w:r>
      <w:r w:rsidR="00334E45" w:rsidRPr="00555328">
        <w:rPr>
          <w:sz w:val="18"/>
          <w:szCs w:val="18"/>
          <w:vertAlign w:val="superscript"/>
          <w:lang w:val="fr-FR"/>
        </w:rPr>
        <w:t>]</w:t>
      </w:r>
      <w:r w:rsidRPr="00DC7C60">
        <w:rPr>
          <w:lang w:val="fr-FR"/>
        </w:rPr>
        <w:t xml:space="preserve"> relatif à la surveillance du marché. Aux États-Unis d’Amérique, les autorités procèdent depuis plusieurs dizaines d’années déjà à des essais de conformité des véhicules en circulation aux normes d’émission et de sécurité, mais pas aux normes sonores. </w:t>
      </w:r>
    </w:p>
    <w:p w14:paraId="7976C97A" w14:textId="77777777" w:rsidR="005F5BE9" w:rsidRPr="00DC7C60" w:rsidRDefault="005F5BE9" w:rsidP="007A5690">
      <w:pPr>
        <w:pStyle w:val="SingleTxtG"/>
        <w:ind w:left="2268" w:hanging="1134"/>
        <w:rPr>
          <w:lang w:val="fr-FR"/>
        </w:rPr>
      </w:pPr>
      <w:r w:rsidRPr="00DC7C60">
        <w:rPr>
          <w:lang w:val="fr-FR"/>
        </w:rPr>
        <w:t>1.3</w:t>
      </w:r>
      <w:r w:rsidRPr="00DC7C60">
        <w:rPr>
          <w:lang w:val="fr-FR"/>
        </w:rPr>
        <w:tab/>
        <w:t xml:space="preserve">Ces essais sont conduits par des institutions tierces, qui n’ont pas participé aux essais effectués au stade de l’homologation de type. L’incertitude de mesure dans le cadre des essais liés à la surveillance du marché est donc une question primordiale, puisqu’en cas d’erreur, l’homologation de type du véhicule ou autre objet concerné pourrait être retirée. </w:t>
      </w:r>
    </w:p>
    <w:p w14:paraId="5D1C4607" w14:textId="18639B14" w:rsidR="005F5BE9" w:rsidRPr="00DC7C60" w:rsidRDefault="005F5BE9" w:rsidP="007A5690">
      <w:pPr>
        <w:pStyle w:val="SingleTxtG"/>
        <w:ind w:left="2268" w:hanging="1134"/>
        <w:rPr>
          <w:lang w:val="fr-FR"/>
        </w:rPr>
      </w:pPr>
      <w:r w:rsidRPr="00DC7C60">
        <w:rPr>
          <w:lang w:val="fr-FR"/>
        </w:rPr>
        <w:t>1.4</w:t>
      </w:r>
      <w:r w:rsidRPr="00DC7C60">
        <w:rPr>
          <w:lang w:val="fr-FR"/>
        </w:rPr>
        <w:tab/>
        <w:t>Certes, les essais conduits par des tierces parties n’entrent pas dans le champ d’application des Règlements ONU mais</w:t>
      </w:r>
      <w:r w:rsidR="008632B6" w:rsidRPr="00DC7C60">
        <w:rPr>
          <w:lang w:val="fr-FR"/>
        </w:rPr>
        <w:t>,</w:t>
      </w:r>
      <w:r w:rsidRPr="00DC7C60">
        <w:rPr>
          <w:lang w:val="fr-FR"/>
        </w:rPr>
        <w:t xml:space="preserve"> de manière générale, la prise en compte de l’incertitude de mesure est également importante aux fins de la conformité de la production, quant à elle visée par les Règlements ONU relatifs aux véhicules et aux pneumatiques.</w:t>
      </w:r>
    </w:p>
    <w:p w14:paraId="20B76C5C" w14:textId="2AFC4FBC" w:rsidR="005F5BE9" w:rsidRPr="00DC7C60" w:rsidRDefault="005F5BE9" w:rsidP="00D44FF1">
      <w:pPr>
        <w:pStyle w:val="SingleTxtG"/>
        <w:keepNext/>
        <w:ind w:left="2268" w:hanging="1134"/>
        <w:rPr>
          <w:lang w:val="fr-FR"/>
        </w:rPr>
      </w:pPr>
      <w:r w:rsidRPr="00DC7C60">
        <w:rPr>
          <w:lang w:val="fr-FR"/>
        </w:rPr>
        <w:t>1.5</w:t>
      </w:r>
      <w:r w:rsidRPr="00DC7C60">
        <w:rPr>
          <w:lang w:val="fr-FR"/>
        </w:rPr>
        <w:tab/>
        <w:t>Le GRBP a donc été prié de créer un groupe de travail informel de l’incertitude de mesure (groupe MU), qu’il a chargé de réfléchir aux questions suivantes</w:t>
      </w:r>
      <w:r w:rsidR="00D44FF1">
        <w:rPr>
          <w:lang w:val="fr-FR"/>
        </w:rPr>
        <w:t> :</w:t>
      </w:r>
    </w:p>
    <w:p w14:paraId="37C4DBE4" w14:textId="526C2DF7" w:rsidR="005F5BE9" w:rsidRPr="00DC7C60" w:rsidRDefault="005F5BE9" w:rsidP="00D44FF1">
      <w:pPr>
        <w:spacing w:after="120"/>
        <w:ind w:left="2268" w:right="1134"/>
        <w:jc w:val="both"/>
        <w:rPr>
          <w:bCs/>
          <w:lang w:val="fr-FR"/>
        </w:rPr>
      </w:pPr>
      <w:r w:rsidRPr="00DC7C60">
        <w:rPr>
          <w:lang w:val="fr-FR"/>
        </w:rPr>
        <w:t>a)</w:t>
      </w:r>
      <w:r w:rsidRPr="00DC7C60">
        <w:rPr>
          <w:lang w:val="fr-FR"/>
        </w:rPr>
        <w:tab/>
        <w:t>Amélioration des méthodes d’essai</w:t>
      </w:r>
      <w:r w:rsidR="00D44FF1">
        <w:rPr>
          <w:lang w:val="fr-FR"/>
        </w:rPr>
        <w:t> ;</w:t>
      </w:r>
    </w:p>
    <w:p w14:paraId="163484D6" w14:textId="77777777" w:rsidR="005F5BE9" w:rsidRPr="00DC7C60" w:rsidRDefault="005F5BE9" w:rsidP="00D44FF1">
      <w:pPr>
        <w:spacing w:after="120"/>
        <w:ind w:left="2268" w:right="1134"/>
        <w:jc w:val="both"/>
        <w:rPr>
          <w:bCs/>
          <w:lang w:val="fr-FR"/>
        </w:rPr>
      </w:pPr>
      <w:r w:rsidRPr="00DC7C60">
        <w:rPr>
          <w:lang w:val="fr-FR"/>
        </w:rPr>
        <w:t>b)</w:t>
      </w:r>
      <w:r w:rsidRPr="00DC7C60">
        <w:rPr>
          <w:lang w:val="fr-FR"/>
        </w:rPr>
        <w:tab/>
        <w:t>Compensation dans les cas où c’est possible (erreurs systématiques) ;</w:t>
      </w:r>
    </w:p>
    <w:p w14:paraId="77D8B265" w14:textId="77777777" w:rsidR="005F5BE9" w:rsidRPr="00DC7C60" w:rsidRDefault="005F5BE9" w:rsidP="00D44FF1">
      <w:pPr>
        <w:spacing w:after="120"/>
        <w:ind w:left="2268" w:right="1134"/>
        <w:jc w:val="both"/>
        <w:rPr>
          <w:bCs/>
          <w:lang w:val="fr-FR"/>
        </w:rPr>
      </w:pPr>
      <w:r w:rsidRPr="00DC7C60">
        <w:rPr>
          <w:lang w:val="fr-FR"/>
        </w:rPr>
        <w:t>c)</w:t>
      </w:r>
      <w:r w:rsidRPr="00DC7C60">
        <w:rPr>
          <w:lang w:val="fr-FR"/>
        </w:rPr>
        <w:tab/>
        <w:t>Incertitude résiduelle (erreurs aléatoires).</w:t>
      </w:r>
    </w:p>
    <w:p w14:paraId="4F40D6C9" w14:textId="337E23B8" w:rsidR="005F5BE9" w:rsidRPr="00DC7C60" w:rsidRDefault="005F5BE9" w:rsidP="007A5690">
      <w:pPr>
        <w:pStyle w:val="SingleTxtG"/>
        <w:ind w:left="2268" w:hanging="1134"/>
        <w:rPr>
          <w:lang w:val="fr-FR"/>
        </w:rPr>
      </w:pPr>
      <w:bookmarkStart w:id="2" w:name="_Toc83987015"/>
      <w:bookmarkStart w:id="3" w:name="_Toc87431060"/>
      <w:r w:rsidRPr="00DC7C60">
        <w:rPr>
          <w:lang w:val="fr-FR"/>
        </w:rPr>
        <w:t>1.6</w:t>
      </w:r>
      <w:r w:rsidRPr="00DC7C60">
        <w:rPr>
          <w:lang w:val="fr-FR"/>
        </w:rPr>
        <w:tab/>
        <w:t>Dans le cadre de ces travaux, le groupe MU a élaboré le document d’information intitulé « Approche générale de l’incertitude de mesure »</w:t>
      </w:r>
      <w:r w:rsidR="00334E45" w:rsidRPr="00334E45">
        <w:rPr>
          <w:sz w:val="18"/>
          <w:szCs w:val="18"/>
          <w:vertAlign w:val="superscript"/>
          <w:lang w:val="fr-FR"/>
        </w:rPr>
        <w:t>[</w:t>
      </w:r>
      <w:r w:rsidR="00334E45" w:rsidRPr="00334E45">
        <w:rPr>
          <w:sz w:val="18"/>
          <w:szCs w:val="18"/>
          <w:vertAlign w:val="superscript"/>
          <w:lang w:val="fr-FR"/>
        </w:rPr>
        <w:t>2</w:t>
      </w:r>
      <w:r w:rsidR="00334E45" w:rsidRPr="00334E45">
        <w:rPr>
          <w:sz w:val="18"/>
          <w:szCs w:val="18"/>
          <w:vertAlign w:val="superscript"/>
          <w:lang w:val="fr-FR"/>
        </w:rPr>
        <w:t>]</w:t>
      </w:r>
      <w:r w:rsidRPr="00DC7C60">
        <w:rPr>
          <w:lang w:val="fr-FR"/>
        </w:rPr>
        <w:t>, dans lequel il expose la théorie statistique de base fondée sur les grandes lignes du Guide pour l’expression de l’incertitude de mesure (GUM</w:t>
      </w:r>
      <w:r w:rsidR="00334E45" w:rsidRPr="00334E45">
        <w:rPr>
          <w:sz w:val="18"/>
          <w:szCs w:val="18"/>
          <w:vertAlign w:val="superscript"/>
          <w:lang w:val="fr-FR"/>
        </w:rPr>
        <w:t>[</w:t>
      </w:r>
      <w:r w:rsidR="00334E45" w:rsidRPr="00334E45">
        <w:rPr>
          <w:sz w:val="18"/>
          <w:szCs w:val="18"/>
          <w:vertAlign w:val="superscript"/>
          <w:lang w:val="fr-FR"/>
        </w:rPr>
        <w:t>3</w:t>
      </w:r>
      <w:r w:rsidR="00334E45" w:rsidRPr="00334E45">
        <w:rPr>
          <w:sz w:val="18"/>
          <w:szCs w:val="18"/>
          <w:vertAlign w:val="superscript"/>
          <w:lang w:val="fr-FR"/>
        </w:rPr>
        <w:t>]</w:t>
      </w:r>
      <w:r w:rsidRPr="00DC7C60">
        <w:rPr>
          <w:lang w:val="fr-FR"/>
        </w:rPr>
        <w:t>) de l’Organisation internationale de normalisation (ISO).</w:t>
      </w:r>
    </w:p>
    <w:p w14:paraId="057CADDF" w14:textId="45F31D8B" w:rsidR="005F5BE9" w:rsidRPr="00DC7C60" w:rsidRDefault="005F5BE9" w:rsidP="007A5690">
      <w:pPr>
        <w:pStyle w:val="SingleTxtG"/>
        <w:ind w:left="2268" w:hanging="1134"/>
        <w:rPr>
          <w:lang w:val="fr-FR"/>
        </w:rPr>
      </w:pPr>
      <w:r w:rsidRPr="00DC7C60">
        <w:rPr>
          <w:lang w:val="fr-FR"/>
        </w:rPr>
        <w:t>1.7</w:t>
      </w:r>
      <w:r w:rsidRPr="00DC7C60">
        <w:rPr>
          <w:lang w:val="fr-FR"/>
        </w:rPr>
        <w:tab/>
        <w:t>Le présent document d’information vient compléter le document susmentionné et décrit l’état de l’incertitude de mesure concernant les essais réalisés conformément aux Règlements ONU relevant du GRBP, notamment les Règlements ONU n</w:t>
      </w:r>
      <w:r w:rsidRPr="00DC7C60">
        <w:rPr>
          <w:vertAlign w:val="superscript"/>
          <w:lang w:val="fr-FR"/>
        </w:rPr>
        <w:t>os</w:t>
      </w:r>
      <w:r w:rsidR="00710E1F">
        <w:rPr>
          <w:lang w:val="fr-FR"/>
        </w:rPr>
        <w:t> </w:t>
      </w:r>
      <w:r w:rsidRPr="00DC7C60">
        <w:rPr>
          <w:lang w:val="fr-FR"/>
        </w:rPr>
        <w:t>51 et 117.</w:t>
      </w:r>
    </w:p>
    <w:p w14:paraId="1B26F71E" w14:textId="77777777" w:rsidR="005F5BE9" w:rsidRPr="00DC7C60" w:rsidRDefault="005F5BE9" w:rsidP="007A5690">
      <w:pPr>
        <w:pStyle w:val="SingleTxtG"/>
        <w:ind w:left="2268" w:hanging="1134"/>
        <w:rPr>
          <w:lang w:val="fr-FR"/>
        </w:rPr>
      </w:pPr>
      <w:r w:rsidRPr="00DC7C60">
        <w:rPr>
          <w:lang w:val="fr-FR"/>
        </w:rPr>
        <w:t>1.8</w:t>
      </w:r>
      <w:r w:rsidRPr="00DC7C60">
        <w:rPr>
          <w:lang w:val="fr-FR"/>
        </w:rPr>
        <w:tab/>
        <w:t xml:space="preserve">L’évaluation est fondée sur les connaissances actuelles relatives à l’incidence des différentes grandeurs de mesure sur l’incertitude globale. </w:t>
      </w:r>
    </w:p>
    <w:p w14:paraId="40E2E8BB" w14:textId="77777777" w:rsidR="005F5BE9" w:rsidRPr="00DC7C60" w:rsidRDefault="005F5BE9" w:rsidP="007A5690">
      <w:pPr>
        <w:pStyle w:val="SingleTxtG"/>
        <w:ind w:left="2268" w:hanging="1134"/>
        <w:rPr>
          <w:lang w:val="fr-FR"/>
        </w:rPr>
      </w:pPr>
      <w:r w:rsidRPr="00DC7C60">
        <w:rPr>
          <w:lang w:val="fr-FR"/>
        </w:rPr>
        <w:t>1.9</w:t>
      </w:r>
      <w:r w:rsidRPr="00DC7C60">
        <w:rPr>
          <w:lang w:val="fr-FR"/>
        </w:rPr>
        <w:tab/>
        <w:t>Dans les Règlements ONU examinés, une amélioration continue des procédures de mesure et des conditions limites d’essai devrait influer sur l’incertitude globale estimée, telle qu’elle est déterminée dans le texte. Le cas échéant, il faudra mettre à jour le présent document d’information afin de tenir compte de ces changements et de réviser les tableaux relatifs à l’incertitude présentés ci-dessous.</w:t>
      </w:r>
    </w:p>
    <w:p w14:paraId="5C071590" w14:textId="4F7A385E" w:rsidR="005F5BE9" w:rsidRPr="00DC7C60" w:rsidRDefault="005F5BE9" w:rsidP="00C23419">
      <w:pPr>
        <w:pStyle w:val="H1G"/>
        <w:ind w:left="2268"/>
        <w:rPr>
          <w:lang w:val="fr-FR"/>
        </w:rPr>
      </w:pPr>
      <w:r w:rsidRPr="00DC7C60">
        <w:rPr>
          <w:lang w:val="fr-FR"/>
        </w:rPr>
        <w:t>2.</w:t>
      </w:r>
      <w:r w:rsidRPr="00DC7C60">
        <w:rPr>
          <w:lang w:val="fr-FR"/>
        </w:rPr>
        <w:tab/>
        <w:t xml:space="preserve">Incertitude de mesure dans les Règlements ONU </w:t>
      </w:r>
      <w:bookmarkEnd w:id="2"/>
      <w:bookmarkEnd w:id="3"/>
    </w:p>
    <w:p w14:paraId="16D32808" w14:textId="4ACD5639" w:rsidR="005F5BE9" w:rsidRPr="00DC7C60" w:rsidRDefault="005F5BE9" w:rsidP="00B21A43">
      <w:pPr>
        <w:pStyle w:val="SingleTxtG"/>
        <w:keepNext/>
        <w:ind w:left="2268" w:hanging="1134"/>
        <w:jc w:val="left"/>
        <w:rPr>
          <w:sz w:val="16"/>
          <w:szCs w:val="16"/>
        </w:rPr>
      </w:pPr>
      <w:r w:rsidRPr="00DC7C60">
        <w:t>2.1</w:t>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9</w:t>
      </w:r>
    </w:p>
    <w:p w14:paraId="3DB371E7" w14:textId="77777777" w:rsidR="005F5BE9" w:rsidRPr="00DC7C60" w:rsidRDefault="005F5BE9" w:rsidP="001E7FE5">
      <w:pPr>
        <w:pStyle w:val="SingleTxtG"/>
        <w:ind w:left="2268"/>
        <w:rPr>
          <w:rFonts w:asciiTheme="majorBidi" w:hAnsiTheme="majorBidi" w:cstheme="majorBidi"/>
          <w:lang w:val="fr-FR"/>
        </w:rPr>
      </w:pPr>
      <w:r w:rsidRPr="00DC7C60">
        <w:rPr>
          <w:lang w:val="fr-FR"/>
        </w:rPr>
        <w:t>(Réservé)</w:t>
      </w:r>
    </w:p>
    <w:p w14:paraId="28259132" w14:textId="1CCBE2A7" w:rsidR="005F5BE9" w:rsidRPr="00DC7C60" w:rsidRDefault="005F5BE9" w:rsidP="00B21A43">
      <w:pPr>
        <w:pStyle w:val="SingleTxtG"/>
        <w:keepNext/>
        <w:ind w:left="2268" w:hanging="1134"/>
        <w:jc w:val="left"/>
      </w:pPr>
      <w:r w:rsidRPr="00DC7C60">
        <w:lastRenderedPageBreak/>
        <w:t>2.2</w:t>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28</w:t>
      </w:r>
    </w:p>
    <w:p w14:paraId="444002AE" w14:textId="77777777" w:rsidR="005F5BE9" w:rsidRPr="00DC7C60" w:rsidRDefault="005F5BE9" w:rsidP="001E7FE5">
      <w:pPr>
        <w:pStyle w:val="SingleTxtG"/>
        <w:ind w:left="2268"/>
        <w:rPr>
          <w:rFonts w:asciiTheme="majorBidi" w:hAnsiTheme="majorBidi" w:cstheme="majorBidi"/>
          <w:lang w:val="fr-FR"/>
        </w:rPr>
      </w:pPr>
      <w:r w:rsidRPr="00DC7C60">
        <w:rPr>
          <w:lang w:val="fr-FR"/>
        </w:rPr>
        <w:t>(Réservé)</w:t>
      </w:r>
    </w:p>
    <w:p w14:paraId="66B3AD0B" w14:textId="55B82E6B" w:rsidR="005F5BE9" w:rsidRPr="00DC7C60" w:rsidRDefault="005F5BE9" w:rsidP="00B21A43">
      <w:pPr>
        <w:pStyle w:val="SingleTxtG"/>
        <w:keepNext/>
        <w:ind w:left="2268" w:hanging="1134"/>
        <w:jc w:val="left"/>
      </w:pPr>
      <w:r w:rsidRPr="00DC7C60">
        <w:t>2.3</w:t>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30</w:t>
      </w:r>
    </w:p>
    <w:p w14:paraId="1602650D" w14:textId="77777777" w:rsidR="005F5BE9" w:rsidRPr="00DC7C60" w:rsidRDefault="005F5BE9" w:rsidP="001E7FE5">
      <w:pPr>
        <w:pStyle w:val="SingleTxtG"/>
        <w:ind w:left="2268"/>
        <w:rPr>
          <w:rFonts w:asciiTheme="majorBidi" w:hAnsiTheme="majorBidi" w:cstheme="majorBidi"/>
          <w:lang w:val="fr-FR"/>
        </w:rPr>
      </w:pPr>
      <w:r w:rsidRPr="00DC7C60">
        <w:rPr>
          <w:lang w:val="fr-FR"/>
        </w:rPr>
        <w:t>(Réservé)</w:t>
      </w:r>
    </w:p>
    <w:p w14:paraId="74EB6655" w14:textId="571217CE" w:rsidR="005F5BE9" w:rsidRPr="00DC7C60" w:rsidRDefault="005F5BE9" w:rsidP="00B21A43">
      <w:pPr>
        <w:pStyle w:val="SingleTxtG"/>
        <w:keepNext/>
        <w:ind w:left="2268" w:hanging="1134"/>
        <w:jc w:val="left"/>
      </w:pPr>
      <w:r w:rsidRPr="00DC7C60">
        <w:t>2.4</w:t>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41</w:t>
      </w:r>
    </w:p>
    <w:p w14:paraId="05C1B714" w14:textId="77777777" w:rsidR="005F5BE9" w:rsidRPr="00DC7C60" w:rsidRDefault="005F5BE9" w:rsidP="001E7FE5">
      <w:pPr>
        <w:pStyle w:val="SingleTxtG"/>
        <w:ind w:left="2268"/>
        <w:rPr>
          <w:rFonts w:asciiTheme="majorBidi" w:hAnsiTheme="majorBidi" w:cstheme="majorBidi"/>
          <w:lang w:val="fr-FR"/>
        </w:rPr>
      </w:pPr>
      <w:r w:rsidRPr="00DC7C60">
        <w:rPr>
          <w:lang w:val="fr-FR"/>
        </w:rPr>
        <w:t>(Réservé)</w:t>
      </w:r>
    </w:p>
    <w:p w14:paraId="739938D4" w14:textId="7EDE56B0" w:rsidR="005F5BE9" w:rsidRPr="00DC7C60" w:rsidRDefault="005F5BE9" w:rsidP="00B21A43">
      <w:pPr>
        <w:pStyle w:val="SingleTxtG"/>
        <w:keepNext/>
        <w:ind w:left="2268" w:hanging="1134"/>
        <w:jc w:val="left"/>
        <w:rPr>
          <w:rFonts w:asciiTheme="majorBidi" w:hAnsiTheme="majorBidi" w:cstheme="majorBidi"/>
        </w:rPr>
      </w:pPr>
      <w:r w:rsidRPr="00DC7C60">
        <w:t>2.5</w:t>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51</w:t>
      </w:r>
    </w:p>
    <w:p w14:paraId="5826108E" w14:textId="7399462C" w:rsidR="005F5BE9" w:rsidRPr="00DC7C60" w:rsidRDefault="005F5BE9" w:rsidP="00B21A43">
      <w:pPr>
        <w:pStyle w:val="SingleTxtG"/>
        <w:keepNext/>
        <w:ind w:left="2268" w:hanging="1134"/>
        <w:jc w:val="left"/>
        <w:rPr>
          <w:rFonts w:asciiTheme="majorBidi" w:hAnsiTheme="majorBidi" w:cstheme="majorBidi"/>
          <w:lang w:val="fr-FR"/>
        </w:rPr>
      </w:pPr>
      <w:r w:rsidRPr="00DC7C60">
        <w:rPr>
          <w:lang w:val="fr-FR"/>
        </w:rPr>
        <w:t>2.5.1</w:t>
      </w:r>
      <w:r w:rsidRPr="00DC7C60">
        <w:rPr>
          <w:lang w:val="fr-FR"/>
        </w:rPr>
        <w:tab/>
        <w:t xml:space="preserve">Estimation de l’incertitude élargie pour la mesure des émissions sonores </w:t>
      </w:r>
      <w:r w:rsidR="00B21A43">
        <w:rPr>
          <w:lang w:val="fr-FR"/>
        </w:rPr>
        <w:br/>
      </w:r>
      <w:r w:rsidRPr="00DC7C60">
        <w:rPr>
          <w:lang w:val="fr-FR"/>
        </w:rPr>
        <w:t>des véhicules des catégories M et N (annexe 3)</w:t>
      </w:r>
    </w:p>
    <w:p w14:paraId="4755F505" w14:textId="77777777" w:rsidR="005F5BE9" w:rsidRPr="00DC7C60" w:rsidRDefault="005F5BE9" w:rsidP="001E7FE5">
      <w:pPr>
        <w:pStyle w:val="SingleTxtG"/>
        <w:ind w:left="2268"/>
        <w:rPr>
          <w:rFonts w:asciiTheme="majorBidi" w:hAnsiTheme="majorBidi" w:cstheme="majorBidi"/>
          <w:lang w:val="fr-FR"/>
        </w:rPr>
      </w:pPr>
      <w:r w:rsidRPr="00DC7C60">
        <w:rPr>
          <w:lang w:val="fr-FR"/>
        </w:rPr>
        <w:t>La méthode d’essai applicable aux véhicules des catégories M</w:t>
      </w:r>
      <w:r w:rsidRPr="00DC7C60">
        <w:rPr>
          <w:vertAlign w:val="subscript"/>
          <w:lang w:val="fr-FR"/>
        </w:rPr>
        <w:t>1</w:t>
      </w:r>
      <w:r w:rsidRPr="00DC7C60">
        <w:rPr>
          <w:lang w:val="fr-FR"/>
        </w:rPr>
        <w:t xml:space="preserve"> et N</w:t>
      </w:r>
      <w:r w:rsidRPr="00DC7C60">
        <w:rPr>
          <w:vertAlign w:val="subscript"/>
          <w:lang w:val="fr-FR"/>
        </w:rPr>
        <w:t>1</w:t>
      </w:r>
      <w:r w:rsidRPr="00DC7C60">
        <w:rPr>
          <w:lang w:val="fr-FR"/>
        </w:rPr>
        <w:t>, ainsi qu’aux véhicules de la catégorie M</w:t>
      </w:r>
      <w:r w:rsidRPr="00DC7C60">
        <w:rPr>
          <w:vertAlign w:val="subscript"/>
          <w:lang w:val="fr-FR"/>
        </w:rPr>
        <w:t>2</w:t>
      </w:r>
      <w:r w:rsidRPr="00DC7C60">
        <w:rPr>
          <w:lang w:val="fr-FR"/>
        </w:rPr>
        <w:t xml:space="preserve"> dont la masse maximale autorisée est inférieure à 3 500 kg (annexe 3), repose sur deux conditions de conduite, à savoir une vitesse d’essai constante </w:t>
      </w:r>
      <w:proofErr w:type="spellStart"/>
      <w:r w:rsidRPr="00DC7C60">
        <w:rPr>
          <w:lang w:val="fr-FR"/>
        </w:rPr>
        <w:t>L</w:t>
      </w:r>
      <w:r w:rsidRPr="00DC7C60">
        <w:rPr>
          <w:vertAlign w:val="subscript"/>
          <w:lang w:val="fr-FR"/>
        </w:rPr>
        <w:t>crs</w:t>
      </w:r>
      <w:proofErr w:type="spellEnd"/>
      <w:r w:rsidRPr="00DC7C60">
        <w:rPr>
          <w:lang w:val="fr-FR"/>
        </w:rPr>
        <w:t xml:space="preserve"> et une accélération d’essai à pleins gaz </w:t>
      </w:r>
      <w:proofErr w:type="spellStart"/>
      <w:r w:rsidRPr="00DC7C60">
        <w:rPr>
          <w:lang w:val="fr-FR"/>
        </w:rPr>
        <w:t>L</w:t>
      </w:r>
      <w:r w:rsidRPr="00DC7C60">
        <w:rPr>
          <w:vertAlign w:val="subscript"/>
          <w:lang w:val="fr-FR"/>
        </w:rPr>
        <w:t>wot</w:t>
      </w:r>
      <w:proofErr w:type="spellEnd"/>
      <w:r w:rsidRPr="00DC7C60">
        <w:rPr>
          <w:lang w:val="fr-FR"/>
        </w:rPr>
        <w:t xml:space="preserve">, qui permettent de déterminer la valeur finale à retenir pour l’homologation de type, </w:t>
      </w:r>
      <w:proofErr w:type="spellStart"/>
      <w:r w:rsidRPr="00DC7C60">
        <w:rPr>
          <w:lang w:val="fr-FR"/>
        </w:rPr>
        <w:t>L</w:t>
      </w:r>
      <w:r w:rsidRPr="00DC7C60">
        <w:rPr>
          <w:vertAlign w:val="subscript"/>
          <w:lang w:val="fr-FR"/>
        </w:rPr>
        <w:t>urban</w:t>
      </w:r>
      <w:proofErr w:type="spellEnd"/>
      <w:r w:rsidRPr="00DC7C60">
        <w:rPr>
          <w:lang w:val="fr-FR"/>
        </w:rPr>
        <w:t>.  Le tableau de mesure de l’incertitude figurant au paragraphe 2.4 s’applique à ces catégories de véhicules. Le tableau de mesure de l’incertitude figurant au paragraphe 2.5 s’applique aux véhicules des catégories N</w:t>
      </w:r>
      <w:r w:rsidRPr="00DC7C60">
        <w:rPr>
          <w:vertAlign w:val="subscript"/>
          <w:lang w:val="fr-FR"/>
        </w:rPr>
        <w:t>2</w:t>
      </w:r>
      <w:r w:rsidRPr="00DC7C60">
        <w:rPr>
          <w:lang w:val="fr-FR"/>
        </w:rPr>
        <w:t>, N</w:t>
      </w:r>
      <w:r w:rsidRPr="00DC7C60">
        <w:rPr>
          <w:vertAlign w:val="subscript"/>
          <w:lang w:val="fr-FR"/>
        </w:rPr>
        <w:t>3</w:t>
      </w:r>
      <w:r w:rsidRPr="00DC7C60">
        <w:rPr>
          <w:lang w:val="fr-FR"/>
        </w:rPr>
        <w:t>, M</w:t>
      </w:r>
      <w:r w:rsidRPr="00DC7C60">
        <w:rPr>
          <w:vertAlign w:val="subscript"/>
          <w:lang w:val="fr-FR"/>
        </w:rPr>
        <w:t>2</w:t>
      </w:r>
      <w:r w:rsidRPr="00DC7C60">
        <w:rPr>
          <w:lang w:val="fr-FR"/>
        </w:rPr>
        <w:t xml:space="preserve"> (masse maximale autorisée supérieure à 3 500 kg) et M</w:t>
      </w:r>
      <w:r w:rsidRPr="00DC7C60">
        <w:rPr>
          <w:vertAlign w:val="subscript"/>
          <w:lang w:val="fr-FR"/>
        </w:rPr>
        <w:t>3</w:t>
      </w:r>
      <w:r w:rsidRPr="00DC7C60">
        <w:rPr>
          <w:lang w:val="fr-FR"/>
        </w:rPr>
        <w:t>. Les véhicules de ces catégories ne font l’objet de mesures que dans le cadre de l’essai d’accélération à pleins gaz.</w:t>
      </w:r>
    </w:p>
    <w:p w14:paraId="47A5AE10" w14:textId="77777777" w:rsidR="005F5BE9" w:rsidRPr="00DC7C60" w:rsidRDefault="005F5BE9" w:rsidP="00C57B8E">
      <w:pPr>
        <w:pStyle w:val="SingleTxtG"/>
        <w:keepNext/>
        <w:ind w:left="2268" w:hanging="1134"/>
        <w:jc w:val="left"/>
        <w:rPr>
          <w:rFonts w:asciiTheme="majorBidi" w:hAnsiTheme="majorBidi" w:cstheme="majorBidi"/>
          <w:lang w:val="fr-FR"/>
        </w:rPr>
      </w:pPr>
      <w:r w:rsidRPr="00DC7C60">
        <w:rPr>
          <w:lang w:val="fr-FR"/>
        </w:rPr>
        <w:t>2.5.2</w:t>
      </w:r>
      <w:r w:rsidRPr="00DC7C60">
        <w:rPr>
          <w:lang w:val="fr-FR"/>
        </w:rPr>
        <w:tab/>
      </w:r>
      <w:r w:rsidRPr="00DC7C60">
        <w:rPr>
          <w:lang w:val="fr-FR"/>
        </w:rPr>
        <w:tab/>
        <w:t>Approche adoptée par l’ISO</w:t>
      </w:r>
    </w:p>
    <w:p w14:paraId="3A136F35" w14:textId="77777777" w:rsidR="005F5BE9" w:rsidRPr="00DC7C60" w:rsidRDefault="005F5BE9" w:rsidP="001E7FE5">
      <w:pPr>
        <w:pStyle w:val="SingleTxtG"/>
        <w:ind w:left="2268"/>
        <w:rPr>
          <w:rFonts w:asciiTheme="majorBidi" w:hAnsiTheme="majorBidi" w:cstheme="majorBidi"/>
          <w:lang w:val="fr-FR"/>
        </w:rPr>
      </w:pPr>
      <w:r w:rsidRPr="00DC7C60">
        <w:rPr>
          <w:lang w:val="fr-FR"/>
        </w:rPr>
        <w:t>À partir de la loi de probabilité, de la variance et de l’écart-type, on mesure l’incertitude-type composée. On calcule ensuite la contribution de chacune des grandeurs à l’incertitude globale (en pourcentage), ce qui permet de comprendre facilement l’influence de chaque grandeur sur l’incertitude totale. Le pourcentage est fondé sur l’incertitude totale élargie pour toutes les situations d’essai. Certaines des grandeurs peuvent être compensées (l’influence de la température et des variations de la piste d’essai, par exemple), tandis que d’autres relèvent de l’aléatoire, comme l’exactitude des instruments, et ne peuvent donc être compensées.</w:t>
      </w:r>
    </w:p>
    <w:p w14:paraId="169E2477" w14:textId="77777777" w:rsidR="005F5BE9" w:rsidRPr="00DC7C60" w:rsidRDefault="005F5BE9" w:rsidP="001E7FE5">
      <w:pPr>
        <w:pStyle w:val="SingleTxtG"/>
        <w:ind w:left="2268"/>
        <w:rPr>
          <w:rFonts w:asciiTheme="majorBidi" w:hAnsiTheme="majorBidi" w:cstheme="majorBidi"/>
          <w:lang w:val="fr-FR"/>
        </w:rPr>
      </w:pPr>
      <w:r w:rsidRPr="00DC7C60">
        <w:rPr>
          <w:lang w:val="fr-FR"/>
        </w:rPr>
        <w:t xml:space="preserve">L’incertitude est répartie en quatre catégories : d’un essai à l’autre, d’un jour à l’autre, d’un site à l’autre et d’un véhicule à l’autre. Pour chacune de ces catégories, le budget d’incertitude est calculé séparément pour l’homologation de type, le contrôle de la conformité de la production et les essais sur le terrain. Pour ce qui concerne l’homologation, l’incertitude n’est liée qu’aux variations observées d’un essai à l’autre, alors que pour la conformité de la production, elle concerne également les variations d’un véhicule à l’autre. </w:t>
      </w:r>
    </w:p>
    <w:p w14:paraId="4BE9A566" w14:textId="77777777" w:rsidR="005F5BE9" w:rsidRPr="00DC7C60" w:rsidRDefault="005F5BE9" w:rsidP="00C57B8E">
      <w:pPr>
        <w:pStyle w:val="SingleTxtG"/>
        <w:keepNext/>
        <w:ind w:left="2268" w:hanging="1134"/>
        <w:jc w:val="left"/>
        <w:rPr>
          <w:rFonts w:asciiTheme="majorBidi" w:hAnsiTheme="majorBidi" w:cstheme="majorBidi"/>
          <w:lang w:val="fr-FR"/>
        </w:rPr>
      </w:pPr>
      <w:r w:rsidRPr="00DC7C60">
        <w:rPr>
          <w:lang w:val="fr-FR"/>
        </w:rPr>
        <w:t>2.5.3</w:t>
      </w:r>
      <w:r w:rsidRPr="00DC7C60">
        <w:rPr>
          <w:lang w:val="fr-FR"/>
        </w:rPr>
        <w:tab/>
      </w:r>
      <w:r w:rsidRPr="00DC7C60">
        <w:rPr>
          <w:lang w:val="fr-FR"/>
        </w:rPr>
        <w:tab/>
        <w:t xml:space="preserve">Application </w:t>
      </w:r>
    </w:p>
    <w:p w14:paraId="5D7B0E6C" w14:textId="5CE9890A" w:rsidR="005F5BE9" w:rsidRPr="00DC7C60" w:rsidRDefault="005F5BE9" w:rsidP="001E7FE5">
      <w:pPr>
        <w:pStyle w:val="SingleTxtG"/>
        <w:ind w:left="2268"/>
        <w:rPr>
          <w:rFonts w:asciiTheme="majorBidi" w:hAnsiTheme="majorBidi" w:cstheme="majorBidi"/>
          <w:lang w:val="fr-FR"/>
        </w:rPr>
      </w:pPr>
      <w:r w:rsidRPr="00DC7C60">
        <w:rPr>
          <w:lang w:val="fr-FR"/>
        </w:rPr>
        <w:t xml:space="preserve">Le Règlement </w:t>
      </w:r>
      <w:r w:rsidRPr="00DC7C60">
        <w:t xml:space="preserve">ONU </w:t>
      </w:r>
      <w:r w:rsidRPr="00DC7C60">
        <w:rPr>
          <w:rFonts w:eastAsia="MS Mincho"/>
          <w:lang w:val="fr-FR"/>
        </w:rPr>
        <w:t>n</w:t>
      </w:r>
      <w:r w:rsidRPr="00DC7C60">
        <w:rPr>
          <w:rFonts w:eastAsia="MS Mincho"/>
          <w:vertAlign w:val="superscript"/>
          <w:lang w:val="fr-FR"/>
        </w:rPr>
        <w:t>o</w:t>
      </w:r>
      <w:r w:rsidRPr="00DC7C60">
        <w:rPr>
          <w:lang w:val="fr-FR"/>
        </w:rPr>
        <w:t> </w:t>
      </w:r>
      <w:r w:rsidRPr="00DC7C60">
        <w:t>51</w:t>
      </w:r>
      <w:r w:rsidRPr="00DC7C60">
        <w:rPr>
          <w:lang w:val="fr-FR"/>
        </w:rPr>
        <w:t xml:space="preserve"> ne concerne que les essais d’homologation de type et de contrôle de la conformité de la production. Toutefois, en raison de l’introduction de la surveillance du marché et d’autres types d’essais de conformité des véhicules en circulation, sur la base de ce Règlement ONU, il importe d’inclure l’incertitude liée aux variations observées d’un véhicule à l’autre.</w:t>
      </w:r>
    </w:p>
    <w:p w14:paraId="54E5334E" w14:textId="351B0562" w:rsidR="005F5BE9" w:rsidRPr="00DC7C60" w:rsidRDefault="005F5BE9" w:rsidP="00C57B8E">
      <w:pPr>
        <w:pStyle w:val="SingleTxtG"/>
        <w:keepNext/>
        <w:ind w:left="2268" w:hanging="1134"/>
        <w:jc w:val="left"/>
        <w:rPr>
          <w:rFonts w:asciiTheme="majorBidi" w:hAnsiTheme="majorBidi" w:cstheme="majorBidi"/>
          <w:lang w:val="fr-FR"/>
        </w:rPr>
      </w:pPr>
      <w:r w:rsidRPr="00DC7C60">
        <w:rPr>
          <w:lang w:val="fr-FR"/>
        </w:rPr>
        <w:t>2.5.4</w:t>
      </w:r>
      <w:r w:rsidRPr="00DC7C60">
        <w:rPr>
          <w:lang w:val="fr-FR"/>
        </w:rPr>
        <w:tab/>
      </w:r>
      <w:r w:rsidRPr="00DC7C60">
        <w:rPr>
          <w:lang w:val="fr-FR"/>
        </w:rPr>
        <w:tab/>
        <w:t xml:space="preserve">Estimation de l’incertitude </w:t>
      </w:r>
      <w:r w:rsidR="00270D37">
        <w:rPr>
          <w:lang w:val="fr-FR"/>
        </w:rPr>
        <w:t>−</w:t>
      </w:r>
      <w:r w:rsidRPr="00DC7C60">
        <w:rPr>
          <w:lang w:val="fr-FR"/>
        </w:rPr>
        <w:t xml:space="preserve"> véhicules des catégories M</w:t>
      </w:r>
      <w:r w:rsidRPr="00DC7C60">
        <w:rPr>
          <w:vertAlign w:val="subscript"/>
          <w:lang w:val="fr-FR"/>
        </w:rPr>
        <w:t>1</w:t>
      </w:r>
      <w:r w:rsidRPr="00DC7C60">
        <w:rPr>
          <w:lang w:val="fr-FR"/>
        </w:rPr>
        <w:t>, N</w:t>
      </w:r>
      <w:r w:rsidRPr="00DC7C60">
        <w:rPr>
          <w:vertAlign w:val="subscript"/>
          <w:lang w:val="fr-FR"/>
        </w:rPr>
        <w:t>1</w:t>
      </w:r>
      <w:r w:rsidRPr="00DC7C60">
        <w:rPr>
          <w:lang w:val="fr-FR"/>
        </w:rPr>
        <w:t xml:space="preserve"> et M</w:t>
      </w:r>
      <w:r w:rsidRPr="00DC7C60">
        <w:rPr>
          <w:vertAlign w:val="subscript"/>
          <w:lang w:val="fr-FR"/>
        </w:rPr>
        <w:t>2</w:t>
      </w:r>
      <w:r w:rsidRPr="00DC7C60">
        <w:rPr>
          <w:lang w:val="fr-FR"/>
        </w:rPr>
        <w:t xml:space="preserve"> </w:t>
      </w:r>
      <w:r w:rsidR="00B717B0">
        <w:rPr>
          <w:lang w:val="fr-FR"/>
        </w:rPr>
        <w:br/>
      </w:r>
      <w:r w:rsidRPr="00DC7C60">
        <w:rPr>
          <w:lang w:val="fr-FR"/>
        </w:rPr>
        <w:t>dont la masse maximale autorisée est inférieure ou égale à 3 500 kg</w:t>
      </w:r>
    </w:p>
    <w:p w14:paraId="77EE0AA7" w14:textId="24B69D83" w:rsidR="005F5BE9" w:rsidRPr="00DC7C60" w:rsidRDefault="005F5BE9" w:rsidP="001E7FE5">
      <w:pPr>
        <w:pStyle w:val="SingleTxtG"/>
        <w:ind w:left="2268"/>
        <w:rPr>
          <w:rFonts w:asciiTheme="majorBidi" w:hAnsiTheme="majorBidi" w:cstheme="majorBidi"/>
          <w:lang w:val="fr-FR"/>
        </w:rPr>
      </w:pPr>
      <w:r w:rsidRPr="00DC7C60">
        <w:rPr>
          <w:lang w:val="fr-FR"/>
        </w:rPr>
        <w:t xml:space="preserve">Le tableau 5.1 de l’annexe est fondé sur le Règlement ONU </w:t>
      </w:r>
      <w:r w:rsidRPr="00DC7C60">
        <w:rPr>
          <w:rFonts w:eastAsia="MS Mincho"/>
          <w:lang w:val="fr-FR"/>
        </w:rPr>
        <w:t>n</w:t>
      </w:r>
      <w:r w:rsidRPr="00DC7C60">
        <w:rPr>
          <w:rFonts w:eastAsia="MS Mincho"/>
          <w:vertAlign w:val="superscript"/>
          <w:lang w:val="fr-FR"/>
        </w:rPr>
        <w:t>o</w:t>
      </w:r>
      <w:r w:rsidRPr="00DC7C60">
        <w:rPr>
          <w:lang w:val="fr-FR"/>
        </w:rPr>
        <w:t> 51 jusqu’au complément 6. En cas de modification de ce Règlement ONU, il faut évaluer les éventuelles incidences sur l’incertitude de mesure et, si nécessaire, actualiser les tableaux du présent document d’information.</w:t>
      </w:r>
    </w:p>
    <w:p w14:paraId="021BA846" w14:textId="6800CDE1" w:rsidR="005F5BE9" w:rsidRPr="00DC7C60" w:rsidRDefault="005F5BE9" w:rsidP="00AE0050">
      <w:pPr>
        <w:pStyle w:val="SingleTxtG"/>
        <w:keepNext/>
        <w:spacing w:after="100" w:line="236" w:lineRule="atLeast"/>
        <w:ind w:left="2268" w:hanging="1134"/>
        <w:jc w:val="left"/>
        <w:rPr>
          <w:rFonts w:asciiTheme="majorBidi" w:hAnsiTheme="majorBidi" w:cstheme="majorBidi"/>
          <w:lang w:val="fr-FR"/>
        </w:rPr>
      </w:pPr>
      <w:r w:rsidRPr="00DC7C60">
        <w:rPr>
          <w:lang w:val="fr-FR"/>
        </w:rPr>
        <w:lastRenderedPageBreak/>
        <w:t>2.5.5</w:t>
      </w:r>
      <w:r w:rsidRPr="00DC7C60">
        <w:rPr>
          <w:lang w:val="fr-FR"/>
        </w:rPr>
        <w:tab/>
      </w:r>
      <w:r w:rsidRPr="00DC7C60">
        <w:rPr>
          <w:lang w:val="fr-FR"/>
        </w:rPr>
        <w:tab/>
        <w:t xml:space="preserve">Estimation de l’incertitude </w:t>
      </w:r>
      <w:r w:rsidR="00270D37">
        <w:rPr>
          <w:lang w:val="fr-FR"/>
        </w:rPr>
        <w:t>−</w:t>
      </w:r>
      <w:r w:rsidRPr="00DC7C60">
        <w:rPr>
          <w:lang w:val="fr-FR"/>
        </w:rPr>
        <w:t xml:space="preserve"> véhicules des catégories N</w:t>
      </w:r>
      <w:r w:rsidRPr="00DC7C60">
        <w:rPr>
          <w:vertAlign w:val="subscript"/>
          <w:lang w:val="fr-FR"/>
        </w:rPr>
        <w:t>2</w:t>
      </w:r>
      <w:r w:rsidRPr="00DC7C60">
        <w:rPr>
          <w:lang w:val="fr-FR"/>
        </w:rPr>
        <w:t>, N</w:t>
      </w:r>
      <w:r w:rsidRPr="00DC7C60">
        <w:rPr>
          <w:vertAlign w:val="subscript"/>
          <w:lang w:val="fr-FR"/>
        </w:rPr>
        <w:t>3</w:t>
      </w:r>
      <w:r w:rsidRPr="00DC7C60">
        <w:rPr>
          <w:lang w:val="fr-FR"/>
        </w:rPr>
        <w:t>, M</w:t>
      </w:r>
      <w:r w:rsidRPr="00DC7C60">
        <w:rPr>
          <w:vertAlign w:val="subscript"/>
          <w:lang w:val="fr-FR"/>
        </w:rPr>
        <w:t>2</w:t>
      </w:r>
      <w:r w:rsidRPr="00DC7C60">
        <w:rPr>
          <w:lang w:val="fr-FR"/>
        </w:rPr>
        <w:t xml:space="preserve"> </w:t>
      </w:r>
      <w:r w:rsidR="001E7FE5">
        <w:rPr>
          <w:lang w:val="fr-FR"/>
        </w:rPr>
        <w:br/>
      </w:r>
      <w:r w:rsidRPr="00DC7C60">
        <w:rPr>
          <w:lang w:val="fr-FR"/>
        </w:rPr>
        <w:t>(masse maximale autorisée supérieure à 3 500 kg) et M</w:t>
      </w:r>
      <w:r w:rsidRPr="00DC7C60">
        <w:rPr>
          <w:vertAlign w:val="subscript"/>
          <w:lang w:val="fr-FR"/>
        </w:rPr>
        <w:t>3</w:t>
      </w:r>
    </w:p>
    <w:p w14:paraId="7A1345CA" w14:textId="0BECF5E2"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 xml:space="preserve">Le tableau 5.2 de l’annexe est fondé sur le Règlement ONU </w:t>
      </w:r>
      <w:r w:rsidRPr="00DC7C60">
        <w:rPr>
          <w:rFonts w:eastAsia="MS Mincho"/>
          <w:lang w:val="fr-FR"/>
        </w:rPr>
        <w:t>n</w:t>
      </w:r>
      <w:r w:rsidRPr="00DC7C60">
        <w:rPr>
          <w:rFonts w:eastAsia="MS Mincho"/>
          <w:vertAlign w:val="superscript"/>
          <w:lang w:val="fr-FR"/>
        </w:rPr>
        <w:t>o</w:t>
      </w:r>
      <w:r w:rsidRPr="00DC7C60">
        <w:rPr>
          <w:lang w:val="fr-FR"/>
        </w:rPr>
        <w:t> 51 jusqu’au complément 6. En cas de modification de ce Règlement ONU, il faut évaluer les éventuelles incidences sur l’incertitude de mesure et, si nécessaire, actualiser les tableaux du présent document d’information.</w:t>
      </w:r>
    </w:p>
    <w:p w14:paraId="506957B6" w14:textId="77777777" w:rsidR="005F5BE9" w:rsidRPr="00DC7C60" w:rsidRDefault="005F5BE9" w:rsidP="00AE0050">
      <w:pPr>
        <w:pStyle w:val="SingleTxtG"/>
        <w:keepNext/>
        <w:spacing w:after="100" w:line="236" w:lineRule="atLeast"/>
        <w:ind w:left="2268" w:hanging="1134"/>
        <w:jc w:val="left"/>
        <w:rPr>
          <w:rFonts w:asciiTheme="majorBidi" w:hAnsiTheme="majorBidi" w:cstheme="majorBidi"/>
          <w:lang w:val="fr-FR"/>
        </w:rPr>
      </w:pPr>
      <w:r w:rsidRPr="00DC7C60">
        <w:rPr>
          <w:lang w:val="fr-FR"/>
        </w:rPr>
        <w:t>2.5.6</w:t>
      </w:r>
      <w:r w:rsidRPr="00DC7C60">
        <w:rPr>
          <w:lang w:val="fr-FR"/>
        </w:rPr>
        <w:tab/>
      </w:r>
      <w:r w:rsidRPr="00DC7C60">
        <w:rPr>
          <w:lang w:val="fr-FR"/>
        </w:rPr>
        <w:tab/>
        <w:t>Cas particulier : évaluation de la conformité des véhicules des catégories M et N en circulation</w:t>
      </w:r>
    </w:p>
    <w:p w14:paraId="7456BF4D" w14:textId="7FBA2FD4"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ab/>
        <w:t xml:space="preserve">Le présent paragraphe énonce des spécifications selon la méthode de mesure du niveau sonore décrite dans le Règlement ONU </w:t>
      </w:r>
      <w:r w:rsidRPr="00DC7C60">
        <w:rPr>
          <w:rFonts w:eastAsia="MS Mincho"/>
          <w:lang w:val="fr-FR"/>
        </w:rPr>
        <w:t>n</w:t>
      </w:r>
      <w:r w:rsidRPr="00DC7C60">
        <w:rPr>
          <w:rFonts w:eastAsia="MS Mincho"/>
          <w:vertAlign w:val="superscript"/>
          <w:lang w:val="fr-FR"/>
        </w:rPr>
        <w:t>o</w:t>
      </w:r>
      <w:r w:rsidRPr="00DC7C60">
        <w:rPr>
          <w:lang w:val="fr-FR"/>
        </w:rPr>
        <w:t> 51, lorsque des véhicules en circulation sont choisis aux fins de la vérification de leur conformité aux prescriptions relatives aux émissions sonores extérieures.</w:t>
      </w:r>
    </w:p>
    <w:p w14:paraId="3EF5D32D" w14:textId="1AB27D3B"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Si les spécifications fournies dans le présent paragraphe doivent être clarifiées, se reporter aux prescriptions énoncées aux annexes 3 et 7 de la série</w:t>
      </w:r>
      <w:r w:rsidR="00270D37">
        <w:rPr>
          <w:lang w:val="fr-FR"/>
        </w:rPr>
        <w:t> </w:t>
      </w:r>
      <w:r w:rsidRPr="00DC7C60">
        <w:rPr>
          <w:lang w:val="fr-FR"/>
        </w:rPr>
        <w:t xml:space="preserve">03 d’amendements au Règlement ONU </w:t>
      </w:r>
      <w:r w:rsidRPr="00DC7C60">
        <w:rPr>
          <w:rFonts w:eastAsia="MS Mincho"/>
          <w:lang w:val="fr-FR"/>
        </w:rPr>
        <w:t>n</w:t>
      </w:r>
      <w:r w:rsidRPr="00DC7C60">
        <w:rPr>
          <w:rFonts w:eastAsia="MS Mincho"/>
          <w:vertAlign w:val="superscript"/>
          <w:lang w:val="fr-FR"/>
        </w:rPr>
        <w:t>o</w:t>
      </w:r>
      <w:r w:rsidRPr="00DC7C60">
        <w:rPr>
          <w:lang w:val="fr-FR"/>
        </w:rPr>
        <w:t> 51.</w:t>
      </w:r>
    </w:p>
    <w:p w14:paraId="77B335E4" w14:textId="77777777" w:rsidR="005F5BE9" w:rsidRPr="00DC7C60" w:rsidRDefault="005F5BE9" w:rsidP="00270D37">
      <w:pPr>
        <w:pStyle w:val="SingleTxtG"/>
        <w:keepNext/>
        <w:spacing w:after="100" w:line="236" w:lineRule="atLeast"/>
        <w:ind w:left="2268" w:hanging="1134"/>
        <w:jc w:val="left"/>
        <w:rPr>
          <w:rFonts w:asciiTheme="majorBidi" w:hAnsiTheme="majorBidi" w:cstheme="majorBidi"/>
          <w:lang w:val="fr-FR"/>
        </w:rPr>
      </w:pPr>
      <w:r w:rsidRPr="00DC7C60">
        <w:rPr>
          <w:lang w:val="fr-FR"/>
        </w:rPr>
        <w:t>2.5.6.1</w:t>
      </w:r>
      <w:r w:rsidRPr="00DC7C60">
        <w:rPr>
          <w:lang w:val="fr-FR"/>
        </w:rPr>
        <w:tab/>
      </w:r>
      <w:r w:rsidRPr="00DC7C60">
        <w:rPr>
          <w:lang w:val="fr-FR"/>
        </w:rPr>
        <w:tab/>
        <w:t>Choix du véhicule</w:t>
      </w:r>
    </w:p>
    <w:p w14:paraId="31277626" w14:textId="77777777"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Le véhicule doit être choisi de manière que les critères suivants soient satisfaits :</w:t>
      </w:r>
    </w:p>
    <w:p w14:paraId="51EC4F45" w14:textId="0E121552"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a)</w:t>
      </w:r>
      <w:r w:rsidRPr="00DC7C60">
        <w:rPr>
          <w:lang w:val="fr-FR"/>
        </w:rPr>
        <w:tab/>
        <w:t>Le véhicule n’a jamais subi d’accident</w:t>
      </w:r>
      <w:r w:rsidR="0041530E">
        <w:rPr>
          <w:lang w:val="fr-FR"/>
        </w:rPr>
        <w:t> </w:t>
      </w:r>
      <w:r w:rsidRPr="00DC7C60">
        <w:rPr>
          <w:lang w:val="fr-FR"/>
        </w:rPr>
        <w:t>;</w:t>
      </w:r>
    </w:p>
    <w:p w14:paraId="71A9DE22" w14:textId="5EA5B52D"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b)</w:t>
      </w:r>
      <w:r w:rsidRPr="00DC7C60">
        <w:rPr>
          <w:lang w:val="fr-FR"/>
        </w:rPr>
        <w:tab/>
        <w:t>Le véhicule a moins de 5 ans ou son kilométrage est inférieur à 120</w:t>
      </w:r>
      <w:r w:rsidR="0041530E">
        <w:rPr>
          <w:lang w:val="fr-FR"/>
        </w:rPr>
        <w:t> </w:t>
      </w:r>
      <w:r w:rsidRPr="00DC7C60">
        <w:rPr>
          <w:lang w:val="fr-FR"/>
        </w:rPr>
        <w:t>000</w:t>
      </w:r>
      <w:r w:rsidR="0041530E">
        <w:rPr>
          <w:lang w:val="fr-FR"/>
        </w:rPr>
        <w:t> </w:t>
      </w:r>
      <w:r w:rsidRPr="00DC7C60">
        <w:rPr>
          <w:lang w:val="fr-FR"/>
        </w:rPr>
        <w:t>km, la première échéance étant retenue</w:t>
      </w:r>
      <w:r w:rsidR="0041530E">
        <w:rPr>
          <w:lang w:val="fr-FR"/>
        </w:rPr>
        <w:t> </w:t>
      </w:r>
      <w:r w:rsidRPr="00DC7C60">
        <w:rPr>
          <w:lang w:val="fr-FR"/>
        </w:rPr>
        <w:t>;</w:t>
      </w:r>
    </w:p>
    <w:p w14:paraId="1CBBB6EA" w14:textId="0AE8DED6"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c)</w:t>
      </w:r>
      <w:r w:rsidRPr="00DC7C60">
        <w:rPr>
          <w:lang w:val="fr-FR"/>
        </w:rPr>
        <w:tab/>
        <w:t>La périodicité des contrôles définie par le constructeur du véhicule est pleinement respectée et le véhicule est entretenu en conséquence</w:t>
      </w:r>
      <w:r w:rsidR="0041530E">
        <w:rPr>
          <w:lang w:val="fr-FR"/>
        </w:rPr>
        <w:t> </w:t>
      </w:r>
      <w:r w:rsidRPr="00DC7C60">
        <w:rPr>
          <w:lang w:val="fr-FR"/>
        </w:rPr>
        <w:t>;</w:t>
      </w:r>
    </w:p>
    <w:p w14:paraId="6864EC86" w14:textId="41A02EFE"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d)</w:t>
      </w:r>
      <w:r w:rsidRPr="00DC7C60">
        <w:rPr>
          <w:lang w:val="fr-FR"/>
        </w:rPr>
        <w:tab/>
        <w:t>Les pièces de rechange montées, le cas échéant, notamment les composants relatifs aux émissions sonores (indiqués dans le dossier d’homologation de type du véhicule), sont des pièces d’origine</w:t>
      </w:r>
      <w:r w:rsidR="0041530E">
        <w:rPr>
          <w:lang w:val="fr-FR"/>
        </w:rPr>
        <w:t> </w:t>
      </w:r>
      <w:r w:rsidRPr="00DC7C60">
        <w:rPr>
          <w:lang w:val="fr-FR"/>
        </w:rPr>
        <w:t>;</w:t>
      </w:r>
    </w:p>
    <w:p w14:paraId="02D2AF65" w14:textId="285C2F4F" w:rsidR="005F5BE9" w:rsidRPr="00DC7C60" w:rsidRDefault="005F5BE9" w:rsidP="00AE0050">
      <w:pPr>
        <w:pStyle w:val="SingleTxtG"/>
        <w:spacing w:after="100" w:line="236" w:lineRule="atLeast"/>
        <w:ind w:left="2835" w:hanging="567"/>
        <w:rPr>
          <w:lang w:val="fr-FR"/>
        </w:rPr>
      </w:pPr>
      <w:r w:rsidRPr="00DC7C60">
        <w:rPr>
          <w:lang w:val="fr-FR"/>
        </w:rPr>
        <w:t>e)</w:t>
      </w:r>
      <w:r w:rsidRPr="00DC7C60">
        <w:rPr>
          <w:lang w:val="fr-FR"/>
        </w:rPr>
        <w:tab/>
        <w:t>L’historique d’utilisation du véhicule est représentatif d’une utilisation normale. On ne doit pas choisir un véhicule ayant fait l’objet d’une conduite sortant du cadre normal, notamment dans le cas d’une course en club ou de rue</w:t>
      </w:r>
      <w:r w:rsidR="0041530E">
        <w:rPr>
          <w:lang w:val="fr-FR"/>
        </w:rPr>
        <w:t> </w:t>
      </w:r>
      <w:r w:rsidRPr="00DC7C60">
        <w:rPr>
          <w:lang w:val="fr-FR"/>
        </w:rPr>
        <w:t>;</w:t>
      </w:r>
    </w:p>
    <w:p w14:paraId="679F5994" w14:textId="546C2CAE" w:rsidR="005F5BE9" w:rsidRPr="00DC7C60" w:rsidRDefault="005F5BE9" w:rsidP="00AE0050">
      <w:pPr>
        <w:pStyle w:val="SingleTxtG"/>
        <w:spacing w:after="100" w:line="236" w:lineRule="atLeast"/>
        <w:ind w:left="2835" w:hanging="567"/>
        <w:rPr>
          <w:lang w:val="fr-FR"/>
        </w:rPr>
      </w:pPr>
      <w:r w:rsidRPr="00DC7C60">
        <w:rPr>
          <w:lang w:val="fr-FR"/>
        </w:rPr>
        <w:t>f)</w:t>
      </w:r>
      <w:r w:rsidRPr="00DC7C60">
        <w:rPr>
          <w:lang w:val="fr-FR"/>
        </w:rPr>
        <w:tab/>
        <w:t>Les pneumatiques sont en bon état, c’est-à-dire qu’ils s’usent régulièrement, qu’ils ne présentent aucun dommage apparent, qu’ils n’ont pas plus de deux ans et que leur kilométrage est inférieur à 10</w:t>
      </w:r>
      <w:r w:rsidR="0041530E">
        <w:rPr>
          <w:lang w:val="fr-FR"/>
        </w:rPr>
        <w:t> </w:t>
      </w:r>
      <w:r w:rsidRPr="00DC7C60">
        <w:rPr>
          <w:lang w:val="fr-FR"/>
        </w:rPr>
        <w:t>000</w:t>
      </w:r>
      <w:r w:rsidR="0041530E">
        <w:rPr>
          <w:lang w:val="fr-FR"/>
        </w:rPr>
        <w:t> </w:t>
      </w:r>
      <w:r w:rsidRPr="00DC7C60">
        <w:rPr>
          <w:lang w:val="fr-FR"/>
        </w:rPr>
        <w:t>km</w:t>
      </w:r>
      <w:r w:rsidR="0041530E">
        <w:rPr>
          <w:lang w:val="fr-FR"/>
        </w:rPr>
        <w:t> </w:t>
      </w:r>
      <w:r w:rsidRPr="00DC7C60">
        <w:rPr>
          <w:lang w:val="fr-FR"/>
        </w:rPr>
        <w:t>;</w:t>
      </w:r>
    </w:p>
    <w:p w14:paraId="673C8331" w14:textId="3A8EB517"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g)</w:t>
      </w:r>
      <w:r w:rsidRPr="00DC7C60">
        <w:rPr>
          <w:rFonts w:asciiTheme="majorBidi" w:hAnsiTheme="majorBidi" w:cstheme="majorBidi"/>
          <w:lang w:val="fr-FR"/>
        </w:rPr>
        <w:tab/>
      </w:r>
      <w:r w:rsidRPr="00DC7C60">
        <w:rPr>
          <w:lang w:val="fr-FR"/>
        </w:rPr>
        <w:t>Le véhicule est équipé des composants matériels et logiciels d’origine pour le moteur, le groupe motopropulseur et tout élément ayant une influence sur les émissions sonores du véhicule, comme les systèmes d’échappement actifs, les dispositifs servant à renforcer la présence sonore du véhicule, etc.</w:t>
      </w:r>
      <w:r w:rsidR="0041530E">
        <w:rPr>
          <w:lang w:val="fr-FR"/>
        </w:rPr>
        <w:t> </w:t>
      </w:r>
      <w:r w:rsidRPr="00DC7C60">
        <w:rPr>
          <w:lang w:val="fr-FR"/>
        </w:rPr>
        <w:t>;</w:t>
      </w:r>
    </w:p>
    <w:p w14:paraId="1781EC62" w14:textId="77777777" w:rsidR="005F5BE9" w:rsidRPr="00DC7C60" w:rsidRDefault="005F5BE9" w:rsidP="00AE0050">
      <w:pPr>
        <w:pStyle w:val="SingleTxtG"/>
        <w:spacing w:after="100" w:line="236" w:lineRule="atLeast"/>
        <w:ind w:left="2835" w:hanging="567"/>
        <w:rPr>
          <w:rFonts w:asciiTheme="majorBidi" w:hAnsiTheme="majorBidi" w:cstheme="majorBidi"/>
          <w:lang w:val="fr-FR"/>
        </w:rPr>
      </w:pPr>
      <w:r w:rsidRPr="00DC7C60">
        <w:rPr>
          <w:lang w:val="fr-FR"/>
        </w:rPr>
        <w:t>i)</w:t>
      </w:r>
      <w:r w:rsidRPr="00DC7C60">
        <w:rPr>
          <w:lang w:val="fr-FR"/>
        </w:rPr>
        <w:tab/>
        <w:t>Aucun équipement optionnel (galeries de toit ou porte-vélos, par exemple) pouvant avoir une incidence sur les émissions sonores du véhicule n’a été monté sur celui-ci.</w:t>
      </w:r>
    </w:p>
    <w:p w14:paraId="6E562F8F" w14:textId="7A27A313" w:rsidR="005F5BE9" w:rsidRPr="00DC7C60" w:rsidRDefault="005F5BE9" w:rsidP="00AE0050">
      <w:pPr>
        <w:pStyle w:val="SingleTxtG"/>
        <w:keepNext/>
        <w:spacing w:after="100" w:line="236" w:lineRule="atLeast"/>
        <w:ind w:left="2268" w:hanging="1134"/>
        <w:jc w:val="left"/>
        <w:rPr>
          <w:rFonts w:asciiTheme="majorBidi" w:hAnsiTheme="majorBidi" w:cstheme="majorBidi"/>
          <w:lang w:val="fr-FR"/>
        </w:rPr>
      </w:pPr>
      <w:r w:rsidRPr="00DC7C60">
        <w:rPr>
          <w:lang w:val="fr-FR"/>
        </w:rPr>
        <w:t>2.5.6.2</w:t>
      </w:r>
      <w:r w:rsidRPr="00DC7C60">
        <w:rPr>
          <w:lang w:val="fr-FR"/>
        </w:rPr>
        <w:tab/>
        <w:t>Préparation pour les essais</w:t>
      </w:r>
    </w:p>
    <w:p w14:paraId="7B6B777C" w14:textId="288B818A"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 xml:space="preserve">Avant d’effectuer des essais sur le véhicule choisi, on doit mettre en température le moteur du véhicule, le système de refroidissement, le système d’échappement et les pneumatiques conformément aux spécifications du Règlement ONU </w:t>
      </w:r>
      <w:r w:rsidRPr="00DC7C60">
        <w:rPr>
          <w:rFonts w:eastAsia="MS Mincho"/>
          <w:lang w:val="fr-FR"/>
        </w:rPr>
        <w:t>n</w:t>
      </w:r>
      <w:r w:rsidRPr="00DC7C60">
        <w:rPr>
          <w:rFonts w:eastAsia="MS Mincho"/>
          <w:vertAlign w:val="superscript"/>
          <w:lang w:val="fr-FR"/>
        </w:rPr>
        <w:t>o</w:t>
      </w:r>
      <w:r w:rsidRPr="00DC7C60">
        <w:rPr>
          <w:lang w:val="fr-FR"/>
        </w:rPr>
        <w:t> 51.</w:t>
      </w:r>
    </w:p>
    <w:p w14:paraId="64D3B7AC" w14:textId="77777777" w:rsidR="005F5BE9" w:rsidRPr="00DC7C60" w:rsidRDefault="005F5BE9" w:rsidP="00AE0050">
      <w:pPr>
        <w:pStyle w:val="SingleTxtG"/>
        <w:spacing w:after="100" w:line="236" w:lineRule="atLeast"/>
        <w:ind w:left="2268"/>
        <w:rPr>
          <w:rFonts w:asciiTheme="majorBidi" w:hAnsiTheme="majorBidi" w:cstheme="majorBidi"/>
          <w:lang w:val="fr-FR"/>
        </w:rPr>
      </w:pPr>
      <w:r w:rsidRPr="00DC7C60">
        <w:rPr>
          <w:lang w:val="fr-FR"/>
        </w:rPr>
        <w:tab/>
        <w:t>Si le véhicule est équipé de batteries de propulsion, le niveau de charge de celles-ci doit être suffisant pour activer les principales fonctions d’après les spécifications du constructeur. La température des batteries doit également permettre d’activer les principales fonctions. Tout autre type de système rechargeable de stockage de l’énergie électrique (SRSEE) doit être prêt à fonctionner au cours de l’essai.</w:t>
      </w:r>
    </w:p>
    <w:p w14:paraId="293A236B" w14:textId="77777777" w:rsidR="005F5BE9" w:rsidRPr="00DC7C60" w:rsidRDefault="005F5BE9" w:rsidP="00C9185D">
      <w:pPr>
        <w:pStyle w:val="SingleTxtG"/>
        <w:ind w:left="2268"/>
        <w:rPr>
          <w:rFonts w:asciiTheme="majorBidi" w:hAnsiTheme="majorBidi" w:cstheme="majorBidi"/>
          <w:lang w:val="fr-FR"/>
        </w:rPr>
      </w:pPr>
      <w:r w:rsidRPr="00DC7C60">
        <w:rPr>
          <w:lang w:val="fr-FR"/>
        </w:rPr>
        <w:lastRenderedPageBreak/>
        <w:t>La pression de gonflage des pneumatiques spécifiée par le fabricant doit être respectée. Les roues du véhicule doivent être équilibrées statiquement et dynamiquement.</w:t>
      </w:r>
    </w:p>
    <w:p w14:paraId="366D82DC" w14:textId="77777777" w:rsidR="005F5BE9" w:rsidRPr="00DC7C60" w:rsidRDefault="005F5BE9" w:rsidP="00C9185D">
      <w:pPr>
        <w:pStyle w:val="SingleTxtG"/>
        <w:ind w:left="2268"/>
        <w:rPr>
          <w:rFonts w:asciiTheme="majorBidi" w:hAnsiTheme="majorBidi" w:cstheme="majorBidi"/>
          <w:lang w:val="fr-FR"/>
        </w:rPr>
      </w:pPr>
      <w:r w:rsidRPr="00DC7C60">
        <w:rPr>
          <w:lang w:val="fr-FR"/>
        </w:rPr>
        <w:tab/>
        <w:t>La qualité du carburant doit être conforme aux spécifications du constructeur concernant la puissance nominale du moteur.</w:t>
      </w:r>
    </w:p>
    <w:p w14:paraId="2241F43C" w14:textId="77777777" w:rsidR="005F5BE9" w:rsidRPr="00DC7C60" w:rsidRDefault="005F5BE9" w:rsidP="00C9185D">
      <w:pPr>
        <w:pStyle w:val="SingleTxtG"/>
        <w:keepNext/>
        <w:ind w:left="2268" w:hanging="1134"/>
        <w:jc w:val="left"/>
        <w:rPr>
          <w:rFonts w:asciiTheme="majorBidi" w:hAnsiTheme="majorBidi" w:cstheme="majorBidi"/>
          <w:lang w:val="fr-FR"/>
        </w:rPr>
      </w:pPr>
      <w:r w:rsidRPr="00DC7C60">
        <w:rPr>
          <w:lang w:val="fr-FR"/>
        </w:rPr>
        <w:t>2.5.6.3</w:t>
      </w:r>
      <w:r w:rsidRPr="00DC7C60">
        <w:rPr>
          <w:lang w:val="fr-FR"/>
        </w:rPr>
        <w:tab/>
        <w:t>Pendant les essais</w:t>
      </w:r>
    </w:p>
    <w:p w14:paraId="5743721E" w14:textId="1DF83BDD" w:rsidR="005F5BE9" w:rsidRPr="00DC7C60" w:rsidRDefault="005F5BE9" w:rsidP="00C9185D">
      <w:pPr>
        <w:pStyle w:val="SingleTxtG"/>
        <w:ind w:left="2268"/>
        <w:rPr>
          <w:rFonts w:asciiTheme="majorBidi" w:hAnsiTheme="majorBidi" w:cstheme="majorBidi"/>
          <w:lang w:val="fr-FR"/>
        </w:rPr>
      </w:pPr>
      <w:r w:rsidRPr="00DC7C60">
        <w:rPr>
          <w:lang w:val="fr-FR"/>
        </w:rPr>
        <w:tab/>
        <w:t>Les essais sur les véhicules sont réalisés conformément aux procédures appliquées pour l’homologation de type de ces véhicules. On utilise la même pré</w:t>
      </w:r>
      <w:r w:rsidR="0028648C">
        <w:rPr>
          <w:lang w:val="fr-FR"/>
        </w:rPr>
        <w:noBreakHyphen/>
      </w:r>
      <w:r w:rsidRPr="00DC7C60">
        <w:rPr>
          <w:lang w:val="fr-FR"/>
        </w:rPr>
        <w:t>accélération que celle indiquée dans le procès-verbal d’essai.</w:t>
      </w:r>
    </w:p>
    <w:p w14:paraId="517DDE4F" w14:textId="6F715EA7" w:rsidR="005F5BE9" w:rsidRPr="00DC7C60" w:rsidRDefault="005F5BE9" w:rsidP="00C9185D">
      <w:pPr>
        <w:pStyle w:val="SingleTxtG"/>
        <w:ind w:left="2268"/>
        <w:rPr>
          <w:rFonts w:asciiTheme="majorBidi" w:hAnsiTheme="majorBidi" w:cstheme="majorBidi"/>
          <w:lang w:val="fr-FR"/>
        </w:rPr>
      </w:pPr>
      <w:r w:rsidRPr="00DC7C60">
        <w:rPr>
          <w:lang w:val="fr-FR"/>
        </w:rPr>
        <w:t xml:space="preserve">L’écart des résultats peut être réduit si </w:t>
      </w:r>
      <w:r w:rsidR="0028648C">
        <w:rPr>
          <w:lang w:val="fr-FR"/>
        </w:rPr>
        <w:t>1 min</w:t>
      </w:r>
      <w:r w:rsidRPr="00DC7C60">
        <w:rPr>
          <w:lang w:val="fr-FR"/>
        </w:rPr>
        <w:t xml:space="preserve"> au ralenti est observée entre deux parcours. </w:t>
      </w:r>
    </w:p>
    <w:p w14:paraId="64C66EBD" w14:textId="77777777" w:rsidR="005F5BE9" w:rsidRPr="00DC7C60" w:rsidRDefault="005F5BE9" w:rsidP="00C9185D">
      <w:pPr>
        <w:pStyle w:val="SingleTxtG"/>
        <w:ind w:left="2268"/>
        <w:rPr>
          <w:rFonts w:asciiTheme="majorBidi" w:hAnsiTheme="majorBidi" w:cstheme="majorBidi"/>
          <w:lang w:val="fr-FR"/>
        </w:rPr>
      </w:pPr>
      <w:r w:rsidRPr="00DC7C60">
        <w:rPr>
          <w:lang w:val="fr-FR"/>
        </w:rPr>
        <w:t>Les données de la documentation relative à l’évaluation de la conformité doivent au moins correspondre à celles du procès-verbal d’essai pour l’homologation de type, par exemple la température de l’air, la pression de l’air et l’humidité.</w:t>
      </w:r>
    </w:p>
    <w:p w14:paraId="2B933409" w14:textId="77777777" w:rsidR="005F5BE9" w:rsidRPr="00DC7C60" w:rsidRDefault="005F5BE9" w:rsidP="00C9185D">
      <w:pPr>
        <w:pStyle w:val="SingleTxtG"/>
        <w:ind w:left="2268"/>
        <w:rPr>
          <w:rFonts w:asciiTheme="majorBidi" w:hAnsiTheme="majorBidi" w:cstheme="majorBidi"/>
          <w:lang w:val="fr-FR"/>
        </w:rPr>
      </w:pPr>
      <w:r w:rsidRPr="00DC7C60">
        <w:rPr>
          <w:lang w:val="fr-FR"/>
        </w:rPr>
        <w:tab/>
        <w:t>Pendant les essais, aucun équipement antipollution, tel qu’un filtre à particules ou un filtre à NO</w:t>
      </w:r>
      <w:r w:rsidRPr="0028648C">
        <w:rPr>
          <w:vertAlign w:val="subscript"/>
          <w:lang w:val="fr-FR"/>
        </w:rPr>
        <w:t>x</w:t>
      </w:r>
      <w:r w:rsidRPr="00DC7C60">
        <w:rPr>
          <w:lang w:val="fr-FR"/>
        </w:rPr>
        <w:t>, ne doit être régénéré. Le cas échéant, la mesure doit être invalidée.</w:t>
      </w:r>
    </w:p>
    <w:p w14:paraId="493FFBE9" w14:textId="77777777" w:rsidR="005F5BE9" w:rsidRPr="00DC7C60" w:rsidRDefault="005F5BE9" w:rsidP="00C9185D">
      <w:pPr>
        <w:pStyle w:val="SingleTxtG"/>
        <w:keepNext/>
        <w:ind w:left="2268" w:hanging="1134"/>
        <w:jc w:val="left"/>
        <w:rPr>
          <w:rFonts w:asciiTheme="majorBidi" w:hAnsiTheme="majorBidi" w:cstheme="majorBidi"/>
          <w:lang w:val="fr-FR"/>
        </w:rPr>
      </w:pPr>
      <w:r w:rsidRPr="00DC7C60">
        <w:rPr>
          <w:lang w:val="fr-FR"/>
        </w:rPr>
        <w:t>2.5.6.4</w:t>
      </w:r>
      <w:r w:rsidRPr="00DC7C60">
        <w:rPr>
          <w:lang w:val="fr-FR"/>
        </w:rPr>
        <w:tab/>
        <w:t>Considérations relatives à l’incertitude de mesure des essais sur des véhicules en circulation</w:t>
      </w:r>
    </w:p>
    <w:p w14:paraId="36AFEDCA" w14:textId="7EBA4978" w:rsidR="005F5BE9" w:rsidRPr="00DC7C60" w:rsidRDefault="005F5BE9" w:rsidP="00C9185D">
      <w:pPr>
        <w:pStyle w:val="SingleTxtG"/>
        <w:ind w:left="2268"/>
        <w:rPr>
          <w:rFonts w:asciiTheme="majorBidi" w:hAnsiTheme="majorBidi" w:cstheme="majorBidi"/>
          <w:lang w:val="fr-FR"/>
        </w:rPr>
      </w:pPr>
      <w:r w:rsidRPr="00DC7C60">
        <w:rPr>
          <w:lang w:val="fr-FR"/>
        </w:rPr>
        <w:tab/>
        <w:t xml:space="preserve">Après la mesure, des mesures supplémentaires du bruit de roulement des pneumatiques doivent être effectuées conformément au complément 7 à la série 03 d’amendements au Règlement ONU </w:t>
      </w:r>
      <w:r w:rsidRPr="00DC7C60">
        <w:rPr>
          <w:rFonts w:eastAsia="MS Mincho"/>
          <w:lang w:val="fr-FR"/>
        </w:rPr>
        <w:t>n</w:t>
      </w:r>
      <w:r w:rsidRPr="00DC7C60">
        <w:rPr>
          <w:rFonts w:eastAsia="MS Mincho"/>
          <w:vertAlign w:val="superscript"/>
          <w:lang w:val="fr-FR"/>
        </w:rPr>
        <w:t>o</w:t>
      </w:r>
      <w:r w:rsidRPr="00DC7C60">
        <w:rPr>
          <w:lang w:val="fr-FR"/>
        </w:rPr>
        <w:t> 51 ou à des versions ultérieures dudit Règlement.</w:t>
      </w:r>
    </w:p>
    <w:p w14:paraId="1642378D" w14:textId="6E17FDB0" w:rsidR="005F5BE9" w:rsidRPr="00DC7C60" w:rsidRDefault="005F5BE9" w:rsidP="00C9185D">
      <w:pPr>
        <w:pStyle w:val="SingleTxtG"/>
        <w:ind w:left="2268"/>
        <w:rPr>
          <w:rFonts w:asciiTheme="majorBidi" w:hAnsiTheme="majorBidi" w:cstheme="majorBidi"/>
          <w:lang w:val="fr-FR"/>
        </w:rPr>
      </w:pPr>
      <w:r w:rsidRPr="00DC7C60">
        <w:rPr>
          <w:lang w:val="fr-FR"/>
        </w:rPr>
        <w:tab/>
        <w:t>S’il existe des données de référence relatives au bruit de roulement des pneumatiques conformes au cas 2 du complément 7 à la série</w:t>
      </w:r>
      <w:r w:rsidR="0028648C">
        <w:rPr>
          <w:lang w:val="fr-FR"/>
        </w:rPr>
        <w:t> </w:t>
      </w:r>
      <w:r w:rsidRPr="00DC7C60">
        <w:rPr>
          <w:lang w:val="fr-FR"/>
        </w:rPr>
        <w:t xml:space="preserve">03 d’amendements au Règlement ONU </w:t>
      </w:r>
      <w:r w:rsidRPr="00DC7C60">
        <w:rPr>
          <w:rFonts w:eastAsia="MS Mincho"/>
          <w:lang w:val="fr-FR"/>
        </w:rPr>
        <w:t>n</w:t>
      </w:r>
      <w:r w:rsidRPr="00DC7C60">
        <w:rPr>
          <w:rFonts w:eastAsia="MS Mincho"/>
          <w:vertAlign w:val="superscript"/>
          <w:lang w:val="fr-FR"/>
        </w:rPr>
        <w:t>o</w:t>
      </w:r>
      <w:r w:rsidRPr="00DC7C60">
        <w:rPr>
          <w:lang w:val="fr-FR"/>
        </w:rPr>
        <w:t xml:space="preserve"> 51 ou de versions ultérieures dudit Règlement, le bruit de roulement des pneumatiques doit être normalisé en conséquence. </w:t>
      </w:r>
    </w:p>
    <w:p w14:paraId="0559D58C" w14:textId="4C5989AB" w:rsidR="005F5BE9" w:rsidRPr="00DC7C60" w:rsidRDefault="005F5BE9" w:rsidP="00C9185D">
      <w:pPr>
        <w:pStyle w:val="SingleTxtG"/>
        <w:ind w:left="2268"/>
        <w:rPr>
          <w:rFonts w:asciiTheme="majorBidi" w:hAnsiTheme="majorBidi" w:cstheme="majorBidi"/>
          <w:lang w:val="fr-FR"/>
        </w:rPr>
      </w:pPr>
      <w:r w:rsidRPr="00DC7C60">
        <w:rPr>
          <w:lang w:val="fr-FR"/>
        </w:rPr>
        <w:tab/>
        <w:t xml:space="preserve">Si aucune donnée de référence n’est disponible, le bruit de roulement des pneumatiques doit être corrigé en fonction de la température de référence conformément au cas 1 du complément 7 à la série 03 d’amendements au Règlement ONU </w:t>
      </w:r>
      <w:r w:rsidRPr="00DC7C60">
        <w:rPr>
          <w:rFonts w:eastAsia="MS Mincho"/>
          <w:lang w:val="fr-FR"/>
        </w:rPr>
        <w:t>n</w:t>
      </w:r>
      <w:r w:rsidRPr="00DC7C60">
        <w:rPr>
          <w:rFonts w:eastAsia="MS Mincho"/>
          <w:vertAlign w:val="superscript"/>
          <w:lang w:val="fr-FR"/>
        </w:rPr>
        <w:t>o</w:t>
      </w:r>
      <w:r w:rsidRPr="00DC7C60">
        <w:rPr>
          <w:lang w:val="fr-FR"/>
        </w:rPr>
        <w:t> 51 ou de versions ultérieures dudit Règlement.</w:t>
      </w:r>
    </w:p>
    <w:p w14:paraId="62620D9C" w14:textId="67A0744C" w:rsidR="005F5BE9" w:rsidRPr="00DC7C60" w:rsidRDefault="005F5BE9" w:rsidP="00C9185D">
      <w:pPr>
        <w:pStyle w:val="SingleTxtG"/>
        <w:ind w:left="2268"/>
        <w:rPr>
          <w:rFonts w:asciiTheme="majorBidi" w:hAnsiTheme="majorBidi" w:cstheme="majorBidi"/>
          <w:lang w:val="fr-FR"/>
        </w:rPr>
      </w:pPr>
      <w:r w:rsidRPr="00DC7C60">
        <w:rPr>
          <w:lang w:val="fr-FR"/>
        </w:rPr>
        <w:tab/>
        <w:t>Compte tenu des limites de tolérance définies selon les différentes conditions de mesure, il sera nécessaire de prévoir une marge par rapport à la valeur correspondante enregistrée au moment de l’homologation de type, fondée sur le tableau relatif à l’incertitude de mesure (« Incertitude élargie (95</w:t>
      </w:r>
      <w:r w:rsidR="00E71706">
        <w:rPr>
          <w:lang w:val="fr-FR"/>
        </w:rPr>
        <w:t> </w:t>
      </w:r>
      <w:r w:rsidRPr="00DC7C60">
        <w:rPr>
          <w:lang w:val="fr-FR"/>
        </w:rPr>
        <w:t xml:space="preserve">%) » des « essais sur le terrain ») figurant à l’annexe 5 du présent document d’information. </w:t>
      </w:r>
    </w:p>
    <w:p w14:paraId="66B10AE3" w14:textId="706E023A" w:rsidR="005F5BE9" w:rsidRPr="00DC7C60" w:rsidRDefault="005F5BE9" w:rsidP="00C9185D">
      <w:pPr>
        <w:pStyle w:val="SingleTxtG"/>
        <w:keepNext/>
        <w:ind w:left="2268" w:hanging="1134"/>
        <w:jc w:val="left"/>
      </w:pPr>
      <w:r w:rsidRPr="00DC7C60">
        <w:t xml:space="preserve">2.6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54</w:t>
      </w:r>
    </w:p>
    <w:p w14:paraId="30FB91EA" w14:textId="77777777" w:rsidR="005F5BE9" w:rsidRPr="00DC7C60" w:rsidRDefault="005F5BE9" w:rsidP="005F5BE9">
      <w:pPr>
        <w:spacing w:after="120"/>
        <w:ind w:left="1701" w:right="1134" w:firstLine="567"/>
        <w:jc w:val="both"/>
        <w:rPr>
          <w:rFonts w:asciiTheme="majorBidi" w:hAnsiTheme="majorBidi" w:cstheme="majorBidi"/>
          <w:lang w:val="fr-FR"/>
        </w:rPr>
      </w:pPr>
      <w:r w:rsidRPr="00DC7C60">
        <w:rPr>
          <w:lang w:val="fr-FR"/>
        </w:rPr>
        <w:t>(Réservé)</w:t>
      </w:r>
    </w:p>
    <w:p w14:paraId="3E19839E" w14:textId="25C7B1CD" w:rsidR="005F5BE9" w:rsidRPr="00DC7C60" w:rsidRDefault="005F5BE9" w:rsidP="00C9185D">
      <w:pPr>
        <w:pStyle w:val="SingleTxtG"/>
        <w:keepNext/>
        <w:ind w:left="2268" w:hanging="1134"/>
        <w:jc w:val="left"/>
      </w:pPr>
      <w:r w:rsidRPr="00DC7C60">
        <w:t xml:space="preserve">2.7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59</w:t>
      </w:r>
    </w:p>
    <w:p w14:paraId="73DB146B" w14:textId="77777777" w:rsidR="005F5BE9" w:rsidRPr="00DC7C60" w:rsidRDefault="005F5BE9" w:rsidP="005F5BE9">
      <w:pPr>
        <w:spacing w:after="120"/>
        <w:ind w:left="1701" w:right="1134" w:firstLine="567"/>
        <w:jc w:val="both"/>
        <w:rPr>
          <w:rFonts w:asciiTheme="majorBidi" w:hAnsiTheme="majorBidi" w:cstheme="majorBidi"/>
          <w:lang w:val="fr-FR"/>
        </w:rPr>
      </w:pPr>
      <w:r w:rsidRPr="00DC7C60">
        <w:rPr>
          <w:lang w:val="fr-FR"/>
        </w:rPr>
        <w:t>(Réservé)</w:t>
      </w:r>
    </w:p>
    <w:p w14:paraId="36AB4CC6" w14:textId="1355A82F" w:rsidR="005F5BE9" w:rsidRPr="00DC7C60" w:rsidRDefault="005F5BE9" w:rsidP="00C9185D">
      <w:pPr>
        <w:pStyle w:val="SingleTxtG"/>
        <w:keepNext/>
        <w:ind w:left="2268" w:hanging="1134"/>
        <w:jc w:val="left"/>
      </w:pPr>
      <w:r w:rsidRPr="00DC7C60">
        <w:t xml:space="preserve">2.8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63</w:t>
      </w:r>
    </w:p>
    <w:p w14:paraId="64AD242A" w14:textId="77777777" w:rsidR="005F5BE9" w:rsidRPr="00DC7C60" w:rsidRDefault="005F5BE9" w:rsidP="005F5BE9">
      <w:pPr>
        <w:spacing w:after="120"/>
        <w:ind w:left="1701" w:right="1134" w:firstLine="567"/>
        <w:jc w:val="both"/>
        <w:rPr>
          <w:rFonts w:asciiTheme="majorBidi" w:hAnsiTheme="majorBidi" w:cstheme="majorBidi"/>
          <w:lang w:val="fr-FR"/>
        </w:rPr>
      </w:pPr>
      <w:r w:rsidRPr="00DC7C60">
        <w:rPr>
          <w:lang w:val="fr-FR"/>
        </w:rPr>
        <w:t>(Réservé)</w:t>
      </w:r>
    </w:p>
    <w:p w14:paraId="61515019" w14:textId="240712AC" w:rsidR="005F5BE9" w:rsidRPr="00DC7C60" w:rsidRDefault="005F5BE9" w:rsidP="00C9185D">
      <w:pPr>
        <w:pStyle w:val="SingleTxtG"/>
        <w:keepNext/>
        <w:ind w:left="2268" w:hanging="1134"/>
        <w:jc w:val="left"/>
      </w:pPr>
      <w:r w:rsidRPr="00DC7C60">
        <w:t xml:space="preserve">2.9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64</w:t>
      </w:r>
    </w:p>
    <w:p w14:paraId="077ABE0E" w14:textId="77777777" w:rsidR="005F5BE9" w:rsidRPr="00DC7C60" w:rsidRDefault="005F5BE9" w:rsidP="005F5BE9">
      <w:pPr>
        <w:spacing w:after="120"/>
        <w:ind w:left="1701" w:right="1134" w:firstLine="567"/>
        <w:jc w:val="both"/>
        <w:rPr>
          <w:rFonts w:asciiTheme="majorBidi" w:hAnsiTheme="majorBidi" w:cstheme="majorBidi"/>
          <w:lang w:val="fr-FR"/>
        </w:rPr>
      </w:pPr>
      <w:r w:rsidRPr="00DC7C60">
        <w:rPr>
          <w:lang w:val="fr-FR"/>
        </w:rPr>
        <w:t>(Réservé)</w:t>
      </w:r>
    </w:p>
    <w:p w14:paraId="0AD9D2F1" w14:textId="1EF5BAA9" w:rsidR="005F5BE9" w:rsidRPr="00DC7C60" w:rsidRDefault="005F5BE9" w:rsidP="00C9185D">
      <w:pPr>
        <w:pStyle w:val="SingleTxtG"/>
        <w:keepNext/>
        <w:ind w:left="2268" w:hanging="1134"/>
        <w:jc w:val="left"/>
      </w:pPr>
      <w:r w:rsidRPr="00DC7C60">
        <w:t xml:space="preserve">2.10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75</w:t>
      </w:r>
    </w:p>
    <w:p w14:paraId="617E0F56" w14:textId="77777777" w:rsidR="005F5BE9" w:rsidRPr="00DC7C60" w:rsidRDefault="005F5BE9" w:rsidP="00AE0050">
      <w:pPr>
        <w:spacing w:after="100"/>
        <w:ind w:left="1701" w:right="1134" w:firstLine="567"/>
        <w:jc w:val="both"/>
        <w:rPr>
          <w:rFonts w:asciiTheme="majorBidi" w:hAnsiTheme="majorBidi" w:cstheme="majorBidi"/>
          <w:lang w:val="fr-FR"/>
        </w:rPr>
      </w:pPr>
      <w:r w:rsidRPr="00DC7C60">
        <w:rPr>
          <w:lang w:val="fr-FR"/>
        </w:rPr>
        <w:t>(Réservé)</w:t>
      </w:r>
    </w:p>
    <w:p w14:paraId="3C1F4164" w14:textId="1F371140" w:rsidR="005F5BE9" w:rsidRPr="00DC7C60" w:rsidRDefault="005F5BE9" w:rsidP="00AE0050">
      <w:pPr>
        <w:pStyle w:val="SingleTxtG"/>
        <w:keepNext/>
        <w:spacing w:after="100"/>
        <w:ind w:left="2268" w:hanging="1134"/>
        <w:jc w:val="left"/>
      </w:pPr>
      <w:r w:rsidRPr="00DC7C60">
        <w:lastRenderedPageBreak/>
        <w:t xml:space="preserve">2.11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92</w:t>
      </w:r>
    </w:p>
    <w:p w14:paraId="161C696E" w14:textId="77777777" w:rsidR="005F5BE9" w:rsidRPr="00DC7C60" w:rsidRDefault="005F5BE9" w:rsidP="00AE0050">
      <w:pPr>
        <w:spacing w:after="100"/>
        <w:ind w:left="1701" w:right="1134" w:firstLine="567"/>
        <w:jc w:val="both"/>
        <w:rPr>
          <w:rFonts w:asciiTheme="majorBidi" w:hAnsiTheme="majorBidi" w:cstheme="majorBidi"/>
          <w:lang w:val="fr-FR"/>
        </w:rPr>
      </w:pPr>
      <w:r w:rsidRPr="00DC7C60">
        <w:rPr>
          <w:lang w:val="fr-FR"/>
        </w:rPr>
        <w:t>(Réservé)</w:t>
      </w:r>
    </w:p>
    <w:p w14:paraId="5B055B1B" w14:textId="1D374784" w:rsidR="005F5BE9" w:rsidRPr="00DC7C60" w:rsidRDefault="005F5BE9" w:rsidP="00AE0050">
      <w:pPr>
        <w:pStyle w:val="SingleTxtG"/>
        <w:keepNext/>
        <w:spacing w:after="100"/>
        <w:ind w:left="2268" w:hanging="1134"/>
        <w:jc w:val="left"/>
      </w:pPr>
      <w:r w:rsidRPr="00DC7C60">
        <w:t xml:space="preserve">2.12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106</w:t>
      </w:r>
    </w:p>
    <w:p w14:paraId="7784F2D9" w14:textId="77777777" w:rsidR="005F5BE9" w:rsidRPr="00DC7C60" w:rsidRDefault="005F5BE9" w:rsidP="00AE0050">
      <w:pPr>
        <w:spacing w:after="100"/>
        <w:ind w:left="1701" w:right="1134" w:firstLine="567"/>
        <w:jc w:val="both"/>
        <w:rPr>
          <w:rFonts w:asciiTheme="majorBidi" w:hAnsiTheme="majorBidi" w:cstheme="majorBidi"/>
          <w:lang w:val="fr-FR"/>
        </w:rPr>
      </w:pPr>
      <w:r w:rsidRPr="00DC7C60">
        <w:rPr>
          <w:lang w:val="fr-FR"/>
        </w:rPr>
        <w:t>(Réservé)</w:t>
      </w:r>
    </w:p>
    <w:p w14:paraId="42655915" w14:textId="03C0DBD3" w:rsidR="005F5BE9" w:rsidRPr="00DC7C60" w:rsidRDefault="005F5BE9" w:rsidP="00AE0050">
      <w:pPr>
        <w:pStyle w:val="SingleTxtG"/>
        <w:keepNext/>
        <w:spacing w:after="100"/>
        <w:ind w:left="2268" w:hanging="1134"/>
        <w:jc w:val="left"/>
      </w:pPr>
      <w:r w:rsidRPr="00DC7C60">
        <w:t xml:space="preserve">2.13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108</w:t>
      </w:r>
    </w:p>
    <w:p w14:paraId="451743FC" w14:textId="77777777" w:rsidR="005F5BE9" w:rsidRPr="00DC7C60" w:rsidRDefault="005F5BE9" w:rsidP="00AE0050">
      <w:pPr>
        <w:spacing w:after="100"/>
        <w:ind w:left="1701" w:right="1134" w:firstLine="567"/>
        <w:jc w:val="both"/>
        <w:rPr>
          <w:rFonts w:asciiTheme="majorBidi" w:hAnsiTheme="majorBidi" w:cstheme="majorBidi"/>
          <w:lang w:val="fr-FR"/>
        </w:rPr>
      </w:pPr>
      <w:r w:rsidRPr="00DC7C60">
        <w:rPr>
          <w:lang w:val="fr-FR"/>
        </w:rPr>
        <w:t>(Réservé)</w:t>
      </w:r>
    </w:p>
    <w:p w14:paraId="2897EDB8" w14:textId="44EE9DA1" w:rsidR="005F5BE9" w:rsidRPr="00DC7C60" w:rsidRDefault="005F5BE9" w:rsidP="00AE0050">
      <w:pPr>
        <w:pStyle w:val="SingleTxtG"/>
        <w:keepNext/>
        <w:spacing w:after="100"/>
        <w:ind w:left="2268" w:hanging="1134"/>
        <w:jc w:val="left"/>
      </w:pPr>
      <w:r w:rsidRPr="00DC7C60">
        <w:t xml:space="preserve">2.14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109</w:t>
      </w:r>
    </w:p>
    <w:p w14:paraId="67877725" w14:textId="77777777" w:rsidR="005F5BE9" w:rsidRPr="00DC7C60" w:rsidRDefault="005F5BE9" w:rsidP="00AE0050">
      <w:pPr>
        <w:spacing w:after="100"/>
        <w:ind w:left="1701" w:right="1134" w:firstLine="567"/>
        <w:jc w:val="both"/>
        <w:rPr>
          <w:rFonts w:asciiTheme="majorBidi" w:hAnsiTheme="majorBidi" w:cstheme="majorBidi"/>
          <w:lang w:val="fr-FR"/>
        </w:rPr>
      </w:pPr>
      <w:r w:rsidRPr="00DC7C60">
        <w:rPr>
          <w:lang w:val="fr-FR"/>
        </w:rPr>
        <w:t>(Réservé)</w:t>
      </w:r>
    </w:p>
    <w:p w14:paraId="52F2B556" w14:textId="61313BD3" w:rsidR="005F5BE9" w:rsidRPr="00DC7C60" w:rsidRDefault="005F5BE9" w:rsidP="00AE0050">
      <w:pPr>
        <w:pStyle w:val="SingleTxtG"/>
        <w:keepNext/>
        <w:spacing w:after="100"/>
        <w:ind w:left="2268" w:hanging="1134"/>
        <w:jc w:val="left"/>
      </w:pPr>
      <w:r w:rsidRPr="00DC7C60">
        <w:t xml:space="preserve">2.15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117</w:t>
      </w:r>
    </w:p>
    <w:p w14:paraId="4423777D" w14:textId="47ED3A1B" w:rsidR="005F5BE9" w:rsidRPr="00DC7C60" w:rsidRDefault="005F5BE9" w:rsidP="00E71706">
      <w:pPr>
        <w:pStyle w:val="SingleTxtG"/>
        <w:keepNext/>
        <w:spacing w:after="100"/>
        <w:ind w:left="2268" w:hanging="1134"/>
        <w:jc w:val="left"/>
        <w:rPr>
          <w:rFonts w:asciiTheme="majorBidi" w:hAnsiTheme="majorBidi" w:cstheme="majorBidi"/>
          <w:lang w:val="fr-FR"/>
        </w:rPr>
      </w:pPr>
      <w:r w:rsidRPr="00DC7C60">
        <w:rPr>
          <w:lang w:val="fr-FR"/>
        </w:rPr>
        <w:t xml:space="preserve">2.15.1 </w:t>
      </w:r>
      <w:r w:rsidRPr="00DC7C60">
        <w:rPr>
          <w:lang w:val="fr-FR"/>
        </w:rPr>
        <w:tab/>
        <w:t xml:space="preserve">Estimation de l’incertitude élargie concernant les mesures du bruit </w:t>
      </w:r>
      <w:r w:rsidR="00E71706">
        <w:rPr>
          <w:lang w:val="fr-FR"/>
        </w:rPr>
        <w:br/>
      </w:r>
      <w:r w:rsidRPr="00DC7C60">
        <w:rPr>
          <w:lang w:val="fr-FR"/>
        </w:rPr>
        <w:t>des pneumatiques des catégories C1, C2 et C3 visées à l’annexe 3</w:t>
      </w:r>
    </w:p>
    <w:p w14:paraId="1FABC8AF" w14:textId="426D1183" w:rsidR="005F5BE9" w:rsidRPr="00DC7C60" w:rsidRDefault="005F5BE9" w:rsidP="00AE0050">
      <w:pPr>
        <w:pStyle w:val="SingleTxtG"/>
        <w:spacing w:after="100"/>
        <w:ind w:left="2268"/>
        <w:rPr>
          <w:rFonts w:asciiTheme="majorBidi" w:hAnsiTheme="majorBidi" w:cstheme="majorBidi"/>
          <w:lang w:val="fr-FR"/>
        </w:rPr>
      </w:pPr>
      <w:r w:rsidRPr="00DC7C60">
        <w:rPr>
          <w:lang w:val="fr-FR"/>
        </w:rPr>
        <w:t xml:space="preserve">Le tableau 15.1 de l’annexe est fondé sur la série 04 d’amendements au Règlement ONU </w:t>
      </w:r>
      <w:r w:rsidRPr="00DC7C60">
        <w:rPr>
          <w:rFonts w:eastAsia="MS Mincho"/>
          <w:lang w:val="fr-FR"/>
        </w:rPr>
        <w:t>n</w:t>
      </w:r>
      <w:r w:rsidRPr="00DC7C60">
        <w:rPr>
          <w:rFonts w:eastAsia="MS Mincho"/>
          <w:vertAlign w:val="superscript"/>
          <w:lang w:val="fr-FR"/>
        </w:rPr>
        <w:t>o</w:t>
      </w:r>
      <w:r w:rsidRPr="00DC7C60">
        <w:rPr>
          <w:lang w:val="fr-FR"/>
        </w:rPr>
        <w:t> 117 jusqu’au complément 1, mais il est également valable pour les séries 02 et 03 d’amendements.</w:t>
      </w:r>
    </w:p>
    <w:p w14:paraId="1C3EA5FC" w14:textId="77777777" w:rsidR="005F5BE9" w:rsidRPr="00DC7C60" w:rsidRDefault="005F5BE9" w:rsidP="00AE0050">
      <w:pPr>
        <w:pStyle w:val="SingleTxtG"/>
        <w:keepNext/>
        <w:spacing w:after="100"/>
        <w:ind w:left="2268"/>
        <w:rPr>
          <w:rFonts w:asciiTheme="majorBidi" w:hAnsiTheme="majorBidi" w:cstheme="majorBidi"/>
          <w:lang w:val="fr-FR"/>
        </w:rPr>
      </w:pPr>
      <w:r w:rsidRPr="00DC7C60">
        <w:rPr>
          <w:lang w:val="fr-FR"/>
        </w:rPr>
        <w:t>Selon les conditions d’essai décrites à l’annexe 3 dudit Règlement ONU, quatre pneumatiques doivent être montés sur le véhicule d’essai. Le bruit de passage est mesuré dans le cadre des mesures en roue libre aux plages de vitesse suivantes :</w:t>
      </w:r>
    </w:p>
    <w:p w14:paraId="2A72882B" w14:textId="2DF2B994" w:rsidR="005F5BE9" w:rsidRPr="00EA4DB3" w:rsidRDefault="005F5BE9" w:rsidP="00EA4DB3">
      <w:pPr>
        <w:pStyle w:val="SingleTxtG"/>
        <w:spacing w:after="100"/>
        <w:ind w:left="2552" w:hanging="284"/>
        <w:rPr>
          <w:lang w:val="fr-FR"/>
        </w:rPr>
      </w:pPr>
      <w:r w:rsidRPr="00DC7C60">
        <w:rPr>
          <w:rFonts w:asciiTheme="majorBidi" w:hAnsiTheme="majorBidi" w:cstheme="majorBidi"/>
          <w:lang w:val="pt-BR"/>
        </w:rPr>
        <w:t>-</w:t>
      </w:r>
      <w:r w:rsidRPr="00DC7C60">
        <w:rPr>
          <w:rFonts w:asciiTheme="majorBidi" w:hAnsiTheme="majorBidi" w:cstheme="majorBidi"/>
          <w:lang w:val="pt-BR"/>
        </w:rPr>
        <w:tab/>
      </w:r>
      <w:r w:rsidRPr="00DC7C60">
        <w:rPr>
          <w:lang w:val="fr-FR"/>
        </w:rPr>
        <w:t>Pour les pneumatiques des catégories C1 et C2</w:t>
      </w:r>
      <w:r w:rsidR="00EA4DB3">
        <w:rPr>
          <w:lang w:val="fr-FR"/>
        </w:rPr>
        <w:t> </w:t>
      </w:r>
      <w:r w:rsidRPr="00DC7C60">
        <w:rPr>
          <w:lang w:val="fr-FR"/>
        </w:rPr>
        <w:t>: entre 70 et 90</w:t>
      </w:r>
      <w:r w:rsidR="00EA4DB3">
        <w:rPr>
          <w:lang w:val="fr-FR"/>
        </w:rPr>
        <w:t> </w:t>
      </w:r>
      <w:r w:rsidRPr="00DC7C60">
        <w:rPr>
          <w:lang w:val="fr-FR"/>
        </w:rPr>
        <w:t>km/h, la vitesse de référence étant de 80 km/h ;</w:t>
      </w:r>
    </w:p>
    <w:p w14:paraId="06DEA860" w14:textId="18560441" w:rsidR="005F5BE9" w:rsidRPr="00DC7C60" w:rsidRDefault="005F5BE9" w:rsidP="00AE0050">
      <w:pPr>
        <w:pStyle w:val="SingleTxtG"/>
        <w:spacing w:after="100"/>
        <w:ind w:left="2552" w:hanging="284"/>
        <w:rPr>
          <w:rFonts w:asciiTheme="majorBidi" w:hAnsiTheme="majorBidi" w:cstheme="majorBidi"/>
          <w:lang w:val="fr-FR"/>
        </w:rPr>
      </w:pPr>
      <w:r w:rsidRPr="00DC7C60">
        <w:rPr>
          <w:rFonts w:asciiTheme="majorBidi" w:hAnsiTheme="majorBidi" w:cstheme="majorBidi"/>
          <w:lang w:val="pt-BR"/>
        </w:rPr>
        <w:t>-</w:t>
      </w:r>
      <w:r w:rsidRPr="00DC7C60">
        <w:rPr>
          <w:rFonts w:asciiTheme="majorBidi" w:hAnsiTheme="majorBidi" w:cstheme="majorBidi"/>
          <w:lang w:val="pt-BR"/>
        </w:rPr>
        <w:tab/>
      </w:r>
      <w:r w:rsidRPr="00DC7C60">
        <w:rPr>
          <w:lang w:val="fr-FR"/>
        </w:rPr>
        <w:t>Pour les pneumatiques de la catégorie C3</w:t>
      </w:r>
      <w:r w:rsidR="00EA4DB3">
        <w:rPr>
          <w:lang w:val="fr-FR"/>
        </w:rPr>
        <w:t> </w:t>
      </w:r>
      <w:r w:rsidRPr="00DC7C60">
        <w:rPr>
          <w:lang w:val="fr-FR"/>
        </w:rPr>
        <w:t>: entre 60 et 80</w:t>
      </w:r>
      <w:r w:rsidR="00EA4DB3">
        <w:rPr>
          <w:lang w:val="fr-FR"/>
        </w:rPr>
        <w:t> </w:t>
      </w:r>
      <w:r w:rsidRPr="00DC7C60">
        <w:rPr>
          <w:lang w:val="fr-FR"/>
        </w:rPr>
        <w:t>km/h, la vitesse de référence étant de 70 km/h.</w:t>
      </w:r>
    </w:p>
    <w:p w14:paraId="26EE1AAE" w14:textId="77777777" w:rsidR="005F5BE9" w:rsidRPr="00DC7C60" w:rsidRDefault="005F5BE9" w:rsidP="00AE0050">
      <w:pPr>
        <w:pStyle w:val="SingleTxtG"/>
        <w:spacing w:after="100"/>
        <w:ind w:left="2268"/>
        <w:rPr>
          <w:rFonts w:asciiTheme="majorBidi" w:hAnsiTheme="majorBidi" w:cstheme="majorBidi"/>
          <w:lang w:val="fr-FR"/>
        </w:rPr>
      </w:pPr>
      <w:r w:rsidRPr="00DC7C60">
        <w:rPr>
          <w:lang w:val="fr-FR"/>
        </w:rPr>
        <w:t xml:space="preserve">L’évaluation de l’incertitude est fondée sur l’approche de l’ISO. </w:t>
      </w:r>
    </w:p>
    <w:p w14:paraId="17825AB5" w14:textId="77777777" w:rsidR="005F5BE9" w:rsidRPr="00DC7C60" w:rsidRDefault="005F5BE9" w:rsidP="00AE0050">
      <w:pPr>
        <w:pStyle w:val="SingleTxtG"/>
        <w:keepNext/>
        <w:spacing w:after="100"/>
        <w:ind w:left="2268" w:hanging="1134"/>
        <w:jc w:val="left"/>
        <w:rPr>
          <w:rFonts w:asciiTheme="majorBidi" w:hAnsiTheme="majorBidi" w:cstheme="majorBidi"/>
          <w:lang w:val="fr-FR"/>
        </w:rPr>
      </w:pPr>
      <w:r w:rsidRPr="00DC7C60">
        <w:rPr>
          <w:lang w:val="fr-FR"/>
        </w:rPr>
        <w:t xml:space="preserve">2.15.2 </w:t>
      </w:r>
      <w:r w:rsidRPr="00DC7C60">
        <w:rPr>
          <w:lang w:val="fr-FR"/>
        </w:rPr>
        <w:tab/>
        <w:t xml:space="preserve">Application </w:t>
      </w:r>
    </w:p>
    <w:p w14:paraId="7EDE8EE4" w14:textId="5FFBCF35" w:rsidR="005F5BE9" w:rsidRPr="00DC7C60" w:rsidRDefault="005F5BE9" w:rsidP="00EC391B">
      <w:pPr>
        <w:pStyle w:val="SingleTxtG"/>
        <w:spacing w:after="100"/>
        <w:ind w:left="2268"/>
        <w:rPr>
          <w:rFonts w:asciiTheme="majorBidi" w:hAnsiTheme="majorBidi" w:cstheme="majorBidi"/>
          <w:lang w:val="fr-FR"/>
        </w:rPr>
      </w:pPr>
      <w:r w:rsidRPr="00DC7C60">
        <w:rPr>
          <w:lang w:val="fr-FR"/>
        </w:rPr>
        <w:t>Le calcul de l’incertitude ci-dessous ne concerne que l’homologation de type d’un seul pneumatique. L’incidence des variations entre pneumatiques (par exemple à des fins d’étiquetage concernant le bruit) n’est pas pertinente pour l’estimation de l’incertitude élargie globale (niveau de confiance de 95</w:t>
      </w:r>
      <w:r w:rsidR="00EA4DB3">
        <w:rPr>
          <w:lang w:val="fr-FR"/>
        </w:rPr>
        <w:t> </w:t>
      </w:r>
      <w:r w:rsidRPr="00DC7C60">
        <w:rPr>
          <w:lang w:val="fr-FR"/>
        </w:rPr>
        <w:t xml:space="preserve">%). </w:t>
      </w:r>
    </w:p>
    <w:p w14:paraId="3B1CC96C" w14:textId="77777777" w:rsidR="005F5BE9" w:rsidRPr="00DC7C60" w:rsidRDefault="005F5BE9" w:rsidP="00AE0050">
      <w:pPr>
        <w:pStyle w:val="SingleTxtG"/>
        <w:keepNext/>
        <w:spacing w:after="100"/>
        <w:ind w:left="2268" w:hanging="1134"/>
        <w:jc w:val="left"/>
        <w:rPr>
          <w:rFonts w:asciiTheme="majorBidi" w:hAnsiTheme="majorBidi" w:cstheme="majorBidi"/>
          <w:lang w:val="fr-FR"/>
        </w:rPr>
      </w:pPr>
      <w:r w:rsidRPr="00DC7C60">
        <w:rPr>
          <w:lang w:val="fr-FR"/>
        </w:rPr>
        <w:t xml:space="preserve">2.15.3 </w:t>
      </w:r>
      <w:r w:rsidRPr="00DC7C60">
        <w:rPr>
          <w:lang w:val="fr-FR"/>
        </w:rPr>
        <w:tab/>
      </w:r>
      <w:r w:rsidRPr="00DC7C60">
        <w:rPr>
          <w:lang w:val="fr-FR"/>
        </w:rPr>
        <w:tab/>
        <w:t>Estimation de l’incertitude pour les pneumatiques</w:t>
      </w:r>
    </w:p>
    <w:p w14:paraId="5A68132B" w14:textId="25C58557" w:rsidR="005F5BE9" w:rsidRPr="00DC7C60" w:rsidRDefault="005F5BE9" w:rsidP="00EC391B">
      <w:pPr>
        <w:pStyle w:val="SingleTxtG"/>
        <w:spacing w:after="100"/>
        <w:ind w:left="2268"/>
        <w:rPr>
          <w:rFonts w:asciiTheme="majorBidi" w:hAnsiTheme="majorBidi" w:cstheme="majorBidi"/>
          <w:lang w:val="fr-FR"/>
        </w:rPr>
      </w:pPr>
      <w:r w:rsidRPr="00DC7C60">
        <w:rPr>
          <w:lang w:val="fr-FR"/>
        </w:rPr>
        <w:t xml:space="preserve">Le tableau 15.1 de l’annexe est fondé sur le Règlement ONU </w:t>
      </w:r>
      <w:r w:rsidRPr="00DC7C60">
        <w:rPr>
          <w:rFonts w:eastAsia="MS Mincho"/>
          <w:lang w:val="fr-FR"/>
        </w:rPr>
        <w:t>n</w:t>
      </w:r>
      <w:r w:rsidRPr="00DC7C60">
        <w:rPr>
          <w:rFonts w:eastAsia="MS Mincho"/>
          <w:vertAlign w:val="superscript"/>
          <w:lang w:val="fr-FR"/>
        </w:rPr>
        <w:t>o</w:t>
      </w:r>
      <w:r w:rsidRPr="00DC7C60">
        <w:rPr>
          <w:lang w:val="fr-FR"/>
        </w:rPr>
        <w:t> 117 jusqu’au complément 1 de la série 04 d’amendements. En cas de modification de ce Règlement ONU, il faut évaluer les éventuelles incidences sur l’incertitude de mesure et, si nécessaire, actualiser les tableaux du présent document d’information.</w:t>
      </w:r>
    </w:p>
    <w:p w14:paraId="65B437C7" w14:textId="7E58EF4B" w:rsidR="005F5BE9" w:rsidRPr="00DC7C60" w:rsidRDefault="005F5BE9" w:rsidP="00AE0050">
      <w:pPr>
        <w:pStyle w:val="SingleTxtG"/>
        <w:keepNext/>
        <w:spacing w:after="100"/>
        <w:ind w:left="2268" w:hanging="1134"/>
        <w:jc w:val="left"/>
      </w:pPr>
      <w:r w:rsidRPr="00DC7C60">
        <w:t xml:space="preserve">2.16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124</w:t>
      </w:r>
    </w:p>
    <w:p w14:paraId="4DCCC15B"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4322A7C2" w14:textId="39A29921" w:rsidR="005F5BE9" w:rsidRPr="00DC7C60" w:rsidRDefault="005F5BE9" w:rsidP="00AE0050">
      <w:pPr>
        <w:pStyle w:val="SingleTxtG"/>
        <w:keepNext/>
        <w:spacing w:after="100"/>
        <w:ind w:left="2268" w:hanging="1134"/>
        <w:jc w:val="left"/>
      </w:pPr>
      <w:r w:rsidRPr="00DC7C60">
        <w:t xml:space="preserve">2.17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138</w:t>
      </w:r>
    </w:p>
    <w:p w14:paraId="238AA64E"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191AB63C" w14:textId="049E76A3" w:rsidR="005F5BE9" w:rsidRPr="00DC7C60" w:rsidRDefault="005F5BE9" w:rsidP="00AE0050">
      <w:pPr>
        <w:pStyle w:val="SingleTxtG"/>
        <w:keepNext/>
        <w:spacing w:after="100"/>
        <w:ind w:left="2268" w:hanging="1134"/>
        <w:jc w:val="left"/>
      </w:pPr>
      <w:r w:rsidRPr="00DC7C60">
        <w:t xml:space="preserve">2.18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141</w:t>
      </w:r>
    </w:p>
    <w:p w14:paraId="30CDE29B"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657B20BC" w14:textId="1F2C5DA9" w:rsidR="005F5BE9" w:rsidRPr="00DC7C60" w:rsidRDefault="005F5BE9" w:rsidP="00AE0050">
      <w:pPr>
        <w:pStyle w:val="SingleTxtG"/>
        <w:keepNext/>
        <w:spacing w:after="100"/>
        <w:ind w:left="2268" w:hanging="1134"/>
        <w:jc w:val="left"/>
      </w:pPr>
      <w:r w:rsidRPr="00DC7C60">
        <w:t xml:space="preserve">2.19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142</w:t>
      </w:r>
    </w:p>
    <w:p w14:paraId="3FA3B0A0"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05BBCC49" w14:textId="3C23BB61" w:rsidR="005F5BE9" w:rsidRPr="00DC7C60" w:rsidRDefault="005F5BE9" w:rsidP="00AE0050">
      <w:pPr>
        <w:pStyle w:val="SingleTxtG"/>
        <w:keepNext/>
        <w:spacing w:after="100"/>
        <w:ind w:left="2268" w:hanging="1134"/>
        <w:jc w:val="left"/>
      </w:pPr>
      <w:r w:rsidRPr="00DC7C60">
        <w:t xml:space="preserve">2.20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164</w:t>
      </w:r>
    </w:p>
    <w:p w14:paraId="1098BE0D"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4EBFAEAC" w14:textId="2386B2CB" w:rsidR="005F5BE9" w:rsidRPr="00DC7C60" w:rsidRDefault="005F5BE9" w:rsidP="00C9185D">
      <w:pPr>
        <w:pStyle w:val="SingleTxtG"/>
        <w:keepNext/>
        <w:ind w:left="2268" w:hanging="1134"/>
        <w:jc w:val="left"/>
      </w:pPr>
      <w:r w:rsidRPr="00DC7C60">
        <w:t xml:space="preserve">2.21 </w:t>
      </w:r>
      <w:r w:rsidRPr="00DC7C60">
        <w:tab/>
      </w:r>
      <w:r w:rsidRPr="00DC7C60">
        <w:tab/>
        <w:t xml:space="preserve">Règlement ONU </w:t>
      </w:r>
      <w:r w:rsidRPr="00DC7C60">
        <w:rPr>
          <w:rFonts w:eastAsia="MS Mincho"/>
          <w:lang w:val="fr-FR"/>
        </w:rPr>
        <w:t>n</w:t>
      </w:r>
      <w:r w:rsidRPr="00DC7C60">
        <w:rPr>
          <w:rFonts w:eastAsia="MS Mincho"/>
          <w:vertAlign w:val="superscript"/>
          <w:lang w:val="fr-FR"/>
        </w:rPr>
        <w:t>o</w:t>
      </w:r>
      <w:r w:rsidRPr="00DC7C60">
        <w:rPr>
          <w:lang w:val="fr-FR"/>
        </w:rPr>
        <w:t> </w:t>
      </w:r>
      <w:r w:rsidRPr="00DC7C60">
        <w:t>165</w:t>
      </w:r>
    </w:p>
    <w:p w14:paraId="2A9CCDEF" w14:textId="77777777" w:rsidR="005F5BE9" w:rsidRPr="00DC7C60" w:rsidRDefault="005F5BE9" w:rsidP="00EC391B">
      <w:pPr>
        <w:pStyle w:val="SingleTxtG"/>
        <w:spacing w:after="100"/>
        <w:ind w:left="2268"/>
        <w:rPr>
          <w:rFonts w:asciiTheme="majorBidi" w:hAnsiTheme="majorBidi" w:cstheme="majorBidi"/>
          <w:lang w:val="fr-FR"/>
        </w:rPr>
      </w:pPr>
      <w:r w:rsidRPr="00DC7C60">
        <w:rPr>
          <w:lang w:val="fr-FR"/>
        </w:rPr>
        <w:t>(Réservé)</w:t>
      </w:r>
    </w:p>
    <w:p w14:paraId="5C950E4F" w14:textId="1C29A616" w:rsidR="005F5BE9" w:rsidRPr="00DC7C60" w:rsidRDefault="008E3CE3" w:rsidP="008E3CE3">
      <w:pPr>
        <w:pStyle w:val="H1G"/>
        <w:rPr>
          <w:lang w:val="fr-FR"/>
        </w:rPr>
      </w:pPr>
      <w:r>
        <w:rPr>
          <w:lang w:val="fr-FR"/>
        </w:rPr>
        <w:lastRenderedPageBreak/>
        <w:tab/>
      </w:r>
      <w:r w:rsidR="005F5BE9" w:rsidRPr="00DC7C60">
        <w:rPr>
          <w:lang w:val="fr-FR"/>
        </w:rPr>
        <w:t>3.</w:t>
      </w:r>
      <w:r w:rsidR="005F5BE9" w:rsidRPr="00DC7C60">
        <w:rPr>
          <w:lang w:val="fr-FR"/>
        </w:rPr>
        <w:tab/>
        <w:t>Références</w:t>
      </w:r>
    </w:p>
    <w:p w14:paraId="5D52C749" w14:textId="77777777" w:rsidR="005F5BE9" w:rsidRPr="00DC7C60" w:rsidRDefault="005F5BE9" w:rsidP="008E3CE3">
      <w:pPr>
        <w:pStyle w:val="SingleTxtG"/>
        <w:ind w:left="1701" w:hanging="567"/>
        <w:rPr>
          <w:lang w:val="fr-FR"/>
        </w:rPr>
      </w:pPr>
      <w:r w:rsidRPr="00270CDC">
        <w:rPr>
          <w:vertAlign w:val="superscript"/>
          <w:lang w:val="fr-FR"/>
        </w:rPr>
        <w:t>[1]</w:t>
      </w:r>
      <w:r w:rsidRPr="00DC7C60">
        <w:rPr>
          <w:lang w:val="fr-FR"/>
        </w:rPr>
        <w:t xml:space="preserve"> </w:t>
      </w:r>
      <w:r w:rsidRPr="00DC7C60">
        <w:rPr>
          <w:lang w:val="fr-FR"/>
        </w:rPr>
        <w:tab/>
        <w:t>Règlement (UE) 2018/858 relatif à la réception et à la surveillance du marché des véhicules à moteur et de leurs remorques, ainsi que des systèmes, composants et entités techniques distinctes destinés à ces véhicules.</w:t>
      </w:r>
    </w:p>
    <w:p w14:paraId="4BB42C83" w14:textId="77777777" w:rsidR="005F5BE9" w:rsidRPr="00DC7C60" w:rsidRDefault="005F5BE9" w:rsidP="008E3CE3">
      <w:pPr>
        <w:pStyle w:val="SingleTxtG"/>
        <w:ind w:left="1701" w:hanging="567"/>
        <w:rPr>
          <w:lang w:val="fr-FR"/>
        </w:rPr>
      </w:pPr>
      <w:r w:rsidRPr="00270CDC">
        <w:rPr>
          <w:vertAlign w:val="superscript"/>
          <w:lang w:val="fr-FR"/>
        </w:rPr>
        <w:t>[2]</w:t>
      </w:r>
      <w:r w:rsidRPr="00DC7C60">
        <w:rPr>
          <w:lang w:val="fr-FR"/>
        </w:rPr>
        <w:t xml:space="preserve"> </w:t>
      </w:r>
      <w:r w:rsidRPr="00DC7C60">
        <w:rPr>
          <w:lang w:val="fr-FR"/>
        </w:rPr>
        <w:tab/>
        <w:t>Document ECE/TRANS/WP.29/GRBP/2022/9/Rev.1, intitulé « Approche générale de l’incertitude de mesure ».</w:t>
      </w:r>
    </w:p>
    <w:p w14:paraId="5A1C7421" w14:textId="77777777" w:rsidR="005F5BE9" w:rsidRPr="00DC7C60" w:rsidRDefault="005F5BE9" w:rsidP="008E3CE3">
      <w:pPr>
        <w:pStyle w:val="SingleTxtG"/>
        <w:ind w:left="1701" w:hanging="567"/>
        <w:rPr>
          <w:lang w:val="fr-FR"/>
        </w:rPr>
      </w:pPr>
      <w:r w:rsidRPr="00270CDC">
        <w:rPr>
          <w:vertAlign w:val="superscript"/>
          <w:lang w:val="fr-FR"/>
        </w:rPr>
        <w:t>[3]</w:t>
      </w:r>
      <w:r w:rsidRPr="00DC7C60">
        <w:rPr>
          <w:lang w:val="fr-FR"/>
        </w:rPr>
        <w:t xml:space="preserve"> </w:t>
      </w:r>
      <w:r w:rsidRPr="00DC7C60">
        <w:rPr>
          <w:lang w:val="fr-FR"/>
        </w:rPr>
        <w:tab/>
        <w:t xml:space="preserve">Guide ISO/IEC 98-3:2008 (Incertitude de mesure − Partie 3 : Guide pour l’expression de l’incertitude de mesure (GUM:1995)). </w:t>
      </w:r>
    </w:p>
    <w:p w14:paraId="10A00E54" w14:textId="77777777" w:rsidR="005F5BE9" w:rsidRPr="00DC7C60" w:rsidRDefault="005F5BE9" w:rsidP="005F5BE9">
      <w:pPr>
        <w:suppressAutoHyphens w:val="0"/>
        <w:kinsoku/>
        <w:overflowPunct/>
        <w:autoSpaceDE/>
        <w:autoSpaceDN/>
        <w:adjustRightInd/>
        <w:snapToGrid/>
        <w:spacing w:line="240" w:lineRule="auto"/>
        <w:rPr>
          <w:lang w:val="fr-FR"/>
        </w:rPr>
      </w:pPr>
      <w:r w:rsidRPr="00DC7C60">
        <w:rPr>
          <w:lang w:val="fr-FR"/>
        </w:rPr>
        <w:br w:type="page"/>
      </w:r>
    </w:p>
    <w:p w14:paraId="5C95B7D3" w14:textId="77777777" w:rsidR="005F5BE9" w:rsidRPr="00DC7C60" w:rsidRDefault="005F5BE9" w:rsidP="0051671D">
      <w:pPr>
        <w:pStyle w:val="HChG"/>
        <w:rPr>
          <w:lang w:val="fr-FR"/>
        </w:rPr>
      </w:pPr>
      <w:r w:rsidRPr="00DC7C60">
        <w:rPr>
          <w:lang w:val="fr-FR"/>
        </w:rPr>
        <w:lastRenderedPageBreak/>
        <w:t xml:space="preserve">Annexe </w:t>
      </w:r>
      <w:bookmarkStart w:id="4" w:name="_Hlk140232993"/>
    </w:p>
    <w:p w14:paraId="76BA0D44" w14:textId="2BEF6507" w:rsidR="005F5BE9" w:rsidRPr="00DC7C60" w:rsidRDefault="0051671D" w:rsidP="0051671D">
      <w:pPr>
        <w:pStyle w:val="HChG"/>
        <w:rPr>
          <w:lang w:val="fr-FR"/>
        </w:rPr>
      </w:pPr>
      <w:r>
        <w:rPr>
          <w:lang w:val="fr-FR"/>
        </w:rPr>
        <w:tab/>
      </w:r>
      <w:r>
        <w:rPr>
          <w:lang w:val="fr-FR"/>
        </w:rPr>
        <w:tab/>
      </w:r>
      <w:r w:rsidR="005F5BE9" w:rsidRPr="00DC7C60">
        <w:rPr>
          <w:lang w:val="fr-FR"/>
        </w:rPr>
        <w:t xml:space="preserve">Tableaux de mesure de l’incertitude </w:t>
      </w:r>
      <w:bookmarkEnd w:id="4"/>
    </w:p>
    <w:p w14:paraId="5A9BCDF5" w14:textId="18DD699F" w:rsidR="005F5BE9" w:rsidRPr="00DC7C60" w:rsidRDefault="00990F15" w:rsidP="00990F15">
      <w:pPr>
        <w:pStyle w:val="H1G"/>
        <w:rPr>
          <w:szCs w:val="24"/>
          <w:lang w:val="fr-FR"/>
        </w:rPr>
      </w:pPr>
      <w:r>
        <w:rPr>
          <w:szCs w:val="24"/>
          <w:lang w:val="fr-FR"/>
        </w:rPr>
        <w:tab/>
      </w:r>
      <w:r w:rsidR="005F5BE9" w:rsidRPr="00DC7C60">
        <w:rPr>
          <w:szCs w:val="24"/>
          <w:lang w:val="fr-FR"/>
        </w:rPr>
        <w:t>1.</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9</w:t>
      </w:r>
    </w:p>
    <w:p w14:paraId="26390B58" w14:textId="3C8A8D30" w:rsidR="005F5BE9" w:rsidRPr="00DC7C60" w:rsidRDefault="006F7CEF" w:rsidP="005B6F97">
      <w:pPr>
        <w:pStyle w:val="SingleTxtG"/>
        <w:rPr>
          <w:lang w:val="fr-FR"/>
        </w:rPr>
      </w:pPr>
      <w:r>
        <w:rPr>
          <w:lang w:val="fr-FR"/>
        </w:rPr>
        <w:t>(Réservé)</w:t>
      </w:r>
    </w:p>
    <w:p w14:paraId="7574F28D" w14:textId="0129A666" w:rsidR="005F5BE9" w:rsidRPr="00DC7C60" w:rsidRDefault="00990F15" w:rsidP="00990F15">
      <w:pPr>
        <w:pStyle w:val="H1G"/>
        <w:rPr>
          <w:szCs w:val="24"/>
          <w:lang w:val="fr-FR"/>
        </w:rPr>
      </w:pPr>
      <w:r>
        <w:rPr>
          <w:szCs w:val="24"/>
          <w:lang w:val="fr-FR"/>
        </w:rPr>
        <w:tab/>
      </w:r>
      <w:r w:rsidR="005F5BE9" w:rsidRPr="00DC7C60">
        <w:rPr>
          <w:szCs w:val="24"/>
          <w:lang w:val="fr-FR"/>
        </w:rPr>
        <w:t>2.</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28</w:t>
      </w:r>
    </w:p>
    <w:p w14:paraId="228A0548" w14:textId="7119C701" w:rsidR="005F5BE9" w:rsidRPr="00DC7C60" w:rsidRDefault="006F7CEF" w:rsidP="005B6F97">
      <w:pPr>
        <w:pStyle w:val="SingleTxtG"/>
        <w:rPr>
          <w:lang w:val="fr-FR"/>
        </w:rPr>
      </w:pPr>
      <w:r>
        <w:rPr>
          <w:lang w:val="fr-FR"/>
        </w:rPr>
        <w:t>(Réservé)</w:t>
      </w:r>
    </w:p>
    <w:p w14:paraId="23F970F4" w14:textId="35E13BEC" w:rsidR="005F5BE9" w:rsidRPr="00DC7C60" w:rsidRDefault="00990F15" w:rsidP="00990F15">
      <w:pPr>
        <w:pStyle w:val="H1G"/>
        <w:rPr>
          <w:szCs w:val="24"/>
          <w:lang w:val="fr-FR"/>
        </w:rPr>
      </w:pPr>
      <w:r>
        <w:rPr>
          <w:szCs w:val="24"/>
          <w:lang w:val="fr-FR"/>
        </w:rPr>
        <w:tab/>
      </w:r>
      <w:r w:rsidR="005F5BE9" w:rsidRPr="00DC7C60">
        <w:rPr>
          <w:szCs w:val="24"/>
          <w:lang w:val="fr-FR"/>
        </w:rPr>
        <w:t>3.</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30</w:t>
      </w:r>
    </w:p>
    <w:p w14:paraId="336EF34B" w14:textId="3067FCD7" w:rsidR="005F5BE9" w:rsidRPr="00DC7C60" w:rsidRDefault="006F7CEF" w:rsidP="005B6F97">
      <w:pPr>
        <w:pStyle w:val="SingleTxtG"/>
        <w:rPr>
          <w:lang w:val="fr-FR"/>
        </w:rPr>
      </w:pPr>
      <w:r>
        <w:rPr>
          <w:lang w:val="fr-FR"/>
        </w:rPr>
        <w:t>(Réservé)</w:t>
      </w:r>
    </w:p>
    <w:p w14:paraId="427855FE" w14:textId="1CC48E4D" w:rsidR="005F5BE9" w:rsidRPr="00DC7C60" w:rsidRDefault="00990F15" w:rsidP="00990F15">
      <w:pPr>
        <w:pStyle w:val="H1G"/>
        <w:rPr>
          <w:szCs w:val="24"/>
          <w:lang w:val="fr-FR"/>
        </w:rPr>
      </w:pPr>
      <w:r>
        <w:rPr>
          <w:szCs w:val="24"/>
          <w:lang w:val="fr-FR"/>
        </w:rPr>
        <w:tab/>
      </w:r>
      <w:r w:rsidR="005F5BE9" w:rsidRPr="00DC7C60">
        <w:rPr>
          <w:szCs w:val="24"/>
          <w:lang w:val="fr-FR"/>
        </w:rPr>
        <w:t>4.</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41</w:t>
      </w:r>
    </w:p>
    <w:p w14:paraId="1D87D1A2" w14:textId="752345F4" w:rsidR="005F5BE9" w:rsidRPr="00DC7C60" w:rsidRDefault="006F7CEF" w:rsidP="005B6F97">
      <w:pPr>
        <w:pStyle w:val="SingleTxtG"/>
        <w:rPr>
          <w:lang w:val="fr-FR"/>
        </w:rPr>
      </w:pPr>
      <w:r>
        <w:rPr>
          <w:lang w:val="fr-FR"/>
        </w:rPr>
        <w:t>(Réservé)</w:t>
      </w:r>
    </w:p>
    <w:p w14:paraId="7E81FDF4" w14:textId="49893103" w:rsidR="005F5BE9" w:rsidRPr="00DC7C60" w:rsidRDefault="005B6F97" w:rsidP="00990F15">
      <w:pPr>
        <w:pStyle w:val="H1G"/>
        <w:rPr>
          <w:szCs w:val="24"/>
          <w:lang w:val="fr-FR"/>
        </w:rPr>
      </w:pPr>
      <w:r>
        <w:rPr>
          <w:szCs w:val="24"/>
          <w:lang w:val="fr-FR"/>
        </w:rPr>
        <w:tab/>
      </w:r>
      <w:r w:rsidR="005F5BE9" w:rsidRPr="00DC7C60">
        <w:rPr>
          <w:szCs w:val="24"/>
          <w:lang w:val="fr-FR"/>
        </w:rPr>
        <w:t>5.</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51</w:t>
      </w:r>
    </w:p>
    <w:p w14:paraId="64591CCE" w14:textId="0F4A0044" w:rsidR="005F5BE9" w:rsidRPr="00DC7C60" w:rsidRDefault="005F5BE9" w:rsidP="00825963">
      <w:pPr>
        <w:pStyle w:val="Titre1"/>
        <w:spacing w:after="120"/>
        <w:ind w:left="0"/>
        <w:rPr>
          <w:lang w:val="fr-FR"/>
        </w:rPr>
      </w:pPr>
      <w:bookmarkStart w:id="5" w:name="_Hlk140144441"/>
      <w:r w:rsidRPr="00DC7C60">
        <w:rPr>
          <w:lang w:val="fr-FR"/>
        </w:rPr>
        <w:t>Tableau 5.1</w:t>
      </w:r>
      <w:r w:rsidR="00825963">
        <w:rPr>
          <w:lang w:val="fr-FR"/>
        </w:rPr>
        <w:br/>
      </w:r>
      <w:r w:rsidRPr="00825963">
        <w:rPr>
          <w:b/>
          <w:bCs/>
          <w:lang w:val="fr-FR"/>
        </w:rPr>
        <w:t>Estimation de l’incertitude en fonction de la situation pour les véhicules des catégories M</w:t>
      </w:r>
      <w:r w:rsidRPr="00825963">
        <w:rPr>
          <w:b/>
          <w:bCs/>
          <w:vertAlign w:val="subscript"/>
          <w:lang w:val="fr-FR"/>
        </w:rPr>
        <w:t>1</w:t>
      </w:r>
      <w:r w:rsidRPr="00825963">
        <w:rPr>
          <w:b/>
          <w:bCs/>
          <w:lang w:val="fr-FR"/>
        </w:rPr>
        <w:t xml:space="preserve"> et N</w:t>
      </w:r>
      <w:r w:rsidRPr="00825963">
        <w:rPr>
          <w:b/>
          <w:bCs/>
          <w:vertAlign w:val="subscript"/>
          <w:lang w:val="fr-FR"/>
        </w:rPr>
        <w:t>1</w:t>
      </w:r>
      <w:r w:rsidRPr="00825963">
        <w:rPr>
          <w:b/>
          <w:bCs/>
          <w:lang w:val="fr-FR"/>
        </w:rPr>
        <w:t xml:space="preserve"> ainsi que </w:t>
      </w:r>
      <w:r w:rsidR="00825963">
        <w:rPr>
          <w:b/>
          <w:bCs/>
          <w:lang w:val="fr-FR"/>
        </w:rPr>
        <w:br/>
      </w:r>
      <w:r w:rsidRPr="00825963">
        <w:rPr>
          <w:b/>
          <w:bCs/>
          <w:lang w:val="fr-FR"/>
        </w:rPr>
        <w:t>les véhicules de la catégorie M</w:t>
      </w:r>
      <w:r w:rsidRPr="00825963">
        <w:rPr>
          <w:b/>
          <w:bCs/>
          <w:vertAlign w:val="subscript"/>
          <w:lang w:val="fr-FR"/>
        </w:rPr>
        <w:t>2</w:t>
      </w:r>
      <w:r w:rsidRPr="00825963">
        <w:rPr>
          <w:b/>
          <w:bCs/>
          <w:lang w:val="fr-FR"/>
        </w:rPr>
        <w:t xml:space="preserve"> dont la masse maximale autorisée est inférieure ou égale à 3 500 kg, </w:t>
      </w:r>
      <w:r w:rsidR="00452FCD">
        <w:rPr>
          <w:b/>
          <w:bCs/>
          <w:lang w:val="fr-FR"/>
        </w:rPr>
        <w:br/>
      </w:r>
      <w:r w:rsidRPr="00825963">
        <w:rPr>
          <w:b/>
          <w:bCs/>
          <w:lang w:val="fr-FR"/>
        </w:rPr>
        <w:t>sur la base de ce Règlement ONU jusqu’au complément 6</w:t>
      </w:r>
    </w:p>
    <w:tbl>
      <w:tblPr>
        <w:tblW w:w="9639" w:type="dxa"/>
        <w:shd w:val="clear" w:color="auto" w:fill="FFFFFF" w:themeFill="background1"/>
        <w:tblLayout w:type="fixed"/>
        <w:tblCellMar>
          <w:left w:w="70" w:type="dxa"/>
          <w:right w:w="70" w:type="dxa"/>
        </w:tblCellMar>
        <w:tblLook w:val="04A0" w:firstRow="1" w:lastRow="0" w:firstColumn="1" w:lastColumn="0" w:noHBand="0" w:noVBand="1"/>
      </w:tblPr>
      <w:tblGrid>
        <w:gridCol w:w="406"/>
        <w:gridCol w:w="2512"/>
        <w:gridCol w:w="478"/>
        <w:gridCol w:w="435"/>
        <w:gridCol w:w="408"/>
        <w:gridCol w:w="938"/>
        <w:gridCol w:w="12"/>
        <w:gridCol w:w="529"/>
        <w:gridCol w:w="541"/>
        <w:gridCol w:w="674"/>
        <w:gridCol w:w="541"/>
        <w:gridCol w:w="541"/>
        <w:gridCol w:w="541"/>
        <w:gridCol w:w="542"/>
        <w:gridCol w:w="541"/>
      </w:tblGrid>
      <w:tr w:rsidR="00D96D23" w:rsidRPr="005842A0" w14:paraId="58A9D1BE" w14:textId="77777777" w:rsidTr="00BA2554">
        <w:trPr>
          <w:cantSplit/>
          <w:trHeight w:val="1280"/>
          <w:tblHeader/>
        </w:trPr>
        <w:tc>
          <w:tcPr>
            <w:tcW w:w="406" w:type="dxa"/>
            <w:vMerge w:val="restart"/>
            <w:tcBorders>
              <w:top w:val="single" w:sz="4" w:space="0" w:color="auto"/>
              <w:left w:val="single" w:sz="4" w:space="0" w:color="auto"/>
              <w:bottom w:val="single" w:sz="12" w:space="0" w:color="auto"/>
              <w:right w:val="nil"/>
            </w:tcBorders>
            <w:shd w:val="clear" w:color="auto" w:fill="FFFFFF" w:themeFill="background1"/>
            <w:textDirection w:val="btLr"/>
            <w:vAlign w:val="center"/>
            <w:hideMark/>
          </w:tcPr>
          <w:p w14:paraId="49B2FD7A" w14:textId="77777777" w:rsidR="005F5BE9" w:rsidRPr="005842A0" w:rsidRDefault="005F5BE9" w:rsidP="006C2EF1">
            <w:pPr>
              <w:spacing w:before="60" w:after="60" w:line="240" w:lineRule="auto"/>
              <w:ind w:left="57" w:right="57"/>
              <w:jc w:val="center"/>
              <w:rPr>
                <w:b/>
                <w:bCs/>
                <w:i/>
                <w:iCs/>
                <w:sz w:val="16"/>
                <w:szCs w:val="16"/>
                <w:lang w:val="fr-FR"/>
              </w:rPr>
            </w:pPr>
            <w:bookmarkStart w:id="6" w:name="_Hlk152860250"/>
            <w:bookmarkStart w:id="7" w:name="_Hlk152862081"/>
            <w:r w:rsidRPr="005842A0">
              <w:rPr>
                <w:b/>
                <w:bCs/>
                <w:i/>
                <w:iCs/>
                <w:sz w:val="16"/>
                <w:szCs w:val="16"/>
                <w:lang w:val="fr-FR"/>
              </w:rPr>
              <w:t>Situation</w:t>
            </w:r>
          </w:p>
        </w:tc>
        <w:tc>
          <w:tcPr>
            <w:tcW w:w="251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2B307B6"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Grandeur d’entrée</w:t>
            </w:r>
          </w:p>
        </w:tc>
        <w:tc>
          <w:tcPr>
            <w:tcW w:w="91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593BBB84" w14:textId="6FFB6225"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 xml:space="preserve">Écarts estimés </w:t>
            </w:r>
            <w:r w:rsidR="006C2EF1">
              <w:rPr>
                <w:b/>
                <w:bCs/>
                <w:i/>
                <w:iCs/>
                <w:sz w:val="16"/>
                <w:szCs w:val="16"/>
                <w:lang w:val="fr-FR"/>
              </w:rPr>
              <w:br/>
            </w:r>
            <w:r w:rsidRPr="005842A0">
              <w:rPr>
                <w:b/>
                <w:bCs/>
                <w:i/>
                <w:iCs/>
                <w:sz w:val="16"/>
                <w:szCs w:val="16"/>
                <w:lang w:val="fr-FR"/>
              </w:rPr>
              <w:t xml:space="preserve">du résultat </w:t>
            </w:r>
            <w:r w:rsidR="006C2EF1">
              <w:rPr>
                <w:b/>
                <w:bCs/>
                <w:i/>
                <w:iCs/>
                <w:sz w:val="16"/>
                <w:szCs w:val="16"/>
                <w:lang w:val="fr-FR"/>
              </w:rPr>
              <w:br/>
            </w:r>
            <w:r w:rsidRPr="005842A0">
              <w:rPr>
                <w:b/>
                <w:bCs/>
                <w:i/>
                <w:iCs/>
                <w:sz w:val="16"/>
                <w:szCs w:val="16"/>
                <w:lang w:val="fr-FR"/>
              </w:rPr>
              <w:t>du mesurage (crête à crête)</w:t>
            </w:r>
            <w:r w:rsidRPr="005842A0">
              <w:rPr>
                <w:sz w:val="16"/>
                <w:szCs w:val="16"/>
                <w:lang w:val="fr-FR"/>
              </w:rPr>
              <w:t xml:space="preserve"> </w:t>
            </w:r>
          </w:p>
        </w:tc>
        <w:tc>
          <w:tcPr>
            <w:tcW w:w="408" w:type="dxa"/>
            <w:vMerge w:val="restart"/>
            <w:tcBorders>
              <w:top w:val="single" w:sz="4" w:space="0" w:color="auto"/>
              <w:left w:val="nil"/>
              <w:bottom w:val="single" w:sz="12" w:space="0" w:color="auto"/>
              <w:right w:val="nil"/>
            </w:tcBorders>
            <w:shd w:val="clear" w:color="auto" w:fill="FFFFFF" w:themeFill="background1"/>
            <w:textDirection w:val="btLr"/>
            <w:vAlign w:val="center"/>
            <w:hideMark/>
          </w:tcPr>
          <w:p w14:paraId="63958E18"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 xml:space="preserve">Incidence sur </w:t>
            </w:r>
            <w:proofErr w:type="spellStart"/>
            <w:r w:rsidRPr="005842A0">
              <w:rPr>
                <w:b/>
                <w:bCs/>
                <w:i/>
                <w:iCs/>
                <w:sz w:val="16"/>
                <w:szCs w:val="16"/>
                <w:lang w:val="fr-FR"/>
              </w:rPr>
              <w:t>Lurb</w:t>
            </w:r>
            <w:proofErr w:type="spellEnd"/>
          </w:p>
        </w:tc>
        <w:tc>
          <w:tcPr>
            <w:tcW w:w="93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7B791212"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Loi de probabilité</w:t>
            </w:r>
          </w:p>
        </w:tc>
        <w:tc>
          <w:tcPr>
            <w:tcW w:w="541" w:type="dxa"/>
            <w:gridSpan w:val="2"/>
            <w:vMerge w:val="restart"/>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6EB73732"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Variance</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05CD6058"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Écart-type</w:t>
            </w:r>
          </w:p>
        </w:tc>
        <w:tc>
          <w:tcPr>
            <w:tcW w:w="674"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32F5C817"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Proportion</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A09F612"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Incertitude-type composée</w:t>
            </w:r>
            <w:r w:rsidRPr="005842A0">
              <w:rPr>
                <w:sz w:val="16"/>
                <w:szCs w:val="16"/>
                <w:lang w:val="fr-FR"/>
              </w:rPr>
              <w:t xml:space="preserve">  </w:t>
            </w:r>
          </w:p>
        </w:tc>
        <w:tc>
          <w:tcPr>
            <w:tcW w:w="1624"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B31D09B"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Budgets d’incertitude</w:t>
            </w:r>
          </w:p>
        </w:tc>
        <w:tc>
          <w:tcPr>
            <w:tcW w:w="54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14:paraId="0ECFE5A6" w14:textId="7AACF202" w:rsidR="005F5BE9" w:rsidRPr="005842A0" w:rsidRDefault="005F5BE9" w:rsidP="0059007C">
            <w:pPr>
              <w:spacing w:before="60" w:after="60" w:line="240" w:lineRule="auto"/>
              <w:ind w:left="57" w:right="57"/>
              <w:jc w:val="center"/>
              <w:rPr>
                <w:b/>
                <w:bCs/>
                <w:i/>
                <w:iCs/>
                <w:sz w:val="16"/>
                <w:szCs w:val="16"/>
                <w:lang w:val="fr-FR"/>
              </w:rPr>
            </w:pPr>
            <w:r w:rsidRPr="005842A0">
              <w:rPr>
                <w:b/>
                <w:bCs/>
                <w:i/>
                <w:iCs/>
                <w:sz w:val="16"/>
                <w:szCs w:val="16"/>
                <w:lang w:val="fr-FR"/>
              </w:rPr>
              <w:t>Incertitude élargie</w:t>
            </w:r>
            <w:r w:rsidR="00452FCD">
              <w:rPr>
                <w:b/>
                <w:bCs/>
                <w:i/>
                <w:iCs/>
                <w:sz w:val="16"/>
                <w:szCs w:val="16"/>
                <w:lang w:val="fr-FR"/>
              </w:rPr>
              <w:br/>
            </w:r>
            <w:r w:rsidRPr="005842A0">
              <w:rPr>
                <w:b/>
                <w:bCs/>
                <w:i/>
                <w:iCs/>
                <w:sz w:val="16"/>
                <w:szCs w:val="16"/>
                <w:lang w:val="fr-FR"/>
              </w:rPr>
              <w:t>(niveau de confiance de 95 %)</w:t>
            </w:r>
          </w:p>
        </w:tc>
      </w:tr>
      <w:tr w:rsidR="00DC7C60" w:rsidRPr="005842A0" w14:paraId="142D1159" w14:textId="77777777" w:rsidTr="00BA2554">
        <w:trPr>
          <w:cantSplit/>
          <w:trHeight w:val="1134"/>
          <w:tblHeader/>
        </w:trPr>
        <w:tc>
          <w:tcPr>
            <w:tcW w:w="406" w:type="dxa"/>
            <w:vMerge/>
            <w:tcBorders>
              <w:top w:val="single" w:sz="4" w:space="0" w:color="auto"/>
              <w:left w:val="single" w:sz="4" w:space="0" w:color="auto"/>
              <w:bottom w:val="single" w:sz="12" w:space="0" w:color="auto"/>
              <w:right w:val="nil"/>
            </w:tcBorders>
            <w:shd w:val="clear" w:color="auto" w:fill="FFFFFF" w:themeFill="background1"/>
            <w:vAlign w:val="center"/>
            <w:hideMark/>
          </w:tcPr>
          <w:p w14:paraId="05E047F5" w14:textId="77777777" w:rsidR="005F5BE9" w:rsidRPr="005842A0" w:rsidRDefault="005F5BE9" w:rsidP="006C2EF1">
            <w:pPr>
              <w:spacing w:before="60" w:after="60" w:line="240" w:lineRule="auto"/>
              <w:ind w:left="57" w:right="57"/>
              <w:rPr>
                <w:b/>
                <w:bCs/>
                <w:sz w:val="16"/>
                <w:szCs w:val="16"/>
                <w:lang w:val="fr-FR" w:eastAsia="de-DE"/>
              </w:rPr>
            </w:pPr>
          </w:p>
        </w:tc>
        <w:tc>
          <w:tcPr>
            <w:tcW w:w="251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83544FE" w14:textId="77777777" w:rsidR="005F5BE9" w:rsidRPr="005842A0" w:rsidRDefault="005F5BE9" w:rsidP="006C2EF1">
            <w:pPr>
              <w:spacing w:before="60" w:after="60" w:line="240" w:lineRule="auto"/>
              <w:ind w:left="57" w:right="57"/>
              <w:rPr>
                <w:b/>
                <w:bCs/>
                <w:sz w:val="16"/>
                <w:szCs w:val="16"/>
                <w:lang w:val="fr-FR" w:eastAsia="de-DE"/>
              </w:rPr>
            </w:pPr>
          </w:p>
        </w:tc>
        <w:tc>
          <w:tcPr>
            <w:tcW w:w="478"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7EA48695" w14:textId="77777777" w:rsidR="005F5BE9" w:rsidRPr="005842A0" w:rsidRDefault="005F5BE9" w:rsidP="006C2EF1">
            <w:pPr>
              <w:spacing w:before="60" w:after="60" w:line="240" w:lineRule="auto"/>
              <w:ind w:left="57" w:right="57"/>
              <w:jc w:val="center"/>
              <w:rPr>
                <w:b/>
                <w:bCs/>
                <w:i/>
                <w:iCs/>
                <w:sz w:val="16"/>
                <w:szCs w:val="16"/>
                <w:lang w:val="fr-FR"/>
              </w:rPr>
            </w:pPr>
            <w:proofErr w:type="spellStart"/>
            <w:r w:rsidRPr="005842A0">
              <w:rPr>
                <w:b/>
                <w:bCs/>
                <w:i/>
                <w:iCs/>
                <w:sz w:val="16"/>
                <w:szCs w:val="16"/>
                <w:lang w:val="fr-FR"/>
              </w:rPr>
              <w:t>Lwot</w:t>
            </w:r>
            <w:proofErr w:type="spellEnd"/>
          </w:p>
        </w:tc>
        <w:tc>
          <w:tcPr>
            <w:tcW w:w="435"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08CBF8D2" w14:textId="77777777" w:rsidR="005F5BE9" w:rsidRPr="005842A0" w:rsidRDefault="005F5BE9" w:rsidP="006C2EF1">
            <w:pPr>
              <w:spacing w:before="60" w:after="60" w:line="240" w:lineRule="auto"/>
              <w:ind w:left="57" w:right="57"/>
              <w:jc w:val="center"/>
              <w:rPr>
                <w:b/>
                <w:bCs/>
                <w:i/>
                <w:iCs/>
                <w:sz w:val="16"/>
                <w:szCs w:val="16"/>
                <w:lang w:val="fr-FR"/>
              </w:rPr>
            </w:pPr>
            <w:proofErr w:type="spellStart"/>
            <w:r w:rsidRPr="005842A0">
              <w:rPr>
                <w:b/>
                <w:bCs/>
                <w:i/>
                <w:iCs/>
                <w:sz w:val="16"/>
                <w:szCs w:val="16"/>
                <w:lang w:val="fr-FR"/>
              </w:rPr>
              <w:t>Lcrs</w:t>
            </w:r>
            <w:proofErr w:type="spellEnd"/>
          </w:p>
        </w:tc>
        <w:tc>
          <w:tcPr>
            <w:tcW w:w="408" w:type="dxa"/>
            <w:vMerge/>
            <w:tcBorders>
              <w:top w:val="single" w:sz="4" w:space="0" w:color="auto"/>
              <w:left w:val="nil"/>
              <w:bottom w:val="single" w:sz="12" w:space="0" w:color="auto"/>
              <w:right w:val="nil"/>
            </w:tcBorders>
            <w:shd w:val="clear" w:color="auto" w:fill="FFFFFF" w:themeFill="background1"/>
            <w:vAlign w:val="center"/>
            <w:hideMark/>
          </w:tcPr>
          <w:p w14:paraId="141538FA" w14:textId="77777777" w:rsidR="005F5BE9" w:rsidRPr="005842A0" w:rsidRDefault="005F5BE9" w:rsidP="006C2EF1">
            <w:pPr>
              <w:spacing w:before="60" w:after="60" w:line="240" w:lineRule="auto"/>
              <w:ind w:left="57" w:right="57"/>
              <w:rPr>
                <w:b/>
                <w:bCs/>
                <w:sz w:val="16"/>
                <w:szCs w:val="16"/>
                <w:lang w:val="fr-FR" w:eastAsia="de-DE"/>
              </w:rPr>
            </w:pPr>
          </w:p>
        </w:tc>
        <w:tc>
          <w:tcPr>
            <w:tcW w:w="93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D379A80" w14:textId="77777777" w:rsidR="005F5BE9" w:rsidRPr="005842A0" w:rsidRDefault="005F5BE9" w:rsidP="006C2EF1">
            <w:pPr>
              <w:spacing w:before="60" w:after="60" w:line="240" w:lineRule="auto"/>
              <w:ind w:left="57" w:right="57"/>
              <w:rPr>
                <w:b/>
                <w:bCs/>
                <w:sz w:val="16"/>
                <w:szCs w:val="16"/>
                <w:lang w:val="fr-FR" w:eastAsia="de-DE"/>
              </w:rPr>
            </w:pPr>
          </w:p>
        </w:tc>
        <w:tc>
          <w:tcPr>
            <w:tcW w:w="541" w:type="dxa"/>
            <w:gridSpan w:val="2"/>
            <w:vMerge/>
            <w:tcBorders>
              <w:top w:val="single" w:sz="4" w:space="0" w:color="auto"/>
              <w:left w:val="nil"/>
              <w:bottom w:val="single" w:sz="12" w:space="0" w:color="auto"/>
              <w:right w:val="single" w:sz="4" w:space="0" w:color="auto"/>
            </w:tcBorders>
            <w:shd w:val="clear" w:color="auto" w:fill="FFFFFF" w:themeFill="background1"/>
            <w:vAlign w:val="center"/>
            <w:hideMark/>
          </w:tcPr>
          <w:p w14:paraId="292EE583" w14:textId="77777777" w:rsidR="005F5BE9" w:rsidRPr="005842A0" w:rsidRDefault="005F5BE9" w:rsidP="006C2EF1">
            <w:pPr>
              <w:spacing w:before="60" w:after="60" w:line="240" w:lineRule="auto"/>
              <w:ind w:left="57" w:right="57"/>
              <w:rPr>
                <w:b/>
                <w:bCs/>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727913C" w14:textId="77777777" w:rsidR="005F5BE9" w:rsidRPr="005842A0" w:rsidRDefault="005F5BE9" w:rsidP="006C2EF1">
            <w:pPr>
              <w:spacing w:before="60" w:after="60" w:line="240" w:lineRule="auto"/>
              <w:ind w:left="57" w:right="57"/>
              <w:rPr>
                <w:b/>
                <w:bCs/>
                <w:sz w:val="16"/>
                <w:szCs w:val="16"/>
                <w:lang w:val="fr-FR" w:eastAsia="de-DE"/>
              </w:rPr>
            </w:pPr>
          </w:p>
        </w:tc>
        <w:tc>
          <w:tcPr>
            <w:tcW w:w="674"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3FB5895" w14:textId="77777777" w:rsidR="005F5BE9" w:rsidRPr="005842A0" w:rsidRDefault="005F5BE9" w:rsidP="006C2EF1">
            <w:pPr>
              <w:spacing w:before="60" w:after="60" w:line="240" w:lineRule="auto"/>
              <w:ind w:left="57" w:right="57"/>
              <w:rPr>
                <w:b/>
                <w:bCs/>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C81FEEF" w14:textId="77777777" w:rsidR="005F5BE9" w:rsidRPr="005842A0" w:rsidRDefault="005F5BE9" w:rsidP="006C2EF1">
            <w:pPr>
              <w:spacing w:before="60" w:after="60" w:line="240" w:lineRule="auto"/>
              <w:ind w:left="57" w:right="57"/>
              <w:rPr>
                <w:b/>
                <w:bCs/>
                <w:sz w:val="16"/>
                <w:szCs w:val="16"/>
                <w:lang w:val="fr-FR" w:eastAsia="de-DE"/>
              </w:rPr>
            </w:pPr>
          </w:p>
        </w:tc>
        <w:tc>
          <w:tcPr>
            <w:tcW w:w="541" w:type="dxa"/>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21DD026"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Homologation de type</w:t>
            </w:r>
          </w:p>
        </w:tc>
        <w:tc>
          <w:tcPr>
            <w:tcW w:w="541"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CC6F38F" w14:textId="77777777"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Conformité de la production</w:t>
            </w:r>
          </w:p>
        </w:tc>
        <w:tc>
          <w:tcPr>
            <w:tcW w:w="542"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77A7FCE" w14:textId="19F115D6" w:rsidR="005F5BE9" w:rsidRPr="005842A0" w:rsidRDefault="005F5BE9" w:rsidP="006C2EF1">
            <w:pPr>
              <w:spacing w:before="60" w:after="60" w:line="240" w:lineRule="auto"/>
              <w:ind w:left="57" w:right="57"/>
              <w:jc w:val="center"/>
              <w:rPr>
                <w:b/>
                <w:bCs/>
                <w:i/>
                <w:iCs/>
                <w:sz w:val="16"/>
                <w:szCs w:val="16"/>
                <w:lang w:val="fr-FR"/>
              </w:rPr>
            </w:pPr>
            <w:r w:rsidRPr="005842A0">
              <w:rPr>
                <w:b/>
                <w:bCs/>
                <w:i/>
                <w:iCs/>
                <w:sz w:val="16"/>
                <w:szCs w:val="16"/>
                <w:lang w:val="fr-FR"/>
              </w:rPr>
              <w:t xml:space="preserve">Essais </w:t>
            </w:r>
            <w:r w:rsidR="006C2EF1">
              <w:rPr>
                <w:b/>
                <w:bCs/>
                <w:i/>
                <w:iCs/>
                <w:sz w:val="16"/>
                <w:szCs w:val="16"/>
                <w:lang w:val="fr-FR"/>
              </w:rPr>
              <w:br/>
            </w:r>
            <w:r w:rsidRPr="005842A0">
              <w:rPr>
                <w:b/>
                <w:bCs/>
                <w:i/>
                <w:iCs/>
                <w:sz w:val="16"/>
                <w:szCs w:val="16"/>
                <w:lang w:val="fr-FR"/>
              </w:rPr>
              <w:t>sur le terrain</w:t>
            </w:r>
          </w:p>
        </w:tc>
        <w:tc>
          <w:tcPr>
            <w:tcW w:w="541" w:type="dxa"/>
            <w:vMerge/>
            <w:tcBorders>
              <w:left w:val="single" w:sz="4" w:space="0" w:color="auto"/>
              <w:bottom w:val="single" w:sz="12" w:space="0" w:color="auto"/>
              <w:right w:val="single" w:sz="4" w:space="0" w:color="auto"/>
            </w:tcBorders>
            <w:shd w:val="clear" w:color="auto" w:fill="FFFFFF" w:themeFill="background1"/>
            <w:vAlign w:val="center"/>
          </w:tcPr>
          <w:p w14:paraId="5185C6EB" w14:textId="77777777" w:rsidR="005F5BE9" w:rsidRPr="005842A0" w:rsidRDefault="005F5BE9" w:rsidP="001D3B93">
            <w:pPr>
              <w:spacing w:before="60" w:after="60" w:line="240" w:lineRule="auto"/>
              <w:ind w:left="57" w:right="57"/>
              <w:jc w:val="center"/>
              <w:rPr>
                <w:b/>
                <w:bCs/>
                <w:i/>
                <w:iCs/>
                <w:sz w:val="16"/>
                <w:szCs w:val="16"/>
                <w:lang w:val="fr-FR" w:eastAsia="de-DE"/>
              </w:rPr>
            </w:pPr>
          </w:p>
        </w:tc>
      </w:tr>
      <w:tr w:rsidR="00DC7C60" w:rsidRPr="00DC7C60" w14:paraId="58DF69FB" w14:textId="77777777" w:rsidTr="00BA2554">
        <w:trPr>
          <w:trHeight w:val="162"/>
        </w:trPr>
        <w:tc>
          <w:tcPr>
            <w:tcW w:w="406"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FFF2CFF" w14:textId="77777777" w:rsidR="005F5BE9" w:rsidRPr="00DC7C60" w:rsidRDefault="005F5BE9" w:rsidP="006C2EF1">
            <w:pPr>
              <w:spacing w:before="60" w:after="60" w:line="240" w:lineRule="auto"/>
              <w:ind w:left="57" w:right="57"/>
              <w:jc w:val="center"/>
              <w:rPr>
                <w:b/>
                <w:bCs/>
                <w:sz w:val="16"/>
                <w:szCs w:val="16"/>
                <w:lang w:val="fr-FR"/>
              </w:rPr>
            </w:pPr>
            <w:r w:rsidRPr="00DC7C60">
              <w:rPr>
                <w:b/>
                <w:bCs/>
                <w:sz w:val="16"/>
                <w:szCs w:val="16"/>
                <w:lang w:val="fr-FR"/>
              </w:rPr>
              <w:t>D’un essai à l’autre</w:t>
            </w:r>
          </w:p>
        </w:tc>
        <w:tc>
          <w:tcPr>
            <w:tcW w:w="251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B6DE5D1"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Effet du vent (microclimat)</w:t>
            </w:r>
          </w:p>
        </w:tc>
        <w:tc>
          <w:tcPr>
            <w:tcW w:w="47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21638B9"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1,60</w:t>
            </w:r>
          </w:p>
        </w:tc>
        <w:tc>
          <w:tcPr>
            <w:tcW w:w="435"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98AFB16"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1,50</w:t>
            </w:r>
          </w:p>
        </w:tc>
        <w:tc>
          <w:tcPr>
            <w:tcW w:w="408"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3CF215B"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1,57 </w:t>
            </w:r>
          </w:p>
        </w:tc>
        <w:tc>
          <w:tcPr>
            <w:tcW w:w="950" w:type="dxa"/>
            <w:gridSpan w:val="2"/>
            <w:tcBorders>
              <w:top w:val="single" w:sz="12" w:space="0" w:color="auto"/>
              <w:left w:val="nil"/>
              <w:bottom w:val="single" w:sz="4" w:space="0" w:color="auto"/>
              <w:right w:val="single" w:sz="4" w:space="0" w:color="auto"/>
            </w:tcBorders>
            <w:shd w:val="clear" w:color="auto" w:fill="FFFFFF" w:themeFill="background1"/>
            <w:vAlign w:val="center"/>
            <w:hideMark/>
          </w:tcPr>
          <w:p w14:paraId="2C3F79E6"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gaussienne</w:t>
            </w:r>
          </w:p>
        </w:tc>
        <w:tc>
          <w:tcPr>
            <w:tcW w:w="529"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A343E3B"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0,15 </w:t>
            </w:r>
          </w:p>
        </w:tc>
        <w:tc>
          <w:tcPr>
            <w:tcW w:w="541"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1441075"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0,392 </w:t>
            </w:r>
          </w:p>
        </w:tc>
        <w:tc>
          <w:tcPr>
            <w:tcW w:w="674"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0B384D19"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5,6 %</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09F25D7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0,53 </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31F8B6EF"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0,53 </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2D8ECFB5"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0,53 </w:t>
            </w:r>
          </w:p>
        </w:tc>
        <w:tc>
          <w:tcPr>
            <w:tcW w:w="542"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5AC32746"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0,53 </w:t>
            </w:r>
          </w:p>
        </w:tc>
        <w:tc>
          <w:tcPr>
            <w:tcW w:w="541" w:type="dxa"/>
            <w:vMerge w:val="restart"/>
            <w:tcBorders>
              <w:top w:val="single" w:sz="12" w:space="0" w:color="auto"/>
              <w:left w:val="single" w:sz="4" w:space="0" w:color="auto"/>
              <w:right w:val="single" w:sz="4" w:space="0" w:color="auto"/>
            </w:tcBorders>
            <w:shd w:val="clear" w:color="auto" w:fill="FFFFFF" w:themeFill="background1"/>
            <w:vAlign w:val="center"/>
          </w:tcPr>
          <w:p w14:paraId="0BC67E14"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1,1</w:t>
            </w:r>
          </w:p>
        </w:tc>
      </w:tr>
      <w:tr w:rsidR="00DC7C60" w:rsidRPr="00DC7C60" w14:paraId="0B0CE9CA"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19C2D"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12399"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Conducteur #1 : écart par rapport au centre de la position de conduite</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BF4F5F"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0,50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54981F"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0,50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5CC855"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0,50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7E545F"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77A524"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0,02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072DBF"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0,144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72BFCB"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0,8 %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4AC8E"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CAD5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194DA"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8514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1032E1CB"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28B8F48C"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7190F9"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D368D6"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Conducteur #2 : début de l’accélération</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69C56B"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0,60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74E05"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0,00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08FFD7"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0,40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E4BB5D9"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8BF80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73F91"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0,144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0E96C2"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0,5 %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A7EB2"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B53ED"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F55BC"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8CE56"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26D08632"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123FFF4B"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A642B"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31A023"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Conducteur #3 : variations de la vitesse de +/-1 km/h</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D92260"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0,30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08978A"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0,50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AA5ABA"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0,50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F678A5A"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39768"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0,02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443C29"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0,144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C4C065"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0,8%</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5B1D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37193"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8D54B"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5D43"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0D15A3F7"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4454A5FA"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19B71"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5048F"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Conducteur #4 : variations de la charge en régime de croisière</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2CB8DD"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0,00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BCEB18"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1,00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93FEBE"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0,34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1A07ECB"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2CD4F7"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F2C972"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0,085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26E4D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0,3 %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64FD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25FC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16E4C"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13026"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0B011A25"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3A28FD3D"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4BEC"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1D905A"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Variations du bruit ambiant</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378AA9"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0,40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CF578D"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0,40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5E941D"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0,40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764F8D9"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AB6E47"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B284A4"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0,115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97622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0,5 %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DD64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12BC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9DCB7"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54DBD"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FC45621"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2F2749AC"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7F16A"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454AB2" w14:textId="77777777" w:rsidR="005F5BE9" w:rsidRPr="00DC7C60" w:rsidRDefault="005F5BE9" w:rsidP="00076441">
            <w:pPr>
              <w:spacing w:before="60" w:after="60" w:line="240" w:lineRule="auto"/>
              <w:ind w:left="-7"/>
              <w:rPr>
                <w:sz w:val="16"/>
                <w:szCs w:val="16"/>
                <w:lang w:val="fr-FR"/>
              </w:rPr>
            </w:pPr>
            <w:r w:rsidRPr="00DC7C60">
              <w:rPr>
                <w:sz w:val="16"/>
                <w:szCs w:val="16"/>
                <w:lang w:val="fr-FR"/>
              </w:rPr>
              <w:t>Variations de la température de fonctionnement du moteur (WOT) et des pneumatiques (WOT et CRS) =&gt; voir la note dans la norme ISO 362-1</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4F6AAD" w14:textId="77777777" w:rsidR="005F5BE9" w:rsidRPr="00DC7C60" w:rsidRDefault="005F5BE9" w:rsidP="00076441">
            <w:pPr>
              <w:spacing w:before="60" w:after="60" w:line="240" w:lineRule="auto"/>
              <w:ind w:left="-51" w:right="-21"/>
              <w:jc w:val="center"/>
              <w:rPr>
                <w:sz w:val="16"/>
                <w:szCs w:val="16"/>
                <w:lang w:val="fr-FR"/>
              </w:rPr>
            </w:pPr>
            <w:r w:rsidRPr="00DC7C60">
              <w:rPr>
                <w:sz w:val="16"/>
                <w:szCs w:val="16"/>
                <w:lang w:val="fr-FR"/>
              </w:rPr>
              <w:t>0,80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BC4AC9" w14:textId="77777777" w:rsidR="005F5BE9" w:rsidRPr="00DC7C60" w:rsidRDefault="005F5BE9" w:rsidP="00D96D23">
            <w:pPr>
              <w:spacing w:before="60" w:after="60" w:line="240" w:lineRule="auto"/>
              <w:ind w:left="-57" w:right="-14"/>
              <w:jc w:val="center"/>
              <w:rPr>
                <w:sz w:val="16"/>
                <w:szCs w:val="16"/>
                <w:lang w:val="fr-FR"/>
              </w:rPr>
            </w:pPr>
            <w:r w:rsidRPr="00DC7C60">
              <w:rPr>
                <w:sz w:val="16"/>
                <w:szCs w:val="16"/>
                <w:lang w:val="fr-FR"/>
              </w:rPr>
              <w:t>0,80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8DD5FD" w14:textId="77777777" w:rsidR="005F5BE9" w:rsidRPr="00DC7C60" w:rsidRDefault="005F5BE9" w:rsidP="00C46F21">
            <w:pPr>
              <w:spacing w:before="60" w:after="60" w:line="240" w:lineRule="auto"/>
              <w:ind w:left="-44" w:right="-36"/>
              <w:jc w:val="center"/>
              <w:rPr>
                <w:sz w:val="16"/>
                <w:szCs w:val="16"/>
                <w:lang w:val="fr-FR"/>
              </w:rPr>
            </w:pPr>
            <w:r w:rsidRPr="00DC7C60">
              <w:rPr>
                <w:sz w:val="16"/>
                <w:szCs w:val="16"/>
                <w:lang w:val="fr-FR"/>
              </w:rPr>
              <w:t xml:space="preserve">0,80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75723FF" w14:textId="77777777" w:rsidR="005F5BE9" w:rsidRPr="00DC7C60" w:rsidRDefault="005F5BE9" w:rsidP="00C07EDD">
            <w:pPr>
              <w:spacing w:before="60" w:after="6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CECB7"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 xml:space="preserve">0,05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E204B8" w14:textId="77777777" w:rsidR="005F5BE9" w:rsidRPr="00DC7C60" w:rsidRDefault="005F5BE9" w:rsidP="00C07EDD">
            <w:pPr>
              <w:spacing w:before="60" w:after="60" w:line="240" w:lineRule="auto"/>
              <w:ind w:left="-11" w:right="-34"/>
              <w:jc w:val="center"/>
              <w:rPr>
                <w:sz w:val="16"/>
                <w:szCs w:val="16"/>
                <w:lang w:val="fr-FR"/>
              </w:rPr>
            </w:pPr>
            <w:r w:rsidRPr="00DC7C60">
              <w:rPr>
                <w:sz w:val="16"/>
                <w:szCs w:val="16"/>
                <w:lang w:val="fr-FR"/>
              </w:rPr>
              <w:t xml:space="preserve">0,231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DBD152"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2,0 %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FA25C2"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75DB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21D73"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0AFED"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bottom w:val="single" w:sz="4" w:space="0" w:color="auto"/>
              <w:right w:val="single" w:sz="4" w:space="0" w:color="auto"/>
            </w:tcBorders>
            <w:shd w:val="clear" w:color="auto" w:fill="FFFFFF" w:themeFill="background1"/>
            <w:vAlign w:val="center"/>
          </w:tcPr>
          <w:p w14:paraId="15F9E733"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73552FA7" w14:textId="77777777" w:rsidTr="00BA2554">
        <w:trPr>
          <w:trHeight w:val="162"/>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1422387" w14:textId="77777777" w:rsidR="005F5BE9" w:rsidRPr="00DC7C60" w:rsidRDefault="005F5BE9" w:rsidP="00D145E9">
            <w:pPr>
              <w:keepNext/>
              <w:spacing w:before="60" w:after="60" w:line="240" w:lineRule="auto"/>
              <w:ind w:left="57" w:right="57"/>
              <w:jc w:val="center"/>
              <w:rPr>
                <w:b/>
                <w:bCs/>
                <w:sz w:val="16"/>
                <w:szCs w:val="16"/>
                <w:lang w:val="fr-FR"/>
              </w:rPr>
            </w:pPr>
            <w:r w:rsidRPr="00DC7C60">
              <w:rPr>
                <w:b/>
                <w:bCs/>
                <w:sz w:val="16"/>
                <w:szCs w:val="16"/>
                <w:lang w:val="fr-FR"/>
              </w:rPr>
              <w:lastRenderedPageBreak/>
              <w:t>D’un jour à l’autre</w:t>
            </w: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59B5EE" w14:textId="7DBDEF25" w:rsidR="005F5BE9" w:rsidRPr="00DC7C60" w:rsidRDefault="005F5BE9" w:rsidP="00FB1A4D">
            <w:pPr>
              <w:keepNext/>
              <w:spacing w:before="40" w:after="40" w:line="240" w:lineRule="auto"/>
              <w:ind w:left="-7"/>
              <w:rPr>
                <w:sz w:val="16"/>
                <w:szCs w:val="16"/>
                <w:lang w:val="fr-FR"/>
              </w:rPr>
            </w:pPr>
            <w:r w:rsidRPr="00DC7C60">
              <w:rPr>
                <w:sz w:val="16"/>
                <w:szCs w:val="16"/>
                <w:lang w:val="fr-FR"/>
              </w:rPr>
              <w:t>Pression barométrique (conditions météorologiques +/-30 hPa)</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534AA" w14:textId="77777777" w:rsidR="005F5BE9" w:rsidRPr="00DC7C60" w:rsidRDefault="005F5BE9" w:rsidP="00FB1A4D">
            <w:pPr>
              <w:keepNext/>
              <w:spacing w:before="40" w:after="40" w:line="240" w:lineRule="auto"/>
              <w:ind w:left="-51" w:right="-21"/>
              <w:jc w:val="center"/>
              <w:rPr>
                <w:sz w:val="16"/>
                <w:szCs w:val="16"/>
                <w:lang w:val="fr-FR"/>
              </w:rPr>
            </w:pPr>
            <w:r w:rsidRPr="00DC7C60">
              <w:rPr>
                <w:sz w:val="16"/>
                <w:szCs w:val="16"/>
                <w:lang w:val="fr-FR"/>
              </w:rPr>
              <w:t>0,40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E2495B" w14:textId="77777777" w:rsidR="005F5BE9" w:rsidRPr="00DC7C60" w:rsidRDefault="005F5BE9" w:rsidP="00FB1A4D">
            <w:pPr>
              <w:keepNext/>
              <w:spacing w:before="40" w:after="40" w:line="240" w:lineRule="auto"/>
              <w:ind w:left="-57" w:right="-14"/>
              <w:jc w:val="center"/>
              <w:rPr>
                <w:sz w:val="16"/>
                <w:szCs w:val="16"/>
                <w:lang w:val="fr-FR"/>
              </w:rPr>
            </w:pPr>
            <w:r w:rsidRPr="00DC7C60">
              <w:rPr>
                <w:sz w:val="16"/>
                <w:szCs w:val="16"/>
                <w:lang w:val="fr-FR"/>
              </w:rPr>
              <w:t>0,40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24FB9A" w14:textId="77777777" w:rsidR="005F5BE9" w:rsidRPr="00DC7C60" w:rsidRDefault="005F5BE9" w:rsidP="00FB1A4D">
            <w:pPr>
              <w:keepNext/>
              <w:spacing w:before="40" w:after="40" w:line="240" w:lineRule="auto"/>
              <w:ind w:left="-44" w:right="-36"/>
              <w:jc w:val="center"/>
              <w:rPr>
                <w:sz w:val="16"/>
                <w:szCs w:val="16"/>
                <w:lang w:val="fr-FR"/>
              </w:rPr>
            </w:pPr>
            <w:r w:rsidRPr="00DC7C60">
              <w:rPr>
                <w:sz w:val="16"/>
                <w:szCs w:val="16"/>
                <w:lang w:val="fr-FR"/>
              </w:rPr>
              <w:t xml:space="preserve">0,40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2D53118" w14:textId="77777777" w:rsidR="005F5BE9" w:rsidRPr="00DC7C60" w:rsidRDefault="005F5BE9" w:rsidP="00FB1A4D">
            <w:pPr>
              <w:keepNext/>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C919A6" w14:textId="77777777" w:rsidR="005F5BE9" w:rsidRPr="00DC7C60" w:rsidRDefault="005F5BE9" w:rsidP="00FB1A4D">
            <w:pPr>
              <w:keepNext/>
              <w:spacing w:before="40" w:after="40" w:line="240" w:lineRule="auto"/>
              <w:ind w:left="28" w:right="28"/>
              <w:jc w:val="center"/>
              <w:rPr>
                <w:sz w:val="16"/>
                <w:szCs w:val="16"/>
                <w:lang w:val="fr-FR"/>
              </w:rPr>
            </w:pPr>
            <w:r w:rsidRPr="00DC7C60">
              <w:rPr>
                <w:sz w:val="16"/>
                <w:szCs w:val="16"/>
                <w:lang w:val="fr-FR"/>
              </w:rPr>
              <w:t xml:space="preserve">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E9A410" w14:textId="77777777" w:rsidR="005F5BE9" w:rsidRPr="00DC7C60" w:rsidRDefault="005F5BE9" w:rsidP="00FB1A4D">
            <w:pPr>
              <w:keepNext/>
              <w:spacing w:before="40" w:after="40" w:line="240" w:lineRule="auto"/>
              <w:ind w:left="-11" w:right="-34"/>
              <w:jc w:val="center"/>
              <w:rPr>
                <w:sz w:val="16"/>
                <w:szCs w:val="16"/>
                <w:lang w:val="fr-FR"/>
              </w:rPr>
            </w:pPr>
            <w:r w:rsidRPr="00DC7C60">
              <w:rPr>
                <w:sz w:val="16"/>
                <w:szCs w:val="16"/>
                <w:lang w:val="fr-FR"/>
              </w:rPr>
              <w:t xml:space="preserve">0,100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47BA79" w14:textId="77777777" w:rsidR="005F5BE9" w:rsidRPr="00DC7C60" w:rsidRDefault="005F5BE9" w:rsidP="00FB1A4D">
            <w:pPr>
              <w:keepNext/>
              <w:spacing w:before="40" w:after="40" w:line="240" w:lineRule="auto"/>
              <w:ind w:left="28" w:right="28"/>
              <w:jc w:val="center"/>
              <w:rPr>
                <w:sz w:val="16"/>
                <w:szCs w:val="16"/>
                <w:lang w:val="fr-FR"/>
              </w:rPr>
            </w:pPr>
            <w:r w:rsidRPr="00DC7C60">
              <w:rPr>
                <w:sz w:val="16"/>
                <w:szCs w:val="16"/>
                <w:lang w:val="fr-FR"/>
              </w:rPr>
              <w:t>0,4 %</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9AACC" w14:textId="77777777" w:rsidR="005F5BE9" w:rsidRPr="00DC7C60" w:rsidRDefault="005F5BE9" w:rsidP="00D145E9">
            <w:pPr>
              <w:keepNext/>
              <w:spacing w:before="60" w:after="60" w:line="240" w:lineRule="auto"/>
              <w:ind w:left="28" w:right="28"/>
              <w:jc w:val="center"/>
              <w:rPr>
                <w:sz w:val="16"/>
                <w:szCs w:val="16"/>
                <w:lang w:val="fr-FR"/>
              </w:rPr>
            </w:pPr>
            <w:r w:rsidRPr="00DC7C60">
              <w:rPr>
                <w:sz w:val="16"/>
                <w:szCs w:val="16"/>
                <w:lang w:val="fr-FR"/>
              </w:rPr>
              <w:t>0,92</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AA0ABC" w14:textId="77777777" w:rsidR="005F5BE9" w:rsidRPr="00DC7C60" w:rsidRDefault="005F5BE9" w:rsidP="00D145E9">
            <w:pPr>
              <w:keepNext/>
              <w:spacing w:before="60" w:after="60" w:line="240" w:lineRule="auto"/>
              <w:ind w:left="28" w:right="28"/>
              <w:jc w:val="center"/>
              <w:rPr>
                <w:sz w:val="16"/>
                <w:szCs w:val="16"/>
                <w:lang w:val="fr-FR"/>
              </w:rPr>
            </w:pPr>
            <w:r w:rsidRPr="00DC7C60">
              <w:rPr>
                <w:sz w:val="16"/>
                <w:szCs w:val="16"/>
                <w:lang w:val="fr-FR"/>
              </w:rPr>
              <w:t>0,92</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A91BC" w14:textId="77777777" w:rsidR="005F5BE9" w:rsidRPr="00DC7C60" w:rsidRDefault="005F5BE9" w:rsidP="00D145E9">
            <w:pPr>
              <w:keepNext/>
              <w:spacing w:before="60" w:after="60" w:line="240" w:lineRule="auto"/>
              <w:ind w:left="28" w:right="28"/>
              <w:jc w:val="center"/>
              <w:rPr>
                <w:sz w:val="16"/>
                <w:szCs w:val="16"/>
                <w:lang w:val="fr-FR"/>
              </w:rPr>
            </w:pPr>
            <w:r w:rsidRPr="00DC7C60">
              <w:rPr>
                <w:sz w:val="16"/>
                <w:szCs w:val="16"/>
                <w:lang w:val="fr-FR"/>
              </w:rPr>
              <w:t>0,92</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59F0E" w14:textId="77777777" w:rsidR="005F5BE9" w:rsidRPr="00DC7C60" w:rsidRDefault="005F5BE9" w:rsidP="00D145E9">
            <w:pPr>
              <w:keepNext/>
              <w:spacing w:before="60" w:after="60" w:line="240" w:lineRule="auto"/>
              <w:ind w:left="28" w:right="28"/>
              <w:jc w:val="center"/>
              <w:rPr>
                <w:sz w:val="16"/>
                <w:szCs w:val="16"/>
                <w:lang w:val="fr-FR"/>
              </w:rPr>
            </w:pPr>
            <w:r w:rsidRPr="00DC7C60">
              <w:rPr>
                <w:sz w:val="16"/>
                <w:szCs w:val="16"/>
                <w:lang w:val="fr-FR"/>
              </w:rPr>
              <w:t>0,92</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3993BA0C" w14:textId="77777777" w:rsidR="005F5BE9" w:rsidRPr="00DC7C60" w:rsidRDefault="005F5BE9" w:rsidP="00D145E9">
            <w:pPr>
              <w:keepNext/>
              <w:spacing w:before="60" w:after="60" w:line="240" w:lineRule="auto"/>
              <w:ind w:left="28" w:right="28"/>
              <w:jc w:val="center"/>
              <w:rPr>
                <w:sz w:val="16"/>
                <w:szCs w:val="16"/>
                <w:lang w:val="fr-FR"/>
              </w:rPr>
            </w:pPr>
            <w:r w:rsidRPr="00DC7C60">
              <w:rPr>
                <w:sz w:val="16"/>
                <w:szCs w:val="16"/>
                <w:lang w:val="fr-FR"/>
              </w:rPr>
              <w:t>1,8</w:t>
            </w:r>
          </w:p>
        </w:tc>
      </w:tr>
      <w:tr w:rsidR="00DC7C60" w:rsidRPr="00DC7C60" w14:paraId="69FCB7AD"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21CF2" w14:textId="77777777" w:rsidR="005F5BE9" w:rsidRPr="00DC7C60" w:rsidRDefault="005F5BE9" w:rsidP="00D145E9">
            <w:pPr>
              <w:keepNext/>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ED2C62" w14:textId="77777777" w:rsidR="005F5BE9" w:rsidRPr="00DC7C60" w:rsidRDefault="005F5BE9" w:rsidP="00FB1A4D">
            <w:pPr>
              <w:keepNext/>
              <w:spacing w:before="40" w:after="40" w:line="240" w:lineRule="auto"/>
              <w:ind w:left="-7"/>
              <w:rPr>
                <w:sz w:val="16"/>
                <w:szCs w:val="16"/>
                <w:lang w:val="fr-FR"/>
              </w:rPr>
            </w:pPr>
            <w:r w:rsidRPr="00DC7C60">
              <w:rPr>
                <w:sz w:val="16"/>
                <w:szCs w:val="16"/>
                <w:lang w:val="fr-FR"/>
              </w:rPr>
              <w:t>Effet de la température de l’air sur le bruit des pneumatiques (5-10 °C)</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CC757B" w14:textId="77777777" w:rsidR="005F5BE9" w:rsidRPr="00DC7C60" w:rsidRDefault="005F5BE9" w:rsidP="00FB1A4D">
            <w:pPr>
              <w:keepNext/>
              <w:spacing w:before="40" w:after="40" w:line="240" w:lineRule="auto"/>
              <w:ind w:left="-51" w:right="-21"/>
              <w:jc w:val="center"/>
              <w:rPr>
                <w:sz w:val="16"/>
                <w:szCs w:val="16"/>
                <w:lang w:val="fr-FR"/>
              </w:rPr>
            </w:pPr>
            <w:r w:rsidRPr="00DC7C60">
              <w:rPr>
                <w:sz w:val="16"/>
                <w:szCs w:val="16"/>
                <w:lang w:val="fr-FR"/>
              </w:rPr>
              <w:t>0,00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C3CD46" w14:textId="77777777" w:rsidR="005F5BE9" w:rsidRPr="00DC7C60" w:rsidRDefault="005F5BE9" w:rsidP="00FB1A4D">
            <w:pPr>
              <w:keepNext/>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A6A4E3" w14:textId="77777777" w:rsidR="005F5BE9" w:rsidRPr="00DC7C60" w:rsidRDefault="005F5BE9" w:rsidP="00FB1A4D">
            <w:pPr>
              <w:keepNext/>
              <w:spacing w:before="40" w:after="40" w:line="240" w:lineRule="auto"/>
              <w:ind w:left="-44" w:right="-36"/>
              <w:jc w:val="center"/>
              <w:rPr>
                <w:sz w:val="16"/>
                <w:szCs w:val="16"/>
                <w:lang w:val="fr-FR"/>
              </w:rPr>
            </w:pPr>
            <w:r w:rsidRPr="00DC7C60">
              <w:rPr>
                <w:sz w:val="16"/>
                <w:szCs w:val="16"/>
                <w:lang w:val="fr-FR"/>
              </w:rPr>
              <w:t xml:space="preserve">0,00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410639E" w14:textId="77777777" w:rsidR="005F5BE9" w:rsidRPr="00DC7C60" w:rsidRDefault="005F5BE9" w:rsidP="00FB1A4D">
            <w:pPr>
              <w:keepNext/>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CA855A" w14:textId="77777777" w:rsidR="005F5BE9" w:rsidRPr="00DC7C60" w:rsidRDefault="005F5BE9" w:rsidP="00FB1A4D">
            <w:pPr>
              <w:keepNext/>
              <w:spacing w:before="40" w:after="40" w:line="240" w:lineRule="auto"/>
              <w:ind w:left="28" w:right="28"/>
              <w:jc w:val="center"/>
              <w:rPr>
                <w:sz w:val="16"/>
                <w:szCs w:val="16"/>
                <w:lang w:val="fr-FR"/>
              </w:rPr>
            </w:pPr>
            <w:r w:rsidRPr="00DC7C60">
              <w:rPr>
                <w:sz w:val="16"/>
                <w:szCs w:val="16"/>
                <w:lang w:val="fr-FR"/>
              </w:rPr>
              <w:t xml:space="preserve">0,00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6ACF8C" w14:textId="77777777" w:rsidR="005F5BE9" w:rsidRPr="00DC7C60" w:rsidRDefault="005F5BE9" w:rsidP="00FB1A4D">
            <w:pPr>
              <w:keepNext/>
              <w:spacing w:before="40" w:after="40" w:line="240" w:lineRule="auto"/>
              <w:ind w:left="-11" w:right="-34"/>
              <w:jc w:val="center"/>
              <w:rPr>
                <w:sz w:val="16"/>
                <w:szCs w:val="16"/>
                <w:lang w:val="fr-FR"/>
              </w:rPr>
            </w:pPr>
            <w:r w:rsidRPr="00DC7C60">
              <w:rPr>
                <w:sz w:val="16"/>
                <w:szCs w:val="16"/>
                <w:lang w:val="fr-FR"/>
              </w:rPr>
              <w:t>0,000</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A8FF76" w14:textId="77777777" w:rsidR="005F5BE9" w:rsidRPr="00DC7C60" w:rsidRDefault="005F5BE9" w:rsidP="00FB1A4D">
            <w:pPr>
              <w:keepNext/>
              <w:spacing w:before="40" w:after="40" w:line="240" w:lineRule="auto"/>
              <w:ind w:left="28" w:right="28"/>
              <w:jc w:val="center"/>
              <w:rPr>
                <w:sz w:val="16"/>
                <w:szCs w:val="16"/>
                <w:lang w:val="fr-FR"/>
              </w:rPr>
            </w:pPr>
            <w:r w:rsidRPr="00DC7C60">
              <w:rPr>
                <w:sz w:val="16"/>
                <w:szCs w:val="16"/>
                <w:lang w:val="fr-FR"/>
              </w:rPr>
              <w:t>0,02 %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CFDEC" w14:textId="77777777" w:rsidR="005F5BE9" w:rsidRPr="00DC7C60" w:rsidRDefault="005F5BE9" w:rsidP="00D145E9">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63F72" w14:textId="77777777" w:rsidR="005F5BE9" w:rsidRPr="00DC7C60" w:rsidRDefault="005F5BE9" w:rsidP="00D145E9">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CC3DD" w14:textId="77777777" w:rsidR="005F5BE9" w:rsidRPr="00DC7C60" w:rsidRDefault="005F5BE9" w:rsidP="00D145E9">
            <w:pPr>
              <w:keepNext/>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2F21D" w14:textId="77777777" w:rsidR="005F5BE9" w:rsidRPr="00DC7C60" w:rsidRDefault="005F5BE9" w:rsidP="00D145E9">
            <w:pPr>
              <w:keepNext/>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B7F340D" w14:textId="77777777" w:rsidR="005F5BE9" w:rsidRPr="00DC7C60" w:rsidRDefault="005F5BE9" w:rsidP="00D145E9">
            <w:pPr>
              <w:keepNext/>
              <w:spacing w:before="60" w:after="60" w:line="240" w:lineRule="auto"/>
              <w:ind w:left="28" w:right="28"/>
              <w:jc w:val="center"/>
              <w:rPr>
                <w:sz w:val="16"/>
                <w:szCs w:val="16"/>
                <w:lang w:val="fr-FR" w:eastAsia="de-DE"/>
              </w:rPr>
            </w:pPr>
          </w:p>
        </w:tc>
      </w:tr>
      <w:tr w:rsidR="00DC7C60" w:rsidRPr="00DC7C60" w14:paraId="4E011D6F"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F69B3"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26C98D"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Effet de la température de l’air sur le bruit des pneumatiques (10-40 °C)</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0EF1AD"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2,20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A5051"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3,60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C7FE6D"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2,67</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C7894FA"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F844EA"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0,60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7895DB"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0,772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19CC06"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21,9 %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4D75F"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7458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25894"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D032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8ADC8E7"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30FC501F"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30B29"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5FE396"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Variations du bruit ambiant pendant le mesurage</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AB41B"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0,00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C35A3"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32B981"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0,00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4037D7A"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 xml:space="preserve">rectangulaire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F195A5"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0,00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06E375"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0,000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50FDE8"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0,0 %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9979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9E57C"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5872A"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F03D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5322D2F"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274C80C3" w14:textId="77777777" w:rsidTr="00BA2554">
        <w:trPr>
          <w:trHeight w:val="107"/>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A8C41"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036F07"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Variations de la température de l’air d’admission</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C76270"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1,60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186F7B"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7980DA"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1,06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C50E364"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 xml:space="preserve">rectangulaire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305602"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0,09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606D09"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0,305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43B1BB"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3,4 %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64D5D"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2E15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D0C6"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513A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65707BDC"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3B9176D9" w14:textId="77777777" w:rsidTr="00BA2554">
        <w:trPr>
          <w:trHeight w:val="235"/>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48A83"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29CFC"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Humidité résiduelle sur le revêtement de la piste d’essai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FD1769"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0,90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77E2E6"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2,10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485D87"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1,31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4390B49"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2EA7A"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0,14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9A2702"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0,377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D745A7"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5,2 %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7EDE9"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EE01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84B31"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7969"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bottom w:val="single" w:sz="4" w:space="0" w:color="auto"/>
              <w:right w:val="single" w:sz="4" w:space="0" w:color="auto"/>
            </w:tcBorders>
            <w:shd w:val="clear" w:color="auto" w:fill="FFFFFF" w:themeFill="background1"/>
            <w:vAlign w:val="center"/>
          </w:tcPr>
          <w:p w14:paraId="74A3661E"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24BA8CDC" w14:textId="77777777" w:rsidTr="00BA2554">
        <w:trPr>
          <w:trHeight w:val="162"/>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68936AD" w14:textId="77777777" w:rsidR="005F5BE9" w:rsidRPr="00DC7C60" w:rsidRDefault="005F5BE9" w:rsidP="006C2EF1">
            <w:pPr>
              <w:spacing w:before="60" w:after="60" w:line="240" w:lineRule="auto"/>
              <w:ind w:left="57" w:right="57"/>
              <w:jc w:val="center"/>
              <w:rPr>
                <w:b/>
                <w:bCs/>
                <w:sz w:val="16"/>
                <w:szCs w:val="16"/>
                <w:lang w:val="fr-FR"/>
              </w:rPr>
            </w:pPr>
            <w:r w:rsidRPr="00DC7C60">
              <w:rPr>
                <w:b/>
                <w:bCs/>
                <w:sz w:val="16"/>
                <w:szCs w:val="16"/>
                <w:lang w:val="fr-FR"/>
              </w:rPr>
              <w:t>D’un site à l’autre</w:t>
            </w: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036E80" w14:textId="1640DBDE" w:rsidR="005F5BE9" w:rsidRPr="00DC7C60" w:rsidRDefault="005F5BE9" w:rsidP="00CC185F">
            <w:pPr>
              <w:spacing w:before="40" w:after="40" w:line="240" w:lineRule="auto"/>
              <w:ind w:left="-7" w:right="-34"/>
              <w:rPr>
                <w:sz w:val="16"/>
                <w:szCs w:val="16"/>
                <w:lang w:val="fr-FR"/>
              </w:rPr>
            </w:pPr>
            <w:r w:rsidRPr="00DC7C60">
              <w:rPr>
                <w:sz w:val="16"/>
                <w:szCs w:val="16"/>
                <w:lang w:val="fr-FR"/>
              </w:rPr>
              <w:t>Altitude de la piste -100</w:t>
            </w:r>
            <w:r w:rsidR="00CC185F">
              <w:rPr>
                <w:sz w:val="16"/>
                <w:szCs w:val="16"/>
                <w:lang w:val="fr-FR"/>
              </w:rPr>
              <w:t> </w:t>
            </w:r>
            <w:r w:rsidRPr="00DC7C60">
              <w:rPr>
                <w:sz w:val="16"/>
                <w:szCs w:val="16"/>
                <w:lang w:val="fr-FR"/>
              </w:rPr>
              <w:t>hPa/1 000</w:t>
            </w:r>
            <w:r w:rsidR="00F45739">
              <w:rPr>
                <w:sz w:val="16"/>
                <w:szCs w:val="16"/>
                <w:lang w:val="fr-FR"/>
              </w:rPr>
              <w:t> </w:t>
            </w:r>
            <w:r w:rsidRPr="00DC7C60">
              <w:rPr>
                <w:sz w:val="16"/>
                <w:szCs w:val="16"/>
                <w:lang w:val="fr-FR"/>
              </w:rPr>
              <w:t xml:space="preserve">m </w:t>
            </w:r>
            <w:r w:rsidR="00CC185F">
              <w:rPr>
                <w:sz w:val="16"/>
                <w:szCs w:val="16"/>
                <w:lang w:val="fr-FR"/>
              </w:rPr>
              <w:br/>
            </w:r>
            <w:r w:rsidRPr="00DC7C60">
              <w:rPr>
                <w:sz w:val="16"/>
                <w:szCs w:val="16"/>
                <w:lang w:val="fr-FR"/>
              </w:rPr>
              <w:t>(de 1 015 à 915 hPa)</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B314AB"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0,70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2CBABD"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0,70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04BD99"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0,70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BEA87BA"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5A8D6"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0,04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0AF169"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0,202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DC108D"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1,5 %</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3CF09"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1,24</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A4FA1" w14:textId="77777777" w:rsidR="005F5BE9" w:rsidRPr="00DC7C60" w:rsidRDefault="005F5BE9" w:rsidP="00396DAA">
            <w:pPr>
              <w:spacing w:before="60" w:after="60" w:line="240" w:lineRule="auto"/>
              <w:ind w:left="28" w:right="28"/>
              <w:jc w:val="center"/>
              <w:rPr>
                <w:sz w:val="16"/>
                <w:szCs w:val="16"/>
                <w:lang w:val="fr-FR" w:eastAsia="de-DE"/>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DB8A4"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0,62</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14DA9"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1,24</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13DD1D52"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2,5</w:t>
            </w:r>
          </w:p>
        </w:tc>
      </w:tr>
      <w:tr w:rsidR="00DC7C60" w:rsidRPr="00DC7C60" w14:paraId="76CF974D"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3BAA4FF"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5892A4"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Revêtement de la piste d’essai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FE8CC6"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3,40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6B50B0"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5,50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0331BA"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4,11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F97727B"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F9E38"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1,41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59366"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1,187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648DB7"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51,8 %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8144"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FB19"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1CF69"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EED79"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36B91E63"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5709FE5B"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4EC4EED"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9C8794"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Microphone de classe 1 selon la norme 61672 de la CEI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0A1C6C"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1,00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F12509"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1,00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26C741"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1,00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6B6BB31"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381193"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0,06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073F3F"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0,250</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21DB0"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2,3 %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9E5EC"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6414F"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64D8"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D7095"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36B4F439"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7EBB8717"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56FC61F"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05DAB"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Étalonneur acoustique conforme à la norme 60942 de la CEI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E62AC2"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0,50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332D0"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C12357"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0,50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7588E9"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 xml:space="preserve">gaussienne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123759"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0,02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E22FF8"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0,125</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570062"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0,6 %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6676C"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A8071"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E193C"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AF6C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1D09096E"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142BFE1A"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B3A7E27"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6A7AA"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Dispositif de mesure continue de la vitesse sur la ligne PP</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5AE439"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0,10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232C7"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0,10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92CE7D"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0,10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A087537"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8596BA"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0,00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40595"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0,029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86FED1"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0,0 %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8205"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B01D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1561C"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1704D"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79E04D3"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7CDFB7C6"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6BFF10D"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8F761C"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Calcul de l’accélération par le dispositif de mesure de la vitesse</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2E9B6"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0,50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BCC747"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35D8AA"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0,50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5C5E4ED"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EC129D"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0,02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930BEA"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0,144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3D0C04"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0,8 %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2C09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3DB45"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9B30"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7853"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bottom w:val="single" w:sz="4" w:space="0" w:color="auto"/>
              <w:right w:val="single" w:sz="4" w:space="0" w:color="auto"/>
            </w:tcBorders>
            <w:shd w:val="clear" w:color="auto" w:fill="FFFFFF" w:themeFill="background1"/>
            <w:vAlign w:val="center"/>
          </w:tcPr>
          <w:p w14:paraId="4EC1D39B"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3D37FE8E" w14:textId="77777777" w:rsidTr="00BA2554">
        <w:trPr>
          <w:trHeight w:val="162"/>
        </w:trPr>
        <w:tc>
          <w:tcPr>
            <w:tcW w:w="406"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D9A184C" w14:textId="77777777" w:rsidR="005F5BE9" w:rsidRPr="00DC7C60" w:rsidRDefault="005F5BE9" w:rsidP="006C2EF1">
            <w:pPr>
              <w:spacing w:before="60" w:after="60" w:line="240" w:lineRule="auto"/>
              <w:ind w:left="57" w:right="57"/>
              <w:jc w:val="center"/>
              <w:rPr>
                <w:b/>
                <w:bCs/>
                <w:sz w:val="16"/>
                <w:szCs w:val="16"/>
                <w:lang w:val="fr-FR"/>
              </w:rPr>
            </w:pPr>
            <w:r w:rsidRPr="00DC7C60">
              <w:rPr>
                <w:b/>
                <w:bCs/>
                <w:sz w:val="16"/>
                <w:szCs w:val="16"/>
                <w:lang w:val="fr-FR"/>
              </w:rPr>
              <w:t>D’un véhicule à l’autre</w:t>
            </w: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A2EEB5" w14:textId="57CB8AC6" w:rsidR="005F5BE9" w:rsidRPr="00DC7C60" w:rsidRDefault="005F5BE9" w:rsidP="00FB1A4D">
            <w:pPr>
              <w:spacing w:before="40" w:after="40" w:line="240" w:lineRule="auto"/>
              <w:ind w:left="-7"/>
              <w:rPr>
                <w:sz w:val="16"/>
                <w:szCs w:val="16"/>
                <w:lang w:val="fr-FR"/>
              </w:rPr>
            </w:pPr>
            <w:r w:rsidRPr="00DC7C60">
              <w:rPr>
                <w:sz w:val="16"/>
                <w:szCs w:val="16"/>
                <w:lang w:val="fr-FR"/>
              </w:rPr>
              <w:t xml:space="preserve">Variations des pneumatiques </w:t>
            </w:r>
            <w:r w:rsidR="00F03D38">
              <w:rPr>
                <w:sz w:val="16"/>
                <w:szCs w:val="16"/>
                <w:lang w:val="fr-FR"/>
              </w:rPr>
              <w:br/>
            </w:r>
            <w:r w:rsidRPr="00DC7C60">
              <w:rPr>
                <w:sz w:val="16"/>
                <w:szCs w:val="16"/>
                <w:lang w:val="fr-FR"/>
              </w:rPr>
              <w:t>au stade de la production</w:t>
            </w:r>
            <w:r w:rsidR="00CC185F">
              <w:rPr>
                <w:sz w:val="16"/>
                <w:szCs w:val="16"/>
                <w:lang w:val="fr-FR"/>
              </w:rPr>
              <w:t> </w:t>
            </w:r>
            <w:r w:rsidRPr="00DC7C60">
              <w:rPr>
                <w:sz w:val="16"/>
                <w:szCs w:val="16"/>
                <w:lang w:val="fr-FR"/>
              </w:rPr>
              <w:t>; vieillissement des pneumatiques avant leur livraison au client (1</w:t>
            </w:r>
            <w:r w:rsidR="00CC185F">
              <w:rPr>
                <w:sz w:val="16"/>
                <w:szCs w:val="16"/>
                <w:lang w:val="fr-FR"/>
              </w:rPr>
              <w:t> </w:t>
            </w:r>
            <w:r w:rsidRPr="00DC7C60">
              <w:rPr>
                <w:sz w:val="16"/>
                <w:szCs w:val="16"/>
                <w:lang w:val="fr-FR"/>
              </w:rPr>
              <w:t>dB après un an)</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AC5A18"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0,80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08F101"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1,50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12AC98"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1,04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C743F61"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B01EE3"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0,07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DE294"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0,259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0A01C2"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2,5 %</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6FF25FF1"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0,57</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4057930B" w14:textId="77777777" w:rsidR="005F5BE9" w:rsidRPr="00DC7C60" w:rsidRDefault="005F5BE9" w:rsidP="00396DAA">
            <w:pPr>
              <w:spacing w:before="60" w:after="60" w:line="240" w:lineRule="auto"/>
              <w:ind w:left="28" w:right="28"/>
              <w:jc w:val="center"/>
              <w:rPr>
                <w:sz w:val="16"/>
                <w:szCs w:val="16"/>
                <w:lang w:val="fr-FR" w:eastAsia="de-DE"/>
              </w:rPr>
            </w:pPr>
            <w:r w:rsidRPr="00DC7C60">
              <w:rPr>
                <w:sz w:val="16"/>
                <w:szCs w:val="16"/>
                <w:lang w:val="fr-FR" w:eastAsia="de-DE"/>
              </w:rPr>
              <w:t> </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AB0D573"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0,57</w:t>
            </w:r>
          </w:p>
        </w:tc>
        <w:tc>
          <w:tcPr>
            <w:tcW w:w="54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6CF98F6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0,57</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3CFFD26A" w14:textId="77777777" w:rsidR="005F5BE9" w:rsidRPr="00DC7C60" w:rsidRDefault="005F5BE9" w:rsidP="00396DAA">
            <w:pPr>
              <w:spacing w:before="60" w:after="60" w:line="240" w:lineRule="auto"/>
              <w:ind w:left="28" w:right="28"/>
              <w:jc w:val="center"/>
              <w:rPr>
                <w:sz w:val="16"/>
                <w:szCs w:val="16"/>
                <w:lang w:val="fr-FR"/>
              </w:rPr>
            </w:pPr>
            <w:r w:rsidRPr="00DC7C60">
              <w:rPr>
                <w:sz w:val="16"/>
                <w:szCs w:val="16"/>
                <w:lang w:val="fr-FR"/>
              </w:rPr>
              <w:t>1,1</w:t>
            </w:r>
          </w:p>
        </w:tc>
      </w:tr>
      <w:tr w:rsidR="00DC7C60" w:rsidRPr="00DC7C60" w14:paraId="7EF3D79A"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282D6375"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4D391F"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Pneumatiques dont la profondeur de sculpture est à son niveau minimum</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954E40"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0,40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E7CDFC"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0,40</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D60321"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0,40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342E6DF"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9FE9B5"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0,04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D57F6C"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0,209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8634B1"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1,8 %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DA037B4"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685C03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42BF749"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5BAAEA5"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75CAC4FB"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1D1D7E5A"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6BA32A0D"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6D911F58"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Variations de la taille et de la marque des pneumatiques (non fournies par l’équipementier)</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736C5F16"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0,00</w:t>
            </w: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1F88D365"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5F227BAB"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0,00 </w:t>
            </w: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48EF2EE1"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1AE64CD3"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0,00 </w:t>
            </w: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101E0163"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0,000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27F86C"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0,0 %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A722FB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99C2E5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7AB3478"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E08D083"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2334012A"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41833B88"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0F851139"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7EF278F7"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Variations de la puissance au stade de la production (y compris le rodage correct d’un moteur neuf)</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3717A3F3"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0,40</w:t>
            </w: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20F983CF"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0,40</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1F427092"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0,40 </w:t>
            </w: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52E558BF"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438A6AB5"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0,01 </w:t>
            </w: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302C7AFF"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0,115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7748ED"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0,5 %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C35801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B7FE3F2"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458A2D7"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76BE98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01EB78BA"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1A64C06C"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628FA095"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3B104C3F" w14:textId="17A65E6A" w:rsidR="005F5BE9" w:rsidRPr="00DC7C60" w:rsidRDefault="005F5BE9" w:rsidP="00FB1A4D">
            <w:pPr>
              <w:spacing w:before="40" w:after="40" w:line="240" w:lineRule="auto"/>
              <w:ind w:left="-7"/>
              <w:rPr>
                <w:sz w:val="16"/>
                <w:szCs w:val="16"/>
                <w:lang w:val="fr-FR"/>
              </w:rPr>
            </w:pPr>
            <w:r w:rsidRPr="00DC7C60">
              <w:rPr>
                <w:sz w:val="16"/>
                <w:szCs w:val="16"/>
                <w:lang w:val="fr-FR"/>
              </w:rPr>
              <w:t>Niveau de charge de la batterie pour les véhicules hybrides électriques (3</w:t>
            </w:r>
            <w:r w:rsidR="00076441">
              <w:rPr>
                <w:sz w:val="16"/>
                <w:szCs w:val="16"/>
                <w:lang w:val="fr-FR"/>
              </w:rPr>
              <w:t> </w:t>
            </w:r>
            <w:r w:rsidRPr="00DC7C60">
              <w:rPr>
                <w:sz w:val="16"/>
                <w:szCs w:val="16"/>
                <w:lang w:val="fr-FR"/>
              </w:rPr>
              <w:t>dB(A))</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7B49D7BD"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0,00</w:t>
            </w: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5AE6591B"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51F54CEE"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0,00 </w:t>
            </w: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4A95246C"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56A31488"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0,00 </w:t>
            </w: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49578251"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0,000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2F4042"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0,0 %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8C0EDDB"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C71C824"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4180843"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901BD7F"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72CF6BBA" w14:textId="77777777" w:rsidR="005F5BE9" w:rsidRPr="00DC7C60" w:rsidRDefault="005F5BE9" w:rsidP="00396DAA">
            <w:pPr>
              <w:spacing w:before="60" w:after="60" w:line="240" w:lineRule="auto"/>
              <w:ind w:left="28" w:right="28"/>
              <w:jc w:val="center"/>
              <w:rPr>
                <w:sz w:val="16"/>
                <w:szCs w:val="16"/>
                <w:lang w:val="fr-FR" w:eastAsia="de-DE"/>
              </w:rPr>
            </w:pPr>
          </w:p>
        </w:tc>
      </w:tr>
      <w:tr w:rsidR="00DC7C60" w:rsidRPr="00DC7C60" w14:paraId="6EC7C9E3"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2636C0D5"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1D907DCD" w14:textId="77777777" w:rsidR="005F5BE9" w:rsidRPr="00DC7C60" w:rsidRDefault="005F5BE9" w:rsidP="00FB1A4D">
            <w:pPr>
              <w:spacing w:before="40" w:after="40" w:line="240" w:lineRule="auto"/>
              <w:ind w:left="-7"/>
              <w:rPr>
                <w:sz w:val="16"/>
                <w:szCs w:val="16"/>
                <w:lang w:val="fr-FR"/>
              </w:rPr>
            </w:pPr>
            <w:r w:rsidRPr="00DC7C60">
              <w:rPr>
                <w:sz w:val="16"/>
                <w:szCs w:val="16"/>
                <w:lang w:val="fr-FR"/>
              </w:rPr>
              <w:t>Variations des systèmes de réduction du bruit au stade de la production</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4B36F3D2"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1,10</w:t>
            </w: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16348AAB"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0,00</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78B8919E"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0,73 </w:t>
            </w: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5BB74FE2"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gaussienne</w:t>
            </w: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22808A1D"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0,03 </w:t>
            </w: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383F3B6D"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0,182 </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7839C"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1,2 %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2E0EEA9"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A308DF5"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3C2AB33"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E2E8A08"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5A72522F" w14:textId="77777777" w:rsidR="005F5BE9" w:rsidRPr="00DC7C60" w:rsidRDefault="005F5BE9" w:rsidP="00396DAA">
            <w:pPr>
              <w:spacing w:before="60" w:after="60" w:line="240" w:lineRule="auto"/>
              <w:ind w:left="28" w:right="28"/>
              <w:jc w:val="center"/>
              <w:rPr>
                <w:sz w:val="16"/>
                <w:szCs w:val="16"/>
                <w:lang w:val="fr-FR" w:eastAsia="de-DE"/>
              </w:rPr>
            </w:pPr>
          </w:p>
        </w:tc>
      </w:tr>
      <w:tr w:rsidR="00C07EDD" w:rsidRPr="00DC7C60" w14:paraId="5969B06F"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0198EA20" w14:textId="77777777" w:rsidR="005F5BE9" w:rsidRPr="00DC7C60" w:rsidRDefault="005F5BE9" w:rsidP="006C2EF1">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25A8D63" w14:textId="3697B33C" w:rsidR="005F5BE9" w:rsidRPr="00DC7C60" w:rsidRDefault="005F5BE9" w:rsidP="00FB1A4D">
            <w:pPr>
              <w:spacing w:before="40" w:after="40" w:line="240" w:lineRule="auto"/>
              <w:ind w:left="-7"/>
              <w:rPr>
                <w:sz w:val="16"/>
                <w:szCs w:val="16"/>
                <w:lang w:val="fr-FR"/>
              </w:rPr>
            </w:pPr>
            <w:r w:rsidRPr="00DC7C60">
              <w:rPr>
                <w:sz w:val="16"/>
                <w:szCs w:val="16"/>
                <w:lang w:val="fr-FR"/>
              </w:rPr>
              <w:t xml:space="preserve">Effet des variations de la masse </w:t>
            </w:r>
            <w:r w:rsidR="00F03D38">
              <w:rPr>
                <w:sz w:val="16"/>
                <w:szCs w:val="16"/>
                <w:lang w:val="fr-FR"/>
              </w:rPr>
              <w:br/>
            </w:r>
            <w:r w:rsidRPr="00DC7C60">
              <w:rPr>
                <w:sz w:val="16"/>
                <w:szCs w:val="16"/>
                <w:lang w:val="fr-FR"/>
              </w:rPr>
              <w:t>du véhicule’</w:t>
            </w:r>
          </w:p>
        </w:tc>
        <w:tc>
          <w:tcPr>
            <w:tcW w:w="47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46EEFEE9" w14:textId="77777777" w:rsidR="005F5BE9" w:rsidRPr="00DC7C60" w:rsidRDefault="005F5BE9" w:rsidP="00FB1A4D">
            <w:pPr>
              <w:spacing w:before="40" w:after="40" w:line="240" w:lineRule="auto"/>
              <w:ind w:left="-51" w:right="-21"/>
              <w:jc w:val="center"/>
              <w:rPr>
                <w:sz w:val="16"/>
                <w:szCs w:val="16"/>
                <w:lang w:val="fr-FR"/>
              </w:rPr>
            </w:pPr>
            <w:r w:rsidRPr="00DC7C60">
              <w:rPr>
                <w:sz w:val="16"/>
                <w:szCs w:val="16"/>
                <w:lang w:val="fr-FR"/>
              </w:rPr>
              <w:t>1,60</w:t>
            </w:r>
          </w:p>
        </w:tc>
        <w:tc>
          <w:tcPr>
            <w:tcW w:w="435" w:type="dxa"/>
            <w:tcBorders>
              <w:top w:val="single" w:sz="4" w:space="0" w:color="auto"/>
              <w:left w:val="nil"/>
              <w:bottom w:val="single" w:sz="12" w:space="0" w:color="auto"/>
              <w:right w:val="single" w:sz="4" w:space="0" w:color="auto"/>
            </w:tcBorders>
            <w:shd w:val="clear" w:color="auto" w:fill="FFFFFF" w:themeFill="background1"/>
            <w:vAlign w:val="center"/>
            <w:hideMark/>
          </w:tcPr>
          <w:p w14:paraId="59B5FDD2" w14:textId="77777777" w:rsidR="005F5BE9" w:rsidRPr="00DC7C60" w:rsidRDefault="005F5BE9" w:rsidP="00FB1A4D">
            <w:pPr>
              <w:spacing w:before="40" w:after="40" w:line="240" w:lineRule="auto"/>
              <w:ind w:left="-57" w:right="-14"/>
              <w:jc w:val="center"/>
              <w:rPr>
                <w:sz w:val="16"/>
                <w:szCs w:val="16"/>
                <w:lang w:val="fr-FR"/>
              </w:rPr>
            </w:pPr>
            <w:r w:rsidRPr="00DC7C60">
              <w:rPr>
                <w:sz w:val="16"/>
                <w:szCs w:val="16"/>
                <w:lang w:val="fr-FR"/>
              </w:rPr>
              <w:t>1,60</w:t>
            </w:r>
          </w:p>
        </w:tc>
        <w:tc>
          <w:tcPr>
            <w:tcW w:w="408" w:type="dxa"/>
            <w:tcBorders>
              <w:top w:val="single" w:sz="4" w:space="0" w:color="auto"/>
              <w:left w:val="nil"/>
              <w:bottom w:val="single" w:sz="12" w:space="0" w:color="auto"/>
              <w:right w:val="single" w:sz="4" w:space="0" w:color="auto"/>
            </w:tcBorders>
            <w:shd w:val="clear" w:color="auto" w:fill="FFFFFF" w:themeFill="background1"/>
            <w:noWrap/>
            <w:vAlign w:val="center"/>
            <w:hideMark/>
          </w:tcPr>
          <w:p w14:paraId="35D73E93" w14:textId="77777777" w:rsidR="005F5BE9" w:rsidRPr="00DC7C60" w:rsidRDefault="005F5BE9" w:rsidP="00FB1A4D">
            <w:pPr>
              <w:spacing w:before="40" w:after="40" w:line="240" w:lineRule="auto"/>
              <w:ind w:left="-44" w:right="-36"/>
              <w:jc w:val="center"/>
              <w:rPr>
                <w:sz w:val="16"/>
                <w:szCs w:val="16"/>
                <w:lang w:val="fr-FR"/>
              </w:rPr>
            </w:pPr>
            <w:r w:rsidRPr="00DC7C60">
              <w:rPr>
                <w:sz w:val="16"/>
                <w:szCs w:val="16"/>
                <w:lang w:val="fr-FR"/>
              </w:rPr>
              <w:t xml:space="preserve">1,60 </w:t>
            </w:r>
          </w:p>
        </w:tc>
        <w:tc>
          <w:tcPr>
            <w:tcW w:w="950" w:type="dxa"/>
            <w:gridSpan w:val="2"/>
            <w:tcBorders>
              <w:top w:val="single" w:sz="4" w:space="0" w:color="auto"/>
              <w:left w:val="nil"/>
              <w:bottom w:val="single" w:sz="12" w:space="0" w:color="auto"/>
              <w:right w:val="single" w:sz="4" w:space="0" w:color="auto"/>
            </w:tcBorders>
            <w:shd w:val="clear" w:color="auto" w:fill="FFFFFF" w:themeFill="background1"/>
            <w:vAlign w:val="center"/>
            <w:hideMark/>
          </w:tcPr>
          <w:p w14:paraId="1D886CB7" w14:textId="77777777" w:rsidR="005F5BE9" w:rsidRPr="00DC7C60" w:rsidRDefault="005F5BE9" w:rsidP="00FB1A4D">
            <w:pPr>
              <w:spacing w:before="40" w:after="40" w:line="240" w:lineRule="auto"/>
              <w:ind w:left="-14" w:right="-26"/>
              <w:jc w:val="center"/>
              <w:rPr>
                <w:sz w:val="16"/>
                <w:szCs w:val="16"/>
                <w:lang w:val="fr-FR"/>
              </w:rPr>
            </w:pPr>
            <w:r w:rsidRPr="00DC7C60">
              <w:rPr>
                <w:sz w:val="16"/>
                <w:szCs w:val="16"/>
                <w:lang w:val="fr-FR"/>
              </w:rPr>
              <w:t>rectangulaire</w:t>
            </w:r>
          </w:p>
        </w:tc>
        <w:tc>
          <w:tcPr>
            <w:tcW w:w="529"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5BF5DC2"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 xml:space="preserve">0,21 </w:t>
            </w:r>
          </w:p>
        </w:tc>
        <w:tc>
          <w:tcPr>
            <w:tcW w:w="541"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97C9492" w14:textId="77777777" w:rsidR="005F5BE9" w:rsidRPr="00DC7C60" w:rsidRDefault="005F5BE9" w:rsidP="00FB1A4D">
            <w:pPr>
              <w:spacing w:before="40" w:after="40" w:line="240" w:lineRule="auto"/>
              <w:ind w:left="-11" w:right="-34"/>
              <w:jc w:val="center"/>
              <w:rPr>
                <w:sz w:val="16"/>
                <w:szCs w:val="16"/>
                <w:lang w:val="fr-FR"/>
              </w:rPr>
            </w:pPr>
            <w:r w:rsidRPr="00DC7C60">
              <w:rPr>
                <w:sz w:val="16"/>
                <w:szCs w:val="16"/>
                <w:lang w:val="fr-FR"/>
              </w:rPr>
              <w:t xml:space="preserve">0,462 </w:t>
            </w:r>
          </w:p>
        </w:tc>
        <w:tc>
          <w:tcPr>
            <w:tcW w:w="67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6B5C8E9C" w14:textId="77777777" w:rsidR="005F5BE9" w:rsidRPr="00DC7C60" w:rsidRDefault="005F5BE9" w:rsidP="00FB1A4D">
            <w:pPr>
              <w:spacing w:before="40" w:after="40" w:line="240" w:lineRule="auto"/>
              <w:ind w:left="28" w:right="28"/>
              <w:jc w:val="center"/>
              <w:rPr>
                <w:sz w:val="16"/>
                <w:szCs w:val="16"/>
                <w:lang w:val="fr-FR"/>
              </w:rPr>
            </w:pPr>
            <w:r w:rsidRPr="00DC7C60">
              <w:rPr>
                <w:sz w:val="16"/>
                <w:szCs w:val="16"/>
                <w:lang w:val="fr-FR"/>
              </w:rPr>
              <w:t>7,8</w:t>
            </w:r>
            <w:r w:rsidRPr="00DC7C60">
              <w:rPr>
                <w:sz w:val="14"/>
                <w:szCs w:val="14"/>
                <w:lang w:val="fr-FR"/>
              </w:rPr>
              <w:t> </w:t>
            </w:r>
            <w:r w:rsidRPr="00DC7C60">
              <w:rPr>
                <w:sz w:val="16"/>
                <w:szCs w:val="16"/>
                <w:lang w:val="fr-FR"/>
              </w:rPr>
              <w:t>%</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8D7F440"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FC22592"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6284894" w14:textId="77777777" w:rsidR="005F5BE9" w:rsidRPr="00DC7C60" w:rsidRDefault="005F5BE9" w:rsidP="00396DAA">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2751707" w14:textId="77777777" w:rsidR="005F5BE9" w:rsidRPr="00DC7C60" w:rsidRDefault="005F5BE9" w:rsidP="00396DAA">
            <w:pPr>
              <w:spacing w:before="60" w:after="60" w:line="240" w:lineRule="auto"/>
              <w:ind w:left="28" w:right="28"/>
              <w:rPr>
                <w:sz w:val="16"/>
                <w:szCs w:val="16"/>
                <w:lang w:val="fr-FR" w:eastAsia="de-DE"/>
              </w:rPr>
            </w:pPr>
          </w:p>
        </w:tc>
        <w:tc>
          <w:tcPr>
            <w:tcW w:w="541" w:type="dxa"/>
            <w:vMerge/>
            <w:tcBorders>
              <w:left w:val="single" w:sz="4" w:space="0" w:color="auto"/>
              <w:bottom w:val="single" w:sz="12" w:space="0" w:color="auto"/>
              <w:right w:val="single" w:sz="4" w:space="0" w:color="auto"/>
            </w:tcBorders>
            <w:shd w:val="clear" w:color="auto" w:fill="FFFFFF" w:themeFill="background1"/>
            <w:vAlign w:val="center"/>
          </w:tcPr>
          <w:p w14:paraId="71014966" w14:textId="77777777" w:rsidR="005F5BE9" w:rsidRPr="00DC7C60" w:rsidRDefault="005F5BE9" w:rsidP="00396DAA">
            <w:pPr>
              <w:spacing w:before="60" w:after="60" w:line="240" w:lineRule="auto"/>
              <w:ind w:left="28" w:right="28"/>
              <w:jc w:val="center"/>
              <w:rPr>
                <w:sz w:val="16"/>
                <w:szCs w:val="16"/>
                <w:lang w:val="fr-FR" w:eastAsia="de-DE"/>
              </w:rPr>
            </w:pPr>
          </w:p>
        </w:tc>
      </w:tr>
      <w:tr w:rsidR="000C5A56" w:rsidRPr="00DC7C60" w14:paraId="470C97C7" w14:textId="77777777" w:rsidTr="00BA2554">
        <w:trPr>
          <w:trHeight w:val="162"/>
        </w:trPr>
        <w:tc>
          <w:tcPr>
            <w:tcW w:w="406" w:type="dxa"/>
            <w:tcBorders>
              <w:top w:val="single" w:sz="12" w:space="0" w:color="auto"/>
              <w:left w:val="nil"/>
            </w:tcBorders>
            <w:shd w:val="clear" w:color="auto" w:fill="FFFFFF" w:themeFill="background1"/>
            <w:vAlign w:val="center"/>
            <w:hideMark/>
          </w:tcPr>
          <w:p w14:paraId="46A27F32" w14:textId="77777777" w:rsidR="000C5A56" w:rsidRPr="00DC7C60" w:rsidRDefault="000C5A56" w:rsidP="006C2EF1">
            <w:pPr>
              <w:spacing w:before="60" w:after="60" w:line="240" w:lineRule="auto"/>
              <w:ind w:left="57" w:right="57"/>
              <w:jc w:val="center"/>
              <w:rPr>
                <w:b/>
                <w:bCs/>
                <w:sz w:val="16"/>
                <w:szCs w:val="16"/>
                <w:lang w:val="fr-FR" w:eastAsia="de-DE"/>
              </w:rPr>
            </w:pPr>
            <w:r w:rsidRPr="00DC7C60">
              <w:rPr>
                <w:b/>
                <w:bCs/>
                <w:sz w:val="16"/>
                <w:szCs w:val="16"/>
                <w:lang w:val="fr-FR" w:eastAsia="de-DE"/>
              </w:rPr>
              <w:t> </w:t>
            </w:r>
          </w:p>
        </w:tc>
        <w:tc>
          <w:tcPr>
            <w:tcW w:w="2512" w:type="dxa"/>
            <w:tcBorders>
              <w:top w:val="single" w:sz="12" w:space="0" w:color="auto"/>
            </w:tcBorders>
            <w:shd w:val="clear" w:color="auto" w:fill="FFFFFF" w:themeFill="background1"/>
            <w:vAlign w:val="center"/>
            <w:hideMark/>
          </w:tcPr>
          <w:p w14:paraId="62F67814"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478" w:type="dxa"/>
            <w:tcBorders>
              <w:top w:val="single" w:sz="12" w:space="0" w:color="auto"/>
            </w:tcBorders>
            <w:shd w:val="clear" w:color="auto" w:fill="FFFFFF" w:themeFill="background1"/>
            <w:hideMark/>
          </w:tcPr>
          <w:p w14:paraId="24698C15"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435" w:type="dxa"/>
            <w:tcBorders>
              <w:top w:val="single" w:sz="12" w:space="0" w:color="auto"/>
            </w:tcBorders>
            <w:shd w:val="clear" w:color="auto" w:fill="FFFFFF" w:themeFill="background1"/>
            <w:noWrap/>
            <w:vAlign w:val="center"/>
            <w:hideMark/>
          </w:tcPr>
          <w:p w14:paraId="002FBBED"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408" w:type="dxa"/>
            <w:tcBorders>
              <w:top w:val="single" w:sz="12" w:space="0" w:color="auto"/>
            </w:tcBorders>
            <w:shd w:val="clear" w:color="auto" w:fill="FFFFFF" w:themeFill="background1"/>
            <w:noWrap/>
            <w:vAlign w:val="center"/>
            <w:hideMark/>
          </w:tcPr>
          <w:p w14:paraId="424932B6"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938" w:type="dxa"/>
            <w:tcBorders>
              <w:top w:val="single" w:sz="12" w:space="0" w:color="auto"/>
            </w:tcBorders>
            <w:shd w:val="clear" w:color="auto" w:fill="FFFFFF" w:themeFill="background1"/>
            <w:noWrap/>
            <w:vAlign w:val="center"/>
            <w:hideMark/>
          </w:tcPr>
          <w:p w14:paraId="0D2B5221"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541" w:type="dxa"/>
            <w:gridSpan w:val="2"/>
            <w:tcBorders>
              <w:top w:val="single" w:sz="12" w:space="0" w:color="auto"/>
            </w:tcBorders>
            <w:shd w:val="clear" w:color="auto" w:fill="FFFFFF" w:themeFill="background1"/>
            <w:noWrap/>
            <w:vAlign w:val="center"/>
            <w:hideMark/>
          </w:tcPr>
          <w:p w14:paraId="51FA6DF7"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hideMark/>
          </w:tcPr>
          <w:p w14:paraId="0F597C7E" w14:textId="77777777" w:rsidR="000C5A56" w:rsidRPr="00DC7C60" w:rsidRDefault="000C5A56" w:rsidP="00396DAA">
            <w:pPr>
              <w:spacing w:before="60" w:after="60" w:line="240" w:lineRule="auto"/>
              <w:ind w:left="28" w:right="28"/>
              <w:jc w:val="center"/>
              <w:rPr>
                <w:sz w:val="16"/>
                <w:szCs w:val="16"/>
                <w:lang w:val="fr-FR"/>
              </w:rPr>
            </w:pPr>
            <w:r w:rsidRPr="00DC7C60">
              <w:rPr>
                <w:sz w:val="16"/>
                <w:szCs w:val="16"/>
                <w:lang w:val="fr-FR"/>
              </w:rPr>
              <w:t xml:space="preserve"> </w:t>
            </w:r>
          </w:p>
        </w:tc>
        <w:tc>
          <w:tcPr>
            <w:tcW w:w="674" w:type="dxa"/>
            <w:tcBorders>
              <w:top w:val="single" w:sz="12" w:space="0" w:color="auto"/>
            </w:tcBorders>
            <w:shd w:val="clear" w:color="auto" w:fill="FFFFFF" w:themeFill="background1"/>
            <w:vAlign w:val="center"/>
            <w:hideMark/>
          </w:tcPr>
          <w:p w14:paraId="7709A67E" w14:textId="77777777" w:rsidR="000C5A56" w:rsidRPr="00DC7C60" w:rsidRDefault="000C5A56" w:rsidP="00396DAA">
            <w:pPr>
              <w:spacing w:before="60" w:after="60" w:line="240" w:lineRule="auto"/>
              <w:ind w:left="28" w:right="28"/>
              <w:jc w:val="center"/>
              <w:rPr>
                <w:sz w:val="16"/>
                <w:szCs w:val="16"/>
                <w:lang w:val="fr-FR"/>
              </w:rPr>
            </w:pPr>
            <w:r w:rsidRPr="00DC7C60">
              <w:rPr>
                <w:sz w:val="16"/>
                <w:szCs w:val="16"/>
                <w:lang w:val="fr-FR"/>
              </w:rPr>
              <w:t>100 %</w:t>
            </w:r>
          </w:p>
        </w:tc>
        <w:tc>
          <w:tcPr>
            <w:tcW w:w="541" w:type="dxa"/>
            <w:tcBorders>
              <w:top w:val="single" w:sz="12" w:space="0" w:color="auto"/>
            </w:tcBorders>
            <w:shd w:val="clear" w:color="auto" w:fill="FFFFFF" w:themeFill="background1"/>
            <w:noWrap/>
            <w:vAlign w:val="center"/>
            <w:hideMark/>
          </w:tcPr>
          <w:p w14:paraId="48451CDE" w14:textId="77777777" w:rsidR="000C5A56" w:rsidRPr="00DC7C60" w:rsidRDefault="000C5A56" w:rsidP="00396DAA">
            <w:pPr>
              <w:spacing w:before="60" w:after="60" w:line="240" w:lineRule="auto"/>
              <w:ind w:left="28" w:right="28"/>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hideMark/>
          </w:tcPr>
          <w:p w14:paraId="1E715C79" w14:textId="77777777" w:rsidR="000C5A56" w:rsidRPr="00DC7C60" w:rsidRDefault="000C5A56" w:rsidP="00396DAA">
            <w:pPr>
              <w:spacing w:before="60" w:after="60" w:line="240" w:lineRule="auto"/>
              <w:ind w:left="28" w:right="28"/>
              <w:jc w:val="center"/>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tcPr>
          <w:p w14:paraId="239D45E3" w14:textId="77777777" w:rsidR="000C5A56" w:rsidRPr="00DC7C60" w:rsidRDefault="000C5A56" w:rsidP="000C5A56">
            <w:pPr>
              <w:spacing w:before="60" w:after="60" w:line="240" w:lineRule="auto"/>
              <w:ind w:right="28"/>
              <w:jc w:val="center"/>
              <w:rPr>
                <w:sz w:val="16"/>
                <w:szCs w:val="16"/>
                <w:lang w:val="fr-FR" w:eastAsia="de-DE"/>
              </w:rPr>
            </w:pPr>
          </w:p>
        </w:tc>
        <w:tc>
          <w:tcPr>
            <w:tcW w:w="542" w:type="dxa"/>
            <w:tcBorders>
              <w:top w:val="single" w:sz="12" w:space="0" w:color="auto"/>
            </w:tcBorders>
            <w:shd w:val="clear" w:color="auto" w:fill="FFFFFF" w:themeFill="background1"/>
            <w:vAlign w:val="center"/>
          </w:tcPr>
          <w:p w14:paraId="1D94C369" w14:textId="6CC02D78" w:rsidR="000C5A56" w:rsidRPr="00DC7C60" w:rsidRDefault="000C5A56" w:rsidP="000C5A56">
            <w:pPr>
              <w:spacing w:before="60" w:after="60" w:line="240" w:lineRule="auto"/>
              <w:ind w:right="28"/>
              <w:jc w:val="center"/>
              <w:rPr>
                <w:sz w:val="16"/>
                <w:szCs w:val="16"/>
                <w:lang w:val="fr-FR" w:eastAsia="de-DE"/>
              </w:rPr>
            </w:pPr>
          </w:p>
        </w:tc>
        <w:tc>
          <w:tcPr>
            <w:tcW w:w="541" w:type="dxa"/>
            <w:tcBorders>
              <w:top w:val="single" w:sz="12" w:space="0" w:color="auto"/>
              <w:right w:val="nil"/>
            </w:tcBorders>
            <w:shd w:val="clear" w:color="auto" w:fill="FFFFFF" w:themeFill="background1"/>
            <w:vAlign w:val="center"/>
          </w:tcPr>
          <w:p w14:paraId="7DF5500A" w14:textId="6CF5679C" w:rsidR="000C5A56" w:rsidRPr="00DC7C60" w:rsidRDefault="000C5A56" w:rsidP="00396DAA">
            <w:pPr>
              <w:spacing w:before="60" w:after="60" w:line="240" w:lineRule="auto"/>
              <w:ind w:left="28" w:right="28"/>
              <w:jc w:val="center"/>
              <w:rPr>
                <w:sz w:val="16"/>
                <w:szCs w:val="16"/>
                <w:lang w:val="fr-FR" w:eastAsia="de-DE"/>
              </w:rPr>
            </w:pPr>
          </w:p>
        </w:tc>
      </w:tr>
      <w:bookmarkEnd w:id="7"/>
    </w:tbl>
    <w:tbl>
      <w:tblPr>
        <w:tblStyle w:val="Grilledutableau"/>
        <w:tblW w:w="0" w:type="auto"/>
        <w:tblInd w:w="2972" w:type="dxa"/>
        <w:tblLook w:val="04A0" w:firstRow="1" w:lastRow="0" w:firstColumn="1" w:lastColumn="0" w:noHBand="0" w:noVBand="1"/>
      </w:tblPr>
      <w:tblGrid>
        <w:gridCol w:w="1467"/>
        <w:gridCol w:w="1588"/>
        <w:gridCol w:w="625"/>
        <w:gridCol w:w="1007"/>
        <w:gridCol w:w="1090"/>
        <w:gridCol w:w="884"/>
      </w:tblGrid>
      <w:tr w:rsidR="009F13A6" w14:paraId="2C383507" w14:textId="22348E22" w:rsidTr="00D145E9">
        <w:tc>
          <w:tcPr>
            <w:tcW w:w="1467" w:type="dxa"/>
            <w:tcBorders>
              <w:top w:val="nil"/>
              <w:left w:val="nil"/>
              <w:right w:val="nil"/>
            </w:tcBorders>
          </w:tcPr>
          <w:p w14:paraId="5A7DBF07" w14:textId="77777777" w:rsidR="009F13A6" w:rsidRPr="000E6C17" w:rsidRDefault="009F13A6" w:rsidP="000C5A56">
            <w:pPr>
              <w:spacing w:before="60" w:after="60" w:line="240" w:lineRule="auto"/>
              <w:ind w:right="28"/>
              <w:jc w:val="center"/>
              <w:rPr>
                <w:b/>
                <w:bCs/>
                <w:sz w:val="16"/>
                <w:szCs w:val="16"/>
                <w:lang w:val="fr-FR"/>
              </w:rPr>
            </w:pPr>
          </w:p>
        </w:tc>
        <w:tc>
          <w:tcPr>
            <w:tcW w:w="1588" w:type="dxa"/>
            <w:tcBorders>
              <w:top w:val="nil"/>
              <w:left w:val="nil"/>
              <w:bottom w:val="single" w:sz="4" w:space="0" w:color="auto"/>
              <w:right w:val="nil"/>
            </w:tcBorders>
          </w:tcPr>
          <w:p w14:paraId="25165E5D" w14:textId="77777777" w:rsidR="009F13A6" w:rsidRPr="000E6C17" w:rsidRDefault="009F13A6" w:rsidP="000C5A56">
            <w:pPr>
              <w:spacing w:before="60" w:after="60" w:line="240" w:lineRule="auto"/>
              <w:ind w:right="28"/>
              <w:jc w:val="center"/>
              <w:rPr>
                <w:b/>
                <w:bCs/>
                <w:sz w:val="16"/>
                <w:szCs w:val="16"/>
                <w:lang w:val="fr-FR"/>
              </w:rPr>
            </w:pPr>
          </w:p>
        </w:tc>
        <w:tc>
          <w:tcPr>
            <w:tcW w:w="625" w:type="dxa"/>
            <w:tcBorders>
              <w:top w:val="nil"/>
              <w:left w:val="nil"/>
              <w:bottom w:val="nil"/>
              <w:right w:val="single" w:sz="4" w:space="0" w:color="auto"/>
            </w:tcBorders>
          </w:tcPr>
          <w:p w14:paraId="662EE20F" w14:textId="77777777" w:rsidR="009F13A6" w:rsidRDefault="009F13A6" w:rsidP="000C5A56">
            <w:pPr>
              <w:spacing w:before="60" w:after="60" w:line="240" w:lineRule="auto"/>
              <w:ind w:right="28"/>
              <w:jc w:val="center"/>
              <w:rPr>
                <w:sz w:val="16"/>
                <w:szCs w:val="16"/>
                <w:lang w:val="fr-FR" w:eastAsia="de-DE"/>
              </w:rPr>
            </w:pPr>
          </w:p>
        </w:tc>
        <w:tc>
          <w:tcPr>
            <w:tcW w:w="2981" w:type="dxa"/>
            <w:gridSpan w:val="3"/>
            <w:tcBorders>
              <w:left w:val="single" w:sz="4" w:space="0" w:color="auto"/>
            </w:tcBorders>
            <w:shd w:val="clear" w:color="auto" w:fill="D9D9D9" w:themeFill="background1" w:themeFillShade="D9"/>
          </w:tcPr>
          <w:p w14:paraId="553D7289" w14:textId="1A30A8E4" w:rsidR="009F13A6" w:rsidRPr="009F13A6" w:rsidRDefault="009F13A6" w:rsidP="000C5A56">
            <w:pPr>
              <w:spacing w:before="60" w:after="60" w:line="240" w:lineRule="auto"/>
              <w:ind w:right="28"/>
              <w:jc w:val="center"/>
              <w:rPr>
                <w:sz w:val="16"/>
                <w:szCs w:val="16"/>
                <w:lang w:val="fr-FR" w:eastAsia="de-DE"/>
              </w:rPr>
            </w:pPr>
            <w:r w:rsidRPr="009F13A6">
              <w:rPr>
                <w:b/>
                <w:bCs/>
                <w:sz w:val="16"/>
                <w:szCs w:val="16"/>
                <w:lang w:val="fr-FR"/>
              </w:rPr>
              <w:t>Incertitude élargie (95 %) +/-</w:t>
            </w:r>
          </w:p>
        </w:tc>
      </w:tr>
      <w:tr w:rsidR="000A7B73" w14:paraId="18310F33" w14:textId="315FD6D9" w:rsidTr="00D145E9">
        <w:tc>
          <w:tcPr>
            <w:tcW w:w="1467" w:type="dxa"/>
            <w:tcBorders>
              <w:bottom w:val="single" w:sz="4" w:space="0" w:color="auto"/>
            </w:tcBorders>
          </w:tcPr>
          <w:p w14:paraId="4E68BFAC" w14:textId="32E4CE8E" w:rsidR="000A7B73" w:rsidRDefault="000A7B73" w:rsidP="000C5A56">
            <w:pPr>
              <w:spacing w:before="60" w:after="60" w:line="240" w:lineRule="auto"/>
              <w:ind w:right="28"/>
              <w:jc w:val="center"/>
              <w:rPr>
                <w:sz w:val="16"/>
                <w:szCs w:val="16"/>
                <w:lang w:val="fr-FR" w:eastAsia="de-DE"/>
              </w:rPr>
            </w:pPr>
            <w:r w:rsidRPr="000E6C17">
              <w:rPr>
                <w:b/>
                <w:bCs/>
                <w:sz w:val="16"/>
                <w:szCs w:val="16"/>
                <w:lang w:val="fr-FR"/>
              </w:rPr>
              <w:t>Incertitude composée globale +/-</w:t>
            </w:r>
          </w:p>
        </w:tc>
        <w:tc>
          <w:tcPr>
            <w:tcW w:w="1588" w:type="dxa"/>
            <w:tcBorders>
              <w:bottom w:val="single" w:sz="4" w:space="0" w:color="auto"/>
            </w:tcBorders>
            <w:shd w:val="clear" w:color="auto" w:fill="D9D9D9" w:themeFill="background1" w:themeFillShade="D9"/>
          </w:tcPr>
          <w:p w14:paraId="238DF65D" w14:textId="1D52378F" w:rsidR="000A7B73" w:rsidRDefault="000A7B73" w:rsidP="000C5A56">
            <w:pPr>
              <w:spacing w:before="60" w:after="60" w:line="240" w:lineRule="auto"/>
              <w:ind w:right="28"/>
              <w:jc w:val="center"/>
              <w:rPr>
                <w:sz w:val="16"/>
                <w:szCs w:val="16"/>
                <w:lang w:val="fr-FR" w:eastAsia="de-DE"/>
              </w:rPr>
            </w:pPr>
            <w:r w:rsidRPr="000E6C17">
              <w:rPr>
                <w:b/>
                <w:bCs/>
                <w:sz w:val="16"/>
                <w:szCs w:val="16"/>
                <w:lang w:val="fr-FR"/>
              </w:rPr>
              <w:t xml:space="preserve">Incertitude élargie </w:t>
            </w:r>
            <w:r>
              <w:rPr>
                <w:b/>
                <w:bCs/>
                <w:sz w:val="16"/>
                <w:szCs w:val="16"/>
                <w:lang w:val="fr-FR"/>
              </w:rPr>
              <w:br/>
            </w:r>
            <w:r w:rsidRPr="000E6C17">
              <w:rPr>
                <w:b/>
                <w:bCs/>
                <w:sz w:val="16"/>
                <w:szCs w:val="16"/>
                <w:lang w:val="fr-FR"/>
              </w:rPr>
              <w:t>(95 %) +/-</w:t>
            </w:r>
          </w:p>
        </w:tc>
        <w:tc>
          <w:tcPr>
            <w:tcW w:w="625" w:type="dxa"/>
            <w:tcBorders>
              <w:top w:val="nil"/>
              <w:bottom w:val="nil"/>
            </w:tcBorders>
          </w:tcPr>
          <w:p w14:paraId="2F42C962" w14:textId="77777777" w:rsidR="000A7B73" w:rsidRDefault="000A7B73" w:rsidP="000C5A56">
            <w:pPr>
              <w:spacing w:before="60" w:after="60" w:line="240" w:lineRule="auto"/>
              <w:ind w:right="28"/>
              <w:jc w:val="center"/>
              <w:rPr>
                <w:sz w:val="16"/>
                <w:szCs w:val="16"/>
                <w:lang w:val="fr-FR" w:eastAsia="de-DE"/>
              </w:rPr>
            </w:pPr>
          </w:p>
        </w:tc>
        <w:tc>
          <w:tcPr>
            <w:tcW w:w="1007" w:type="dxa"/>
            <w:tcBorders>
              <w:bottom w:val="single" w:sz="4" w:space="0" w:color="auto"/>
            </w:tcBorders>
            <w:shd w:val="clear" w:color="auto" w:fill="D9D9D9" w:themeFill="background1" w:themeFillShade="D9"/>
          </w:tcPr>
          <w:p w14:paraId="51800597" w14:textId="46791D7D" w:rsidR="000A7B73" w:rsidRDefault="000A7B73" w:rsidP="000C5A56">
            <w:pPr>
              <w:spacing w:before="60" w:after="60" w:line="240" w:lineRule="auto"/>
              <w:ind w:right="28"/>
              <w:jc w:val="center"/>
              <w:rPr>
                <w:sz w:val="16"/>
                <w:szCs w:val="16"/>
                <w:lang w:val="fr-FR" w:eastAsia="de-DE"/>
              </w:rPr>
            </w:pPr>
            <w:r w:rsidRPr="00F94166">
              <w:rPr>
                <w:b/>
                <w:bCs/>
                <w:sz w:val="16"/>
                <w:szCs w:val="16"/>
                <w:lang w:val="fr-FR"/>
              </w:rPr>
              <w:t>Homologation de type</w:t>
            </w:r>
          </w:p>
        </w:tc>
        <w:tc>
          <w:tcPr>
            <w:tcW w:w="1090" w:type="dxa"/>
            <w:tcBorders>
              <w:bottom w:val="single" w:sz="4" w:space="0" w:color="auto"/>
            </w:tcBorders>
            <w:shd w:val="clear" w:color="auto" w:fill="D9D9D9" w:themeFill="background1" w:themeFillShade="D9"/>
          </w:tcPr>
          <w:p w14:paraId="35D44427" w14:textId="257FAD9E" w:rsidR="000A7B73" w:rsidRDefault="000A7B73" w:rsidP="000C5A56">
            <w:pPr>
              <w:spacing w:before="60" w:after="60" w:line="240" w:lineRule="auto"/>
              <w:ind w:right="28"/>
              <w:jc w:val="center"/>
              <w:rPr>
                <w:sz w:val="16"/>
                <w:szCs w:val="16"/>
                <w:lang w:val="fr-FR" w:eastAsia="de-DE"/>
              </w:rPr>
            </w:pPr>
            <w:r w:rsidRPr="000E6C17">
              <w:rPr>
                <w:b/>
                <w:bCs/>
                <w:sz w:val="16"/>
                <w:szCs w:val="16"/>
                <w:lang w:val="fr-FR"/>
              </w:rPr>
              <w:t>Conformité de la production</w:t>
            </w:r>
          </w:p>
        </w:tc>
        <w:tc>
          <w:tcPr>
            <w:tcW w:w="884" w:type="dxa"/>
            <w:tcBorders>
              <w:bottom w:val="single" w:sz="4" w:space="0" w:color="auto"/>
            </w:tcBorders>
            <w:shd w:val="clear" w:color="auto" w:fill="D9D9D9" w:themeFill="background1" w:themeFillShade="D9"/>
          </w:tcPr>
          <w:p w14:paraId="44C21DF2" w14:textId="42C01735" w:rsidR="000A7B73" w:rsidRDefault="000A7B73" w:rsidP="000C5A56">
            <w:pPr>
              <w:spacing w:before="60" w:after="60" w:line="240" w:lineRule="auto"/>
              <w:ind w:right="28"/>
              <w:jc w:val="center"/>
              <w:rPr>
                <w:sz w:val="16"/>
                <w:szCs w:val="16"/>
                <w:lang w:val="fr-FR" w:eastAsia="de-DE"/>
              </w:rPr>
            </w:pPr>
            <w:r w:rsidRPr="000E6C17">
              <w:rPr>
                <w:b/>
                <w:bCs/>
                <w:sz w:val="16"/>
                <w:szCs w:val="16"/>
                <w:lang w:val="fr-FR"/>
              </w:rPr>
              <w:t xml:space="preserve">Essais sur </w:t>
            </w:r>
            <w:r>
              <w:rPr>
                <w:b/>
                <w:bCs/>
                <w:sz w:val="16"/>
                <w:szCs w:val="16"/>
                <w:lang w:val="fr-FR"/>
              </w:rPr>
              <w:br/>
            </w:r>
            <w:r w:rsidRPr="000E6C17">
              <w:rPr>
                <w:b/>
                <w:bCs/>
                <w:sz w:val="16"/>
                <w:szCs w:val="16"/>
                <w:lang w:val="fr-FR"/>
              </w:rPr>
              <w:t>le terrain</w:t>
            </w:r>
          </w:p>
        </w:tc>
      </w:tr>
      <w:tr w:rsidR="000A7B73" w14:paraId="2BC9DFA0" w14:textId="6603A1F5" w:rsidTr="00D145E9">
        <w:tc>
          <w:tcPr>
            <w:tcW w:w="1467" w:type="dxa"/>
            <w:shd w:val="clear" w:color="auto" w:fill="000000" w:themeFill="text1"/>
          </w:tcPr>
          <w:p w14:paraId="2D20E0F5" w14:textId="0E6B6689" w:rsidR="000A7B73" w:rsidRPr="00D145E9" w:rsidRDefault="000A7B73" w:rsidP="000C5A56">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1,73</w:t>
            </w:r>
          </w:p>
        </w:tc>
        <w:tc>
          <w:tcPr>
            <w:tcW w:w="1588" w:type="dxa"/>
            <w:shd w:val="clear" w:color="auto" w:fill="000000" w:themeFill="text1"/>
          </w:tcPr>
          <w:p w14:paraId="6162F124" w14:textId="15AF0983" w:rsidR="000A7B73" w:rsidRPr="00D145E9" w:rsidRDefault="000A7B73" w:rsidP="000C5A56">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3,46</w:t>
            </w:r>
          </w:p>
        </w:tc>
        <w:tc>
          <w:tcPr>
            <w:tcW w:w="625" w:type="dxa"/>
            <w:tcBorders>
              <w:top w:val="nil"/>
              <w:bottom w:val="nil"/>
            </w:tcBorders>
          </w:tcPr>
          <w:p w14:paraId="68AE74B9" w14:textId="77777777" w:rsidR="000A7B73" w:rsidRDefault="000A7B73" w:rsidP="000C5A56">
            <w:pPr>
              <w:spacing w:before="60" w:after="60" w:line="240" w:lineRule="auto"/>
              <w:ind w:right="28"/>
              <w:jc w:val="center"/>
              <w:rPr>
                <w:sz w:val="16"/>
                <w:szCs w:val="16"/>
                <w:lang w:val="fr-FR" w:eastAsia="de-DE"/>
              </w:rPr>
            </w:pPr>
          </w:p>
        </w:tc>
        <w:tc>
          <w:tcPr>
            <w:tcW w:w="1007" w:type="dxa"/>
            <w:shd w:val="clear" w:color="auto" w:fill="000000" w:themeFill="text1"/>
          </w:tcPr>
          <w:p w14:paraId="780B1572" w14:textId="33E0D8EE" w:rsidR="000A7B73" w:rsidRPr="00D145E9" w:rsidRDefault="009F13A6" w:rsidP="000C5A56">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2,12</w:t>
            </w:r>
          </w:p>
        </w:tc>
        <w:tc>
          <w:tcPr>
            <w:tcW w:w="1090" w:type="dxa"/>
            <w:shd w:val="clear" w:color="auto" w:fill="000000" w:themeFill="text1"/>
          </w:tcPr>
          <w:p w14:paraId="69D9D229" w14:textId="28946273" w:rsidR="000A7B73" w:rsidRPr="00D145E9" w:rsidRDefault="009F13A6" w:rsidP="000C5A56">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2,71</w:t>
            </w:r>
          </w:p>
        </w:tc>
        <w:tc>
          <w:tcPr>
            <w:tcW w:w="884" w:type="dxa"/>
            <w:shd w:val="clear" w:color="auto" w:fill="000000" w:themeFill="text1"/>
          </w:tcPr>
          <w:p w14:paraId="34691410" w14:textId="12B9FD82" w:rsidR="000A7B73" w:rsidRPr="00D145E9" w:rsidRDefault="009F13A6" w:rsidP="000C5A56">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3,46</w:t>
            </w:r>
          </w:p>
        </w:tc>
      </w:tr>
    </w:tbl>
    <w:p w14:paraId="7F0F48C3" w14:textId="77777777" w:rsidR="00CF1A19" w:rsidRPr="00DC7C60" w:rsidRDefault="00CF1A19" w:rsidP="000C5A56">
      <w:pPr>
        <w:spacing w:before="60" w:after="60" w:line="240" w:lineRule="auto"/>
        <w:ind w:right="28"/>
        <w:jc w:val="center"/>
        <w:rPr>
          <w:sz w:val="16"/>
          <w:szCs w:val="16"/>
          <w:lang w:val="fr-FR" w:eastAsia="de-DE"/>
        </w:rPr>
      </w:pPr>
    </w:p>
    <w:bookmarkEnd w:id="6"/>
    <w:bookmarkEnd w:id="5"/>
    <w:p w14:paraId="07F9DAD0" w14:textId="63C4D901" w:rsidR="005F5BE9" w:rsidRDefault="005F5BE9" w:rsidP="00591584">
      <w:pPr>
        <w:pStyle w:val="Titre1"/>
        <w:spacing w:after="120"/>
        <w:ind w:left="0"/>
        <w:rPr>
          <w:b/>
          <w:bCs/>
          <w:lang w:val="fr-FR"/>
        </w:rPr>
      </w:pPr>
      <w:r w:rsidRPr="00DC7C60">
        <w:rPr>
          <w:lang w:val="fr-FR"/>
        </w:rPr>
        <w:lastRenderedPageBreak/>
        <w:t xml:space="preserve">Tableau 5.2 </w:t>
      </w:r>
      <w:r w:rsidR="00591584">
        <w:rPr>
          <w:lang w:val="fr-FR"/>
        </w:rPr>
        <w:br/>
      </w:r>
      <w:r w:rsidRPr="00591584">
        <w:rPr>
          <w:b/>
          <w:bCs/>
          <w:lang w:val="fr-FR"/>
        </w:rPr>
        <w:t>Estimation de l’incertitude en fonction de la situation pour les véhicules des catégories N</w:t>
      </w:r>
      <w:r w:rsidRPr="00591584">
        <w:rPr>
          <w:b/>
          <w:bCs/>
          <w:vertAlign w:val="subscript"/>
          <w:lang w:val="fr-FR"/>
        </w:rPr>
        <w:t>2</w:t>
      </w:r>
      <w:r w:rsidRPr="00591584">
        <w:rPr>
          <w:b/>
          <w:bCs/>
          <w:lang w:val="fr-FR"/>
        </w:rPr>
        <w:t>, N</w:t>
      </w:r>
      <w:r w:rsidRPr="00591584">
        <w:rPr>
          <w:b/>
          <w:bCs/>
          <w:vertAlign w:val="subscript"/>
          <w:lang w:val="fr-FR"/>
        </w:rPr>
        <w:t>3</w:t>
      </w:r>
      <w:r w:rsidRPr="00591584">
        <w:rPr>
          <w:b/>
          <w:bCs/>
          <w:lang w:val="fr-FR"/>
        </w:rPr>
        <w:t>, M</w:t>
      </w:r>
      <w:r w:rsidRPr="00591584">
        <w:rPr>
          <w:b/>
          <w:bCs/>
          <w:vertAlign w:val="subscript"/>
          <w:lang w:val="fr-FR"/>
        </w:rPr>
        <w:t>2</w:t>
      </w:r>
      <w:r w:rsidRPr="00591584">
        <w:rPr>
          <w:b/>
          <w:bCs/>
          <w:lang w:val="fr-FR"/>
        </w:rPr>
        <w:t xml:space="preserve"> </w:t>
      </w:r>
      <w:r w:rsidR="00591584">
        <w:rPr>
          <w:b/>
          <w:bCs/>
          <w:lang w:val="fr-FR"/>
        </w:rPr>
        <w:br/>
      </w:r>
      <w:r w:rsidRPr="00591584">
        <w:rPr>
          <w:b/>
          <w:bCs/>
          <w:lang w:val="fr-FR"/>
        </w:rPr>
        <w:t>(masse maximale autorisée supérieure à 3 500 kg) et M</w:t>
      </w:r>
      <w:r w:rsidRPr="00591584">
        <w:rPr>
          <w:b/>
          <w:bCs/>
          <w:vertAlign w:val="subscript"/>
          <w:lang w:val="fr-FR"/>
        </w:rPr>
        <w:t>3</w:t>
      </w:r>
      <w:r w:rsidRPr="00591584">
        <w:rPr>
          <w:b/>
          <w:bCs/>
          <w:lang w:val="fr-FR"/>
        </w:rPr>
        <w:t xml:space="preserve">, sur la base de ce Règlement </w:t>
      </w:r>
      <w:r w:rsidR="00591584">
        <w:rPr>
          <w:b/>
          <w:bCs/>
          <w:lang w:val="fr-FR"/>
        </w:rPr>
        <w:br/>
      </w:r>
      <w:r w:rsidRPr="00591584">
        <w:rPr>
          <w:b/>
          <w:bCs/>
          <w:lang w:val="fr-FR"/>
        </w:rPr>
        <w:t>jusqu’au complément 6</w:t>
      </w:r>
    </w:p>
    <w:tbl>
      <w:tblPr>
        <w:tblW w:w="9639" w:type="dxa"/>
        <w:shd w:val="clear" w:color="auto" w:fill="FFFFFF" w:themeFill="background1"/>
        <w:tblLayout w:type="fixed"/>
        <w:tblCellMar>
          <w:left w:w="70" w:type="dxa"/>
          <w:right w:w="70" w:type="dxa"/>
        </w:tblCellMar>
        <w:tblLook w:val="04A0" w:firstRow="1" w:lastRow="0" w:firstColumn="1" w:lastColumn="0" w:noHBand="0" w:noVBand="1"/>
      </w:tblPr>
      <w:tblGrid>
        <w:gridCol w:w="406"/>
        <w:gridCol w:w="2512"/>
        <w:gridCol w:w="478"/>
        <w:gridCol w:w="435"/>
        <w:gridCol w:w="408"/>
        <w:gridCol w:w="938"/>
        <w:gridCol w:w="12"/>
        <w:gridCol w:w="529"/>
        <w:gridCol w:w="541"/>
        <w:gridCol w:w="674"/>
        <w:gridCol w:w="541"/>
        <w:gridCol w:w="541"/>
        <w:gridCol w:w="541"/>
        <w:gridCol w:w="542"/>
        <w:gridCol w:w="541"/>
      </w:tblGrid>
      <w:tr w:rsidR="00C56E05" w:rsidRPr="005842A0" w14:paraId="30AF3DE5" w14:textId="77777777" w:rsidTr="00BA2554">
        <w:trPr>
          <w:cantSplit/>
          <w:trHeight w:val="1280"/>
          <w:tblHeader/>
        </w:trPr>
        <w:tc>
          <w:tcPr>
            <w:tcW w:w="406" w:type="dxa"/>
            <w:vMerge w:val="restart"/>
            <w:tcBorders>
              <w:top w:val="single" w:sz="4" w:space="0" w:color="auto"/>
              <w:left w:val="single" w:sz="4" w:space="0" w:color="auto"/>
              <w:bottom w:val="single" w:sz="12" w:space="0" w:color="auto"/>
              <w:right w:val="nil"/>
            </w:tcBorders>
            <w:shd w:val="clear" w:color="auto" w:fill="FFFFFF" w:themeFill="background1"/>
            <w:textDirection w:val="btLr"/>
            <w:vAlign w:val="center"/>
            <w:hideMark/>
          </w:tcPr>
          <w:p w14:paraId="1DA1C2C2"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Situation</w:t>
            </w:r>
          </w:p>
        </w:tc>
        <w:tc>
          <w:tcPr>
            <w:tcW w:w="251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1B94AF7"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Grandeur d’entrée</w:t>
            </w:r>
          </w:p>
        </w:tc>
        <w:tc>
          <w:tcPr>
            <w:tcW w:w="91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C7DD24E"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 xml:space="preserve">Écarts estimés </w:t>
            </w:r>
            <w:r>
              <w:rPr>
                <w:b/>
                <w:bCs/>
                <w:i/>
                <w:iCs/>
                <w:sz w:val="16"/>
                <w:szCs w:val="16"/>
                <w:lang w:val="fr-FR"/>
              </w:rPr>
              <w:br/>
            </w:r>
            <w:r w:rsidRPr="005842A0">
              <w:rPr>
                <w:b/>
                <w:bCs/>
                <w:i/>
                <w:iCs/>
                <w:sz w:val="16"/>
                <w:szCs w:val="16"/>
                <w:lang w:val="fr-FR"/>
              </w:rPr>
              <w:t xml:space="preserve">du résultat </w:t>
            </w:r>
            <w:r>
              <w:rPr>
                <w:b/>
                <w:bCs/>
                <w:i/>
                <w:iCs/>
                <w:sz w:val="16"/>
                <w:szCs w:val="16"/>
                <w:lang w:val="fr-FR"/>
              </w:rPr>
              <w:br/>
            </w:r>
            <w:r w:rsidRPr="005842A0">
              <w:rPr>
                <w:b/>
                <w:bCs/>
                <w:i/>
                <w:iCs/>
                <w:sz w:val="16"/>
                <w:szCs w:val="16"/>
                <w:lang w:val="fr-FR"/>
              </w:rPr>
              <w:t>du mesurage (crête à crête)</w:t>
            </w:r>
            <w:r w:rsidRPr="005842A0">
              <w:rPr>
                <w:sz w:val="16"/>
                <w:szCs w:val="16"/>
                <w:lang w:val="fr-FR"/>
              </w:rPr>
              <w:t xml:space="preserve"> </w:t>
            </w:r>
          </w:p>
        </w:tc>
        <w:tc>
          <w:tcPr>
            <w:tcW w:w="408" w:type="dxa"/>
            <w:vMerge w:val="restart"/>
            <w:tcBorders>
              <w:top w:val="single" w:sz="4" w:space="0" w:color="auto"/>
              <w:left w:val="nil"/>
              <w:bottom w:val="single" w:sz="12" w:space="0" w:color="auto"/>
              <w:right w:val="nil"/>
            </w:tcBorders>
            <w:shd w:val="clear" w:color="auto" w:fill="FFFFFF" w:themeFill="background1"/>
            <w:textDirection w:val="btLr"/>
            <w:vAlign w:val="center"/>
            <w:hideMark/>
          </w:tcPr>
          <w:p w14:paraId="21F9B562"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 xml:space="preserve">Incidence sur </w:t>
            </w:r>
            <w:proofErr w:type="spellStart"/>
            <w:r w:rsidRPr="005842A0">
              <w:rPr>
                <w:b/>
                <w:bCs/>
                <w:i/>
                <w:iCs/>
                <w:sz w:val="16"/>
                <w:szCs w:val="16"/>
                <w:lang w:val="fr-FR"/>
              </w:rPr>
              <w:t>Lurb</w:t>
            </w:r>
            <w:proofErr w:type="spellEnd"/>
          </w:p>
        </w:tc>
        <w:tc>
          <w:tcPr>
            <w:tcW w:w="93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03B0292D"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Loi de probabilité</w:t>
            </w:r>
          </w:p>
        </w:tc>
        <w:tc>
          <w:tcPr>
            <w:tcW w:w="541" w:type="dxa"/>
            <w:gridSpan w:val="2"/>
            <w:vMerge w:val="restart"/>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8285C25"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Variance</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5F63C524"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Écart-type</w:t>
            </w:r>
          </w:p>
        </w:tc>
        <w:tc>
          <w:tcPr>
            <w:tcW w:w="674"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18EDDC8"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Proportion</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30DF041E"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Incertitude-type composée</w:t>
            </w:r>
            <w:r w:rsidRPr="005842A0">
              <w:rPr>
                <w:sz w:val="16"/>
                <w:szCs w:val="16"/>
                <w:lang w:val="fr-FR"/>
              </w:rPr>
              <w:t xml:space="preserve">  </w:t>
            </w:r>
          </w:p>
        </w:tc>
        <w:tc>
          <w:tcPr>
            <w:tcW w:w="1624"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6ADD128"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Budgets d’incertitude</w:t>
            </w:r>
          </w:p>
        </w:tc>
        <w:tc>
          <w:tcPr>
            <w:tcW w:w="54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14:paraId="053DD8B5"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Incertitude élargie</w:t>
            </w:r>
            <w:r>
              <w:rPr>
                <w:b/>
                <w:bCs/>
                <w:i/>
                <w:iCs/>
                <w:sz w:val="16"/>
                <w:szCs w:val="16"/>
                <w:lang w:val="fr-FR"/>
              </w:rPr>
              <w:br/>
            </w:r>
            <w:r w:rsidRPr="005842A0">
              <w:rPr>
                <w:b/>
                <w:bCs/>
                <w:i/>
                <w:iCs/>
                <w:sz w:val="16"/>
                <w:szCs w:val="16"/>
                <w:lang w:val="fr-FR"/>
              </w:rPr>
              <w:t>(niveau de confiance de 95 %)</w:t>
            </w:r>
          </w:p>
        </w:tc>
      </w:tr>
      <w:tr w:rsidR="00C56E05" w:rsidRPr="005842A0" w14:paraId="73501B60" w14:textId="77777777" w:rsidTr="00BA2554">
        <w:trPr>
          <w:cantSplit/>
          <w:trHeight w:val="1134"/>
          <w:tblHeader/>
        </w:trPr>
        <w:tc>
          <w:tcPr>
            <w:tcW w:w="406" w:type="dxa"/>
            <w:vMerge/>
            <w:tcBorders>
              <w:top w:val="single" w:sz="4" w:space="0" w:color="auto"/>
              <w:left w:val="single" w:sz="4" w:space="0" w:color="auto"/>
              <w:bottom w:val="single" w:sz="12" w:space="0" w:color="auto"/>
              <w:right w:val="nil"/>
            </w:tcBorders>
            <w:shd w:val="clear" w:color="auto" w:fill="FFFFFF" w:themeFill="background1"/>
            <w:vAlign w:val="center"/>
            <w:hideMark/>
          </w:tcPr>
          <w:p w14:paraId="4DE63F20" w14:textId="77777777" w:rsidR="00C56E05" w:rsidRPr="005842A0" w:rsidRDefault="00C56E05" w:rsidP="002F271C">
            <w:pPr>
              <w:spacing w:before="60" w:after="60" w:line="240" w:lineRule="auto"/>
              <w:ind w:left="57" w:right="57"/>
              <w:rPr>
                <w:b/>
                <w:bCs/>
                <w:sz w:val="16"/>
                <w:szCs w:val="16"/>
                <w:lang w:val="fr-FR" w:eastAsia="de-DE"/>
              </w:rPr>
            </w:pPr>
          </w:p>
        </w:tc>
        <w:tc>
          <w:tcPr>
            <w:tcW w:w="251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5108CAA" w14:textId="77777777" w:rsidR="00C56E05" w:rsidRPr="005842A0" w:rsidRDefault="00C56E05" w:rsidP="002F271C">
            <w:pPr>
              <w:spacing w:before="60" w:after="60" w:line="240" w:lineRule="auto"/>
              <w:ind w:left="57" w:right="57"/>
              <w:rPr>
                <w:b/>
                <w:bCs/>
                <w:sz w:val="16"/>
                <w:szCs w:val="16"/>
                <w:lang w:val="fr-FR" w:eastAsia="de-DE"/>
              </w:rPr>
            </w:pPr>
          </w:p>
        </w:tc>
        <w:tc>
          <w:tcPr>
            <w:tcW w:w="478"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36F107A9" w14:textId="77777777" w:rsidR="00C56E05" w:rsidRPr="005842A0" w:rsidRDefault="00C56E05" w:rsidP="002F271C">
            <w:pPr>
              <w:spacing w:before="60" w:after="60" w:line="240" w:lineRule="auto"/>
              <w:ind w:left="57" w:right="57"/>
              <w:jc w:val="center"/>
              <w:rPr>
                <w:b/>
                <w:bCs/>
                <w:i/>
                <w:iCs/>
                <w:sz w:val="16"/>
                <w:szCs w:val="16"/>
                <w:lang w:val="fr-FR"/>
              </w:rPr>
            </w:pPr>
            <w:proofErr w:type="spellStart"/>
            <w:r w:rsidRPr="005842A0">
              <w:rPr>
                <w:b/>
                <w:bCs/>
                <w:i/>
                <w:iCs/>
                <w:sz w:val="16"/>
                <w:szCs w:val="16"/>
                <w:lang w:val="fr-FR"/>
              </w:rPr>
              <w:t>Lwot</w:t>
            </w:r>
            <w:proofErr w:type="spellEnd"/>
          </w:p>
        </w:tc>
        <w:tc>
          <w:tcPr>
            <w:tcW w:w="435"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57BFB72F" w14:textId="77777777" w:rsidR="00C56E05" w:rsidRPr="005842A0" w:rsidRDefault="00C56E05" w:rsidP="002F271C">
            <w:pPr>
              <w:spacing w:before="60" w:after="60" w:line="240" w:lineRule="auto"/>
              <w:ind w:left="57" w:right="57"/>
              <w:jc w:val="center"/>
              <w:rPr>
                <w:b/>
                <w:bCs/>
                <w:i/>
                <w:iCs/>
                <w:sz w:val="16"/>
                <w:szCs w:val="16"/>
                <w:lang w:val="fr-FR"/>
              </w:rPr>
            </w:pPr>
            <w:proofErr w:type="spellStart"/>
            <w:r w:rsidRPr="005842A0">
              <w:rPr>
                <w:b/>
                <w:bCs/>
                <w:i/>
                <w:iCs/>
                <w:sz w:val="16"/>
                <w:szCs w:val="16"/>
                <w:lang w:val="fr-FR"/>
              </w:rPr>
              <w:t>Lcrs</w:t>
            </w:r>
            <w:proofErr w:type="spellEnd"/>
          </w:p>
        </w:tc>
        <w:tc>
          <w:tcPr>
            <w:tcW w:w="408" w:type="dxa"/>
            <w:vMerge/>
            <w:tcBorders>
              <w:top w:val="single" w:sz="4" w:space="0" w:color="auto"/>
              <w:left w:val="nil"/>
              <w:bottom w:val="single" w:sz="12" w:space="0" w:color="auto"/>
              <w:right w:val="nil"/>
            </w:tcBorders>
            <w:shd w:val="clear" w:color="auto" w:fill="FFFFFF" w:themeFill="background1"/>
            <w:vAlign w:val="center"/>
            <w:hideMark/>
          </w:tcPr>
          <w:p w14:paraId="70E36947" w14:textId="77777777" w:rsidR="00C56E05" w:rsidRPr="005842A0" w:rsidRDefault="00C56E05" w:rsidP="002F271C">
            <w:pPr>
              <w:spacing w:before="60" w:after="60" w:line="240" w:lineRule="auto"/>
              <w:ind w:left="57" w:right="57"/>
              <w:rPr>
                <w:b/>
                <w:bCs/>
                <w:sz w:val="16"/>
                <w:szCs w:val="16"/>
                <w:lang w:val="fr-FR" w:eastAsia="de-DE"/>
              </w:rPr>
            </w:pPr>
          </w:p>
        </w:tc>
        <w:tc>
          <w:tcPr>
            <w:tcW w:w="93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F4AB583" w14:textId="77777777" w:rsidR="00C56E05" w:rsidRPr="005842A0" w:rsidRDefault="00C56E05" w:rsidP="002F271C">
            <w:pPr>
              <w:spacing w:before="60" w:after="60" w:line="240" w:lineRule="auto"/>
              <w:ind w:left="57" w:right="57"/>
              <w:rPr>
                <w:b/>
                <w:bCs/>
                <w:sz w:val="16"/>
                <w:szCs w:val="16"/>
                <w:lang w:val="fr-FR" w:eastAsia="de-DE"/>
              </w:rPr>
            </w:pPr>
          </w:p>
        </w:tc>
        <w:tc>
          <w:tcPr>
            <w:tcW w:w="541" w:type="dxa"/>
            <w:gridSpan w:val="2"/>
            <w:vMerge/>
            <w:tcBorders>
              <w:top w:val="single" w:sz="4" w:space="0" w:color="auto"/>
              <w:left w:val="nil"/>
              <w:bottom w:val="single" w:sz="12" w:space="0" w:color="auto"/>
              <w:right w:val="single" w:sz="4" w:space="0" w:color="auto"/>
            </w:tcBorders>
            <w:shd w:val="clear" w:color="auto" w:fill="FFFFFF" w:themeFill="background1"/>
            <w:vAlign w:val="center"/>
            <w:hideMark/>
          </w:tcPr>
          <w:p w14:paraId="50225202" w14:textId="77777777" w:rsidR="00C56E05" w:rsidRPr="005842A0" w:rsidRDefault="00C56E05" w:rsidP="002F271C">
            <w:pPr>
              <w:spacing w:before="60" w:after="60" w:line="240" w:lineRule="auto"/>
              <w:ind w:left="57" w:right="57"/>
              <w:rPr>
                <w:b/>
                <w:bCs/>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B0F463" w14:textId="77777777" w:rsidR="00C56E05" w:rsidRPr="005842A0" w:rsidRDefault="00C56E05" w:rsidP="002F271C">
            <w:pPr>
              <w:spacing w:before="60" w:after="60" w:line="240" w:lineRule="auto"/>
              <w:ind w:left="57" w:right="57"/>
              <w:rPr>
                <w:b/>
                <w:bCs/>
                <w:sz w:val="16"/>
                <w:szCs w:val="16"/>
                <w:lang w:val="fr-FR" w:eastAsia="de-DE"/>
              </w:rPr>
            </w:pPr>
          </w:p>
        </w:tc>
        <w:tc>
          <w:tcPr>
            <w:tcW w:w="674"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29C55C0" w14:textId="77777777" w:rsidR="00C56E05" w:rsidRPr="005842A0" w:rsidRDefault="00C56E05" w:rsidP="002F271C">
            <w:pPr>
              <w:spacing w:before="60" w:after="60" w:line="240" w:lineRule="auto"/>
              <w:ind w:left="57" w:right="57"/>
              <w:rPr>
                <w:b/>
                <w:bCs/>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2929425" w14:textId="77777777" w:rsidR="00C56E05" w:rsidRPr="005842A0" w:rsidRDefault="00C56E05" w:rsidP="002F271C">
            <w:pPr>
              <w:spacing w:before="60" w:after="60" w:line="240" w:lineRule="auto"/>
              <w:ind w:left="57" w:right="57"/>
              <w:rPr>
                <w:b/>
                <w:bCs/>
                <w:sz w:val="16"/>
                <w:szCs w:val="16"/>
                <w:lang w:val="fr-FR" w:eastAsia="de-DE"/>
              </w:rPr>
            </w:pPr>
          </w:p>
        </w:tc>
        <w:tc>
          <w:tcPr>
            <w:tcW w:w="541" w:type="dxa"/>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5C4A30C6"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Homologation de type</w:t>
            </w:r>
          </w:p>
        </w:tc>
        <w:tc>
          <w:tcPr>
            <w:tcW w:w="541"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253DF3E6"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Conformité de la production</w:t>
            </w:r>
          </w:p>
        </w:tc>
        <w:tc>
          <w:tcPr>
            <w:tcW w:w="542"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54C27B78" w14:textId="77777777" w:rsidR="00C56E05" w:rsidRPr="005842A0" w:rsidRDefault="00C56E05" w:rsidP="002F271C">
            <w:pPr>
              <w:spacing w:before="60" w:after="60" w:line="240" w:lineRule="auto"/>
              <w:ind w:left="57" w:right="57"/>
              <w:jc w:val="center"/>
              <w:rPr>
                <w:b/>
                <w:bCs/>
                <w:i/>
                <w:iCs/>
                <w:sz w:val="16"/>
                <w:szCs w:val="16"/>
                <w:lang w:val="fr-FR"/>
              </w:rPr>
            </w:pPr>
            <w:r w:rsidRPr="005842A0">
              <w:rPr>
                <w:b/>
                <w:bCs/>
                <w:i/>
                <w:iCs/>
                <w:sz w:val="16"/>
                <w:szCs w:val="16"/>
                <w:lang w:val="fr-FR"/>
              </w:rPr>
              <w:t xml:space="preserve">Essais </w:t>
            </w:r>
            <w:r>
              <w:rPr>
                <w:b/>
                <w:bCs/>
                <w:i/>
                <w:iCs/>
                <w:sz w:val="16"/>
                <w:szCs w:val="16"/>
                <w:lang w:val="fr-FR"/>
              </w:rPr>
              <w:br/>
            </w:r>
            <w:r w:rsidRPr="005842A0">
              <w:rPr>
                <w:b/>
                <w:bCs/>
                <w:i/>
                <w:iCs/>
                <w:sz w:val="16"/>
                <w:szCs w:val="16"/>
                <w:lang w:val="fr-FR"/>
              </w:rPr>
              <w:t>sur le terrain</w:t>
            </w:r>
          </w:p>
        </w:tc>
        <w:tc>
          <w:tcPr>
            <w:tcW w:w="541" w:type="dxa"/>
            <w:vMerge/>
            <w:tcBorders>
              <w:left w:val="single" w:sz="4" w:space="0" w:color="auto"/>
              <w:bottom w:val="single" w:sz="12" w:space="0" w:color="auto"/>
              <w:right w:val="single" w:sz="4" w:space="0" w:color="auto"/>
            </w:tcBorders>
            <w:shd w:val="clear" w:color="auto" w:fill="FFFFFF" w:themeFill="background1"/>
            <w:vAlign w:val="center"/>
          </w:tcPr>
          <w:p w14:paraId="44079E48" w14:textId="77777777" w:rsidR="00C56E05" w:rsidRPr="005842A0" w:rsidRDefault="00C56E05" w:rsidP="002F271C">
            <w:pPr>
              <w:spacing w:before="60" w:after="60" w:line="240" w:lineRule="auto"/>
              <w:ind w:left="57" w:right="57"/>
              <w:jc w:val="center"/>
              <w:rPr>
                <w:b/>
                <w:bCs/>
                <w:i/>
                <w:iCs/>
                <w:sz w:val="16"/>
                <w:szCs w:val="16"/>
                <w:lang w:val="fr-FR" w:eastAsia="de-DE"/>
              </w:rPr>
            </w:pPr>
          </w:p>
        </w:tc>
      </w:tr>
      <w:tr w:rsidR="00C56E05" w:rsidRPr="00DC7C60" w14:paraId="3539475A" w14:textId="77777777" w:rsidTr="00BA2554">
        <w:trPr>
          <w:trHeight w:val="162"/>
        </w:trPr>
        <w:tc>
          <w:tcPr>
            <w:tcW w:w="406"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3372F4E" w14:textId="77777777" w:rsidR="00C56E05" w:rsidRPr="00DC7C60" w:rsidRDefault="00C56E05" w:rsidP="002F271C">
            <w:pPr>
              <w:spacing w:before="60" w:after="60" w:line="240" w:lineRule="auto"/>
              <w:ind w:left="57" w:right="57"/>
              <w:jc w:val="center"/>
              <w:rPr>
                <w:b/>
                <w:bCs/>
                <w:sz w:val="16"/>
                <w:szCs w:val="16"/>
                <w:lang w:val="fr-FR"/>
              </w:rPr>
            </w:pPr>
            <w:r w:rsidRPr="00DC7C60">
              <w:rPr>
                <w:b/>
                <w:bCs/>
                <w:sz w:val="16"/>
                <w:szCs w:val="16"/>
                <w:lang w:val="fr-FR"/>
              </w:rPr>
              <w:t>D’un essai à l’autre</w:t>
            </w:r>
          </w:p>
        </w:tc>
        <w:tc>
          <w:tcPr>
            <w:tcW w:w="2512" w:type="dxa"/>
            <w:tcBorders>
              <w:top w:val="single" w:sz="12" w:space="0" w:color="auto"/>
              <w:left w:val="nil"/>
              <w:bottom w:val="single" w:sz="4" w:space="0" w:color="auto"/>
              <w:right w:val="single" w:sz="4" w:space="0" w:color="auto"/>
            </w:tcBorders>
            <w:shd w:val="clear" w:color="auto" w:fill="FFFFFF" w:themeFill="background1"/>
            <w:vAlign w:val="center"/>
          </w:tcPr>
          <w:p w14:paraId="571E9FDF" w14:textId="744AF298" w:rsidR="00C56E05" w:rsidRPr="00DC7C60" w:rsidRDefault="00C56E05" w:rsidP="002F271C">
            <w:pPr>
              <w:spacing w:before="60" w:after="60" w:line="240" w:lineRule="auto"/>
              <w:ind w:left="-7"/>
              <w:rPr>
                <w:sz w:val="16"/>
                <w:szCs w:val="16"/>
                <w:lang w:val="fr-FR"/>
              </w:rPr>
            </w:pPr>
            <w:r w:rsidRPr="009B0953">
              <w:rPr>
                <w:sz w:val="16"/>
                <w:szCs w:val="16"/>
                <w:lang w:val="fr-FR"/>
              </w:rPr>
              <w:t xml:space="preserve">Effet du vent (microclimat) </w:t>
            </w:r>
            <w:r w:rsidR="002F7FEA">
              <w:rPr>
                <w:sz w:val="16"/>
                <w:szCs w:val="16"/>
                <w:lang w:val="fr-FR"/>
              </w:rPr>
              <w:t>−</w:t>
            </w:r>
            <w:r w:rsidRPr="009B0953">
              <w:rPr>
                <w:sz w:val="16"/>
                <w:szCs w:val="16"/>
                <w:lang w:val="fr-FR"/>
              </w:rPr>
              <w:t xml:space="preserve"> tête ou queue</w:t>
            </w:r>
          </w:p>
        </w:tc>
        <w:tc>
          <w:tcPr>
            <w:tcW w:w="478" w:type="dxa"/>
            <w:tcBorders>
              <w:top w:val="single" w:sz="12" w:space="0" w:color="auto"/>
              <w:left w:val="nil"/>
              <w:bottom w:val="single" w:sz="4" w:space="0" w:color="auto"/>
              <w:right w:val="single" w:sz="4" w:space="0" w:color="auto"/>
            </w:tcBorders>
            <w:shd w:val="clear" w:color="auto" w:fill="FFFFFF" w:themeFill="background1"/>
            <w:vAlign w:val="center"/>
          </w:tcPr>
          <w:p w14:paraId="4CE8145D" w14:textId="77777777" w:rsidR="00C56E05" w:rsidRPr="00DC7C60" w:rsidRDefault="00C56E05" w:rsidP="002F271C">
            <w:pPr>
              <w:spacing w:before="60" w:after="60" w:line="240" w:lineRule="auto"/>
              <w:ind w:left="-51" w:right="-21"/>
              <w:jc w:val="center"/>
              <w:rPr>
                <w:sz w:val="16"/>
                <w:szCs w:val="16"/>
                <w:lang w:val="fr-FR"/>
              </w:rPr>
            </w:pPr>
            <w:r w:rsidRPr="001E4C05">
              <w:rPr>
                <w:sz w:val="16"/>
                <w:szCs w:val="16"/>
                <w:lang w:val="fr-FR"/>
              </w:rPr>
              <w:t>0</w:t>
            </w:r>
          </w:p>
        </w:tc>
        <w:tc>
          <w:tcPr>
            <w:tcW w:w="435" w:type="dxa"/>
            <w:tcBorders>
              <w:top w:val="single" w:sz="12" w:space="0" w:color="auto"/>
              <w:left w:val="nil"/>
              <w:bottom w:val="single" w:sz="4" w:space="0" w:color="auto"/>
              <w:right w:val="single" w:sz="4" w:space="0" w:color="auto"/>
            </w:tcBorders>
            <w:shd w:val="clear" w:color="auto" w:fill="FFFFFF" w:themeFill="background1"/>
            <w:vAlign w:val="center"/>
          </w:tcPr>
          <w:p w14:paraId="7E621244" w14:textId="77777777" w:rsidR="00C56E05" w:rsidRPr="00DC7C60" w:rsidRDefault="00C56E05" w:rsidP="002F271C">
            <w:pPr>
              <w:spacing w:before="60" w:after="6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12" w:space="0" w:color="auto"/>
              <w:left w:val="nil"/>
              <w:bottom w:val="single" w:sz="4" w:space="0" w:color="auto"/>
              <w:right w:val="single" w:sz="4" w:space="0" w:color="auto"/>
            </w:tcBorders>
            <w:shd w:val="clear" w:color="auto" w:fill="FFFFFF" w:themeFill="background1"/>
            <w:noWrap/>
            <w:vAlign w:val="center"/>
          </w:tcPr>
          <w:p w14:paraId="1363BCC8" w14:textId="77777777" w:rsidR="00C56E05" w:rsidRPr="00DC7C60" w:rsidRDefault="00C56E05" w:rsidP="002F271C">
            <w:pPr>
              <w:spacing w:before="60" w:after="60" w:line="240" w:lineRule="auto"/>
              <w:ind w:left="-44" w:right="-36"/>
              <w:jc w:val="center"/>
              <w:rPr>
                <w:sz w:val="16"/>
                <w:szCs w:val="16"/>
                <w:lang w:val="fr-FR"/>
              </w:rPr>
            </w:pPr>
            <w:r w:rsidRPr="001E4C05">
              <w:rPr>
                <w:sz w:val="16"/>
                <w:szCs w:val="16"/>
                <w:lang w:val="fr-FR"/>
              </w:rPr>
              <w:t>0</w:t>
            </w:r>
          </w:p>
        </w:tc>
        <w:tc>
          <w:tcPr>
            <w:tcW w:w="950" w:type="dxa"/>
            <w:gridSpan w:val="2"/>
            <w:tcBorders>
              <w:top w:val="single" w:sz="12" w:space="0" w:color="auto"/>
              <w:left w:val="nil"/>
              <w:bottom w:val="single" w:sz="4" w:space="0" w:color="auto"/>
              <w:right w:val="single" w:sz="4" w:space="0" w:color="auto"/>
            </w:tcBorders>
            <w:shd w:val="clear" w:color="auto" w:fill="FFFFFF" w:themeFill="background1"/>
            <w:vAlign w:val="center"/>
          </w:tcPr>
          <w:p w14:paraId="744E04B8" w14:textId="77777777" w:rsidR="00C56E05" w:rsidRPr="00DC7C60" w:rsidRDefault="00C56E05" w:rsidP="002F271C">
            <w:pPr>
              <w:spacing w:before="60" w:after="60" w:line="240" w:lineRule="auto"/>
              <w:ind w:left="-14" w:right="-26"/>
              <w:jc w:val="center"/>
              <w:rPr>
                <w:sz w:val="16"/>
                <w:szCs w:val="16"/>
                <w:lang w:val="fr-FR"/>
              </w:rPr>
            </w:pPr>
            <w:r w:rsidRPr="001E4C05">
              <w:rPr>
                <w:sz w:val="16"/>
                <w:szCs w:val="16"/>
                <w:lang w:val="fr-FR"/>
              </w:rPr>
              <w:t>gaussienne</w:t>
            </w:r>
          </w:p>
        </w:tc>
        <w:tc>
          <w:tcPr>
            <w:tcW w:w="529" w:type="dxa"/>
            <w:tcBorders>
              <w:top w:val="single" w:sz="12" w:space="0" w:color="auto"/>
              <w:left w:val="nil"/>
              <w:bottom w:val="single" w:sz="4" w:space="0" w:color="auto"/>
              <w:right w:val="single" w:sz="4" w:space="0" w:color="auto"/>
            </w:tcBorders>
            <w:shd w:val="clear" w:color="auto" w:fill="FFFFFF" w:themeFill="background1"/>
            <w:vAlign w:val="center"/>
          </w:tcPr>
          <w:p w14:paraId="7017EC4B" w14:textId="77777777" w:rsidR="00C56E05" w:rsidRPr="00DC7C60" w:rsidRDefault="00C56E05" w:rsidP="002F271C">
            <w:pPr>
              <w:spacing w:before="60" w:after="60" w:line="240" w:lineRule="auto"/>
              <w:ind w:left="-25" w:right="-6"/>
              <w:jc w:val="center"/>
              <w:rPr>
                <w:sz w:val="16"/>
                <w:szCs w:val="16"/>
                <w:lang w:val="fr-FR"/>
              </w:rPr>
            </w:pPr>
            <w:r w:rsidRPr="001E4C05">
              <w:rPr>
                <w:sz w:val="16"/>
                <w:szCs w:val="16"/>
                <w:lang w:val="fr-FR"/>
              </w:rPr>
              <w:t xml:space="preserve">0,000 </w:t>
            </w:r>
          </w:p>
        </w:tc>
        <w:tc>
          <w:tcPr>
            <w:tcW w:w="541" w:type="dxa"/>
            <w:tcBorders>
              <w:top w:val="single" w:sz="12" w:space="0" w:color="auto"/>
              <w:left w:val="nil"/>
              <w:bottom w:val="single" w:sz="4" w:space="0" w:color="auto"/>
              <w:right w:val="single" w:sz="4" w:space="0" w:color="auto"/>
            </w:tcBorders>
            <w:shd w:val="clear" w:color="auto" w:fill="FFFFFF" w:themeFill="background1"/>
            <w:vAlign w:val="center"/>
          </w:tcPr>
          <w:p w14:paraId="60D0F759" w14:textId="77777777" w:rsidR="00C56E05" w:rsidRPr="00DC7C60" w:rsidRDefault="00C56E05" w:rsidP="002F271C">
            <w:pPr>
              <w:spacing w:before="60" w:after="60" w:line="240" w:lineRule="auto"/>
              <w:ind w:left="-11" w:right="-34"/>
              <w:jc w:val="center"/>
              <w:rPr>
                <w:sz w:val="16"/>
                <w:szCs w:val="16"/>
                <w:lang w:val="fr-FR"/>
              </w:rPr>
            </w:pPr>
            <w:r w:rsidRPr="001E4C05">
              <w:rPr>
                <w:sz w:val="16"/>
                <w:szCs w:val="16"/>
                <w:lang w:val="fr-FR"/>
              </w:rPr>
              <w:t xml:space="preserve">0,00 </w:t>
            </w:r>
          </w:p>
        </w:tc>
        <w:tc>
          <w:tcPr>
            <w:tcW w:w="674" w:type="dxa"/>
            <w:tcBorders>
              <w:top w:val="single" w:sz="12" w:space="0" w:color="auto"/>
              <w:left w:val="nil"/>
              <w:bottom w:val="single" w:sz="4" w:space="0" w:color="auto"/>
              <w:right w:val="single" w:sz="4" w:space="0" w:color="auto"/>
            </w:tcBorders>
            <w:shd w:val="clear" w:color="auto" w:fill="FFFFFF" w:themeFill="background1"/>
            <w:noWrap/>
            <w:vAlign w:val="center"/>
          </w:tcPr>
          <w:p w14:paraId="4BAE0625"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0,0%</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6E2E9A19" w14:textId="77777777" w:rsidR="00C56E05" w:rsidRPr="00DC7C60" w:rsidRDefault="00C56E05" w:rsidP="002F271C">
            <w:pPr>
              <w:spacing w:before="60" w:after="60" w:line="240" w:lineRule="auto"/>
              <w:ind w:left="28" w:right="28"/>
              <w:jc w:val="center"/>
              <w:rPr>
                <w:sz w:val="16"/>
                <w:szCs w:val="16"/>
                <w:lang w:val="fr-FR"/>
              </w:rPr>
            </w:pPr>
            <w:r>
              <w:rPr>
                <w:sz w:val="16"/>
                <w:szCs w:val="16"/>
                <w:lang w:val="fr-FR"/>
              </w:rPr>
              <w:t>0,30</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0CDA9710" w14:textId="77777777" w:rsidR="00C56E05" w:rsidRPr="00DC7C60" w:rsidRDefault="00C56E05" w:rsidP="002F271C">
            <w:pPr>
              <w:spacing w:before="60" w:after="60" w:line="240" w:lineRule="auto"/>
              <w:ind w:left="28" w:right="28"/>
              <w:jc w:val="center"/>
              <w:rPr>
                <w:sz w:val="16"/>
                <w:szCs w:val="16"/>
                <w:lang w:val="fr-FR"/>
              </w:rPr>
            </w:pPr>
            <w:r w:rsidRPr="004D23B0">
              <w:rPr>
                <w:sz w:val="16"/>
                <w:szCs w:val="16"/>
                <w:lang w:val="fr-FR"/>
              </w:rPr>
              <w:t>0,30</w:t>
            </w:r>
          </w:p>
        </w:tc>
        <w:tc>
          <w:tcPr>
            <w:tcW w:w="541"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38E1FC88" w14:textId="77777777" w:rsidR="00C56E05" w:rsidRPr="00DC7C60" w:rsidRDefault="00C56E05" w:rsidP="002F271C">
            <w:pPr>
              <w:spacing w:before="60" w:after="60" w:line="240" w:lineRule="auto"/>
              <w:ind w:left="28" w:right="28"/>
              <w:jc w:val="center"/>
              <w:rPr>
                <w:sz w:val="16"/>
                <w:szCs w:val="16"/>
                <w:lang w:val="fr-FR"/>
              </w:rPr>
            </w:pPr>
            <w:r w:rsidRPr="004D23B0">
              <w:rPr>
                <w:sz w:val="16"/>
                <w:szCs w:val="16"/>
                <w:lang w:val="fr-FR"/>
              </w:rPr>
              <w:t>0,30</w:t>
            </w:r>
          </w:p>
        </w:tc>
        <w:tc>
          <w:tcPr>
            <w:tcW w:w="542"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50A1BE54" w14:textId="77777777" w:rsidR="00C56E05" w:rsidRPr="00DC7C60" w:rsidRDefault="00C56E05" w:rsidP="002F271C">
            <w:pPr>
              <w:spacing w:before="60" w:after="60" w:line="240" w:lineRule="auto"/>
              <w:ind w:left="28" w:right="28"/>
              <w:jc w:val="center"/>
              <w:rPr>
                <w:sz w:val="16"/>
                <w:szCs w:val="16"/>
                <w:lang w:val="fr-FR"/>
              </w:rPr>
            </w:pPr>
            <w:r w:rsidRPr="004D23B0">
              <w:rPr>
                <w:sz w:val="16"/>
                <w:szCs w:val="16"/>
                <w:lang w:val="fr-FR"/>
              </w:rPr>
              <w:t>0,30</w:t>
            </w:r>
          </w:p>
        </w:tc>
        <w:tc>
          <w:tcPr>
            <w:tcW w:w="541" w:type="dxa"/>
            <w:vMerge w:val="restart"/>
            <w:tcBorders>
              <w:top w:val="single" w:sz="12" w:space="0" w:color="auto"/>
              <w:left w:val="single" w:sz="4" w:space="0" w:color="auto"/>
              <w:right w:val="single" w:sz="4" w:space="0" w:color="auto"/>
            </w:tcBorders>
            <w:shd w:val="clear" w:color="auto" w:fill="FFFFFF" w:themeFill="background1"/>
            <w:vAlign w:val="center"/>
          </w:tcPr>
          <w:p w14:paraId="680F7CF2" w14:textId="77777777" w:rsidR="00C56E05" w:rsidRPr="00DC7C60" w:rsidRDefault="00C56E05" w:rsidP="002F271C">
            <w:pPr>
              <w:spacing w:before="60" w:after="60" w:line="240" w:lineRule="auto"/>
              <w:ind w:left="28" w:right="28"/>
              <w:jc w:val="center"/>
              <w:rPr>
                <w:sz w:val="16"/>
                <w:szCs w:val="16"/>
                <w:lang w:val="fr-FR"/>
              </w:rPr>
            </w:pPr>
            <w:r>
              <w:rPr>
                <w:sz w:val="16"/>
                <w:szCs w:val="16"/>
                <w:lang w:val="fr-FR"/>
              </w:rPr>
              <w:t>0,59</w:t>
            </w:r>
          </w:p>
        </w:tc>
      </w:tr>
      <w:tr w:rsidR="00C56E05" w:rsidRPr="00DC7C60" w14:paraId="707E00BD"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30FB3"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662E3538" w14:textId="77777777" w:rsidR="00C56E05" w:rsidRPr="00DC7C60" w:rsidRDefault="00C56E05" w:rsidP="002F271C">
            <w:pPr>
              <w:spacing w:before="60" w:after="60" w:line="240" w:lineRule="auto"/>
              <w:ind w:left="-7"/>
              <w:rPr>
                <w:sz w:val="16"/>
                <w:szCs w:val="16"/>
                <w:lang w:val="fr-FR"/>
              </w:rPr>
            </w:pPr>
            <w:r w:rsidRPr="009B0953">
              <w:rPr>
                <w:sz w:val="16"/>
                <w:szCs w:val="16"/>
                <w:lang w:val="fr-FR"/>
              </w:rPr>
              <w:t>Écart par rapport au centre de la position de conduite</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15BC9477" w14:textId="77777777" w:rsidR="00C56E05" w:rsidRPr="00DC7C60" w:rsidRDefault="00C56E05" w:rsidP="002F271C">
            <w:pPr>
              <w:spacing w:before="60" w:after="60" w:line="240" w:lineRule="auto"/>
              <w:ind w:left="-51" w:right="-21"/>
              <w:jc w:val="center"/>
              <w:rPr>
                <w:sz w:val="16"/>
                <w:szCs w:val="16"/>
                <w:lang w:val="fr-FR"/>
              </w:rPr>
            </w:pPr>
            <w:r w:rsidRPr="001E4C05">
              <w:rPr>
                <w:sz w:val="16"/>
                <w:szCs w:val="16"/>
                <w:lang w:val="fr-FR"/>
              </w:rPr>
              <w:t>0,50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7E985B04" w14:textId="77777777" w:rsidR="00C56E05" w:rsidRPr="00DC7C60" w:rsidRDefault="00C56E05" w:rsidP="002F271C">
            <w:pPr>
              <w:spacing w:before="60" w:after="6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35E894BA" w14:textId="77777777" w:rsidR="00C56E05" w:rsidRPr="00DC7C60" w:rsidRDefault="00C56E05" w:rsidP="002F271C">
            <w:pPr>
              <w:spacing w:before="60" w:after="60" w:line="240" w:lineRule="auto"/>
              <w:ind w:left="-44" w:right="-36"/>
              <w:jc w:val="center"/>
              <w:rPr>
                <w:sz w:val="16"/>
                <w:szCs w:val="16"/>
                <w:lang w:val="fr-FR"/>
              </w:rPr>
            </w:pPr>
            <w:r w:rsidRPr="001E4C05">
              <w:rPr>
                <w:sz w:val="16"/>
                <w:szCs w:val="16"/>
                <w:lang w:val="fr-FR"/>
              </w:rPr>
              <w:t xml:space="preserve">0,50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9E692E" w14:textId="77777777" w:rsidR="00C56E05" w:rsidRPr="00DC7C60" w:rsidRDefault="00C56E05" w:rsidP="002F271C">
            <w:pPr>
              <w:spacing w:before="60" w:after="6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7635D9BB" w14:textId="77777777" w:rsidR="00C56E05" w:rsidRPr="00DC7C60" w:rsidRDefault="00C56E05" w:rsidP="002F271C">
            <w:pPr>
              <w:spacing w:before="60" w:after="60" w:line="240" w:lineRule="auto"/>
              <w:ind w:left="-25" w:right="-6"/>
              <w:jc w:val="center"/>
              <w:rPr>
                <w:sz w:val="16"/>
                <w:szCs w:val="16"/>
                <w:lang w:val="fr-FR"/>
              </w:rPr>
            </w:pPr>
            <w:r w:rsidRPr="001E4C05">
              <w:rPr>
                <w:sz w:val="16"/>
                <w:szCs w:val="16"/>
                <w:lang w:val="fr-FR"/>
              </w:rPr>
              <w:t xml:space="preserve">0,021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0AEEDAD7" w14:textId="77777777" w:rsidR="00C56E05" w:rsidRPr="00DC7C60" w:rsidRDefault="00C56E05" w:rsidP="002F271C">
            <w:pPr>
              <w:spacing w:before="60" w:after="60" w:line="240" w:lineRule="auto"/>
              <w:ind w:left="-11" w:right="-34"/>
              <w:jc w:val="center"/>
              <w:rPr>
                <w:sz w:val="16"/>
                <w:szCs w:val="16"/>
                <w:lang w:val="fr-FR"/>
              </w:rPr>
            </w:pPr>
            <w:r w:rsidRPr="001E4C05">
              <w:rPr>
                <w:sz w:val="16"/>
                <w:szCs w:val="16"/>
                <w:lang w:val="fr-FR"/>
              </w:rPr>
              <w:t xml:space="preserve">0,14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084E1FFC"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2,0%</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DAAAA"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9045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93E00"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5427"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687520F3"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45C3F9D4"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F332B"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6F8AD0A9" w14:textId="7611A608" w:rsidR="00C56E05" w:rsidRPr="00DC7C60" w:rsidRDefault="00C56E05" w:rsidP="002F271C">
            <w:pPr>
              <w:spacing w:before="60" w:after="60" w:line="240" w:lineRule="auto"/>
              <w:ind w:left="-7"/>
              <w:rPr>
                <w:sz w:val="16"/>
                <w:szCs w:val="16"/>
                <w:lang w:val="fr-FR"/>
              </w:rPr>
            </w:pPr>
            <w:r w:rsidRPr="009B0953">
              <w:rPr>
                <w:sz w:val="16"/>
                <w:szCs w:val="16"/>
                <w:lang w:val="fr-FR"/>
              </w:rPr>
              <w:t xml:space="preserve">Vitesse sur la ligne BB’ </w:t>
            </w:r>
            <w:r w:rsidR="002F7FEA">
              <w:rPr>
                <w:sz w:val="16"/>
                <w:szCs w:val="16"/>
                <w:lang w:val="fr-FR"/>
              </w:rPr>
              <w:t>−</w:t>
            </w:r>
            <w:r w:rsidRPr="009B0953">
              <w:rPr>
                <w:sz w:val="16"/>
                <w:szCs w:val="16"/>
                <w:lang w:val="fr-FR"/>
              </w:rPr>
              <w:t xml:space="preserve"> Vitesse cible du véhicule (+/-5 km/h), (régime moteur recherché (+/-2 %))</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3B73CDA5" w14:textId="77777777" w:rsidR="00C56E05" w:rsidRPr="00DC7C60" w:rsidRDefault="00C56E05" w:rsidP="002F271C">
            <w:pPr>
              <w:spacing w:before="60" w:after="60" w:line="240" w:lineRule="auto"/>
              <w:ind w:left="-51" w:right="-21"/>
              <w:jc w:val="center"/>
              <w:rPr>
                <w:sz w:val="16"/>
                <w:szCs w:val="16"/>
                <w:lang w:val="fr-FR"/>
              </w:rPr>
            </w:pPr>
            <w:r w:rsidRPr="001E4C05">
              <w:rPr>
                <w:sz w:val="16"/>
                <w:szCs w:val="16"/>
                <w:lang w:val="fr-FR"/>
              </w:rPr>
              <w:t>0,40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64A4FC4B" w14:textId="77777777" w:rsidR="00C56E05" w:rsidRPr="00DC7C60" w:rsidRDefault="00C56E05" w:rsidP="002F271C">
            <w:pPr>
              <w:spacing w:before="60" w:after="6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286FC2C8" w14:textId="77777777" w:rsidR="00C56E05" w:rsidRPr="00DC7C60" w:rsidRDefault="00C56E05" w:rsidP="002F271C">
            <w:pPr>
              <w:spacing w:before="60" w:after="60" w:line="240" w:lineRule="auto"/>
              <w:ind w:left="-44" w:right="-36"/>
              <w:jc w:val="center"/>
              <w:rPr>
                <w:sz w:val="16"/>
                <w:szCs w:val="16"/>
                <w:lang w:val="fr-FR"/>
              </w:rPr>
            </w:pPr>
            <w:r w:rsidRPr="001E4C05">
              <w:rPr>
                <w:sz w:val="16"/>
                <w:szCs w:val="16"/>
                <w:lang w:val="fr-FR"/>
              </w:rPr>
              <w:t xml:space="preserve">0,40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2903DF5" w14:textId="77777777" w:rsidR="00C56E05" w:rsidRPr="00DC7C60" w:rsidRDefault="00C56E05" w:rsidP="002F271C">
            <w:pPr>
              <w:spacing w:before="60" w:after="6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52A5CEE6" w14:textId="77777777" w:rsidR="00C56E05" w:rsidRPr="00DC7C60" w:rsidRDefault="00C56E05" w:rsidP="002F271C">
            <w:pPr>
              <w:spacing w:before="60" w:after="60" w:line="240" w:lineRule="auto"/>
              <w:ind w:left="-25" w:right="-6"/>
              <w:jc w:val="center"/>
              <w:rPr>
                <w:sz w:val="16"/>
                <w:szCs w:val="16"/>
                <w:lang w:val="fr-FR"/>
              </w:rPr>
            </w:pPr>
            <w:r w:rsidRPr="001E4C05">
              <w:rPr>
                <w:sz w:val="16"/>
                <w:szCs w:val="16"/>
                <w:lang w:val="fr-FR"/>
              </w:rPr>
              <w:t xml:space="preserve">0,013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3DFF20CD" w14:textId="77777777" w:rsidR="00C56E05" w:rsidRPr="00DC7C60" w:rsidRDefault="00C56E05" w:rsidP="002F271C">
            <w:pPr>
              <w:spacing w:before="60" w:after="60" w:line="240" w:lineRule="auto"/>
              <w:ind w:left="-11" w:right="-34"/>
              <w:jc w:val="center"/>
              <w:rPr>
                <w:sz w:val="16"/>
                <w:szCs w:val="16"/>
                <w:lang w:val="fr-FR"/>
              </w:rPr>
            </w:pPr>
            <w:r w:rsidRPr="001E4C05">
              <w:rPr>
                <w:sz w:val="16"/>
                <w:szCs w:val="16"/>
                <w:lang w:val="fr-FR"/>
              </w:rPr>
              <w:t xml:space="preserve">0,12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7F9A2ABE"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1,3%</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A5C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356C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F28E"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703A3"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316333B8"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6851D46A"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407A5"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54B5FF4F" w14:textId="77777777" w:rsidR="00C56E05" w:rsidRPr="00DC7C60" w:rsidRDefault="00C56E05" w:rsidP="002F271C">
            <w:pPr>
              <w:spacing w:before="60" w:after="60" w:line="240" w:lineRule="auto"/>
              <w:ind w:left="-7"/>
              <w:rPr>
                <w:sz w:val="16"/>
                <w:szCs w:val="16"/>
                <w:lang w:val="fr-FR"/>
              </w:rPr>
            </w:pPr>
            <w:r w:rsidRPr="009B0953">
              <w:rPr>
                <w:sz w:val="16"/>
                <w:szCs w:val="16"/>
                <w:lang w:val="fr-FR"/>
              </w:rPr>
              <w:t>Variations du bruit ambiant</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651066A5" w14:textId="77777777" w:rsidR="00C56E05" w:rsidRPr="00DC7C60" w:rsidRDefault="00C56E05" w:rsidP="002F271C">
            <w:pPr>
              <w:spacing w:before="60" w:after="60" w:line="240" w:lineRule="auto"/>
              <w:ind w:left="-51" w:right="-21"/>
              <w:jc w:val="center"/>
              <w:rPr>
                <w:sz w:val="16"/>
                <w:szCs w:val="16"/>
                <w:lang w:val="fr-FR"/>
              </w:rPr>
            </w:pPr>
            <w:r w:rsidRPr="001E4C05">
              <w:rPr>
                <w:sz w:val="16"/>
                <w:szCs w:val="16"/>
                <w:lang w:val="fr-FR"/>
              </w:rPr>
              <w:t>0,10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413EA5D4" w14:textId="77777777" w:rsidR="00C56E05" w:rsidRPr="00DC7C60" w:rsidRDefault="00C56E05" w:rsidP="002F271C">
            <w:pPr>
              <w:spacing w:before="60" w:after="6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1B6C8059" w14:textId="77777777" w:rsidR="00C56E05" w:rsidRPr="00DC7C60" w:rsidRDefault="00C56E05" w:rsidP="002F271C">
            <w:pPr>
              <w:spacing w:before="60" w:after="60" w:line="240" w:lineRule="auto"/>
              <w:ind w:left="-44" w:right="-36"/>
              <w:jc w:val="center"/>
              <w:rPr>
                <w:sz w:val="16"/>
                <w:szCs w:val="16"/>
                <w:lang w:val="fr-FR"/>
              </w:rPr>
            </w:pPr>
            <w:r w:rsidRPr="001E4C05">
              <w:rPr>
                <w:sz w:val="16"/>
                <w:szCs w:val="16"/>
                <w:lang w:val="fr-FR"/>
              </w:rPr>
              <w:t>0,1</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C849101" w14:textId="77777777" w:rsidR="00C56E05" w:rsidRPr="00DC7C60" w:rsidRDefault="00C56E05" w:rsidP="002F271C">
            <w:pPr>
              <w:spacing w:before="60" w:after="60" w:line="240" w:lineRule="auto"/>
              <w:ind w:left="-14" w:right="-26"/>
              <w:jc w:val="center"/>
              <w:rPr>
                <w:sz w:val="16"/>
                <w:szCs w:val="16"/>
                <w:lang w:val="fr-FR"/>
              </w:rPr>
            </w:pPr>
            <w:r w:rsidRPr="001E4C05">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74BB8F74" w14:textId="77777777" w:rsidR="00C56E05" w:rsidRPr="00DC7C60" w:rsidRDefault="00C56E05" w:rsidP="002F271C">
            <w:pPr>
              <w:spacing w:before="60" w:after="60" w:line="240" w:lineRule="auto"/>
              <w:ind w:left="-25" w:right="-6"/>
              <w:jc w:val="center"/>
              <w:rPr>
                <w:sz w:val="16"/>
                <w:szCs w:val="16"/>
                <w:lang w:val="fr-FR"/>
              </w:rPr>
            </w:pPr>
            <w:r w:rsidRPr="001E4C05">
              <w:rPr>
                <w:sz w:val="16"/>
                <w:szCs w:val="16"/>
                <w:lang w:val="fr-FR"/>
              </w:rPr>
              <w:t xml:space="preserve">0,001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5A7B48E7" w14:textId="77777777" w:rsidR="00C56E05" w:rsidRPr="00DC7C60" w:rsidRDefault="00C56E05" w:rsidP="002F271C">
            <w:pPr>
              <w:spacing w:before="60" w:after="60" w:line="240" w:lineRule="auto"/>
              <w:ind w:left="-11" w:right="-34"/>
              <w:jc w:val="center"/>
              <w:rPr>
                <w:sz w:val="16"/>
                <w:szCs w:val="16"/>
                <w:lang w:val="fr-FR"/>
              </w:rPr>
            </w:pPr>
            <w:r w:rsidRPr="001E4C05">
              <w:rPr>
                <w:sz w:val="16"/>
                <w:szCs w:val="16"/>
                <w:lang w:val="fr-FR"/>
              </w:rPr>
              <w:t xml:space="preserve">0,03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46A8B82F"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0,1%</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EBCF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50E8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C0C7D"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80C60"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26DF872F"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79530251"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EC525"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36EDDFBA" w14:textId="77777777" w:rsidR="00C56E05" w:rsidRPr="00DC7C60" w:rsidRDefault="00C56E05" w:rsidP="002F271C">
            <w:pPr>
              <w:spacing w:before="60" w:after="60" w:line="240" w:lineRule="auto"/>
              <w:ind w:left="-7"/>
              <w:rPr>
                <w:sz w:val="16"/>
                <w:szCs w:val="16"/>
                <w:lang w:val="fr-FR"/>
              </w:rPr>
            </w:pPr>
            <w:r w:rsidRPr="009B0953">
              <w:rPr>
                <w:sz w:val="16"/>
                <w:szCs w:val="16"/>
                <w:lang w:val="fr-FR"/>
              </w:rPr>
              <w:t>Variations de la température de fonctionnement du moteur et des pneumatiques =&gt; voir la note dans la norme ISO 362-1</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5EACC0C1" w14:textId="77777777" w:rsidR="00C56E05" w:rsidRPr="00DC7C60" w:rsidRDefault="00C56E05" w:rsidP="002F271C">
            <w:pPr>
              <w:spacing w:before="60" w:after="60" w:line="240" w:lineRule="auto"/>
              <w:ind w:left="-51" w:right="-21"/>
              <w:jc w:val="center"/>
              <w:rPr>
                <w:sz w:val="16"/>
                <w:szCs w:val="16"/>
                <w:lang w:val="fr-FR"/>
              </w:rPr>
            </w:pPr>
            <w:r w:rsidRPr="001E4C05">
              <w:rPr>
                <w:sz w:val="16"/>
                <w:szCs w:val="16"/>
                <w:lang w:val="fr-FR"/>
              </w:rPr>
              <w:t>0,80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246B9251" w14:textId="77777777" w:rsidR="00C56E05" w:rsidRPr="00DC7C60" w:rsidRDefault="00C56E05" w:rsidP="002F271C">
            <w:pPr>
              <w:spacing w:before="60" w:after="6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4DD8FDF9" w14:textId="77777777" w:rsidR="00C56E05" w:rsidRPr="00DC7C60" w:rsidRDefault="00C56E05" w:rsidP="002F271C">
            <w:pPr>
              <w:spacing w:before="60" w:after="60" w:line="240" w:lineRule="auto"/>
              <w:ind w:left="-44" w:right="-36"/>
              <w:jc w:val="center"/>
              <w:rPr>
                <w:sz w:val="16"/>
                <w:szCs w:val="16"/>
                <w:lang w:val="fr-FR"/>
              </w:rPr>
            </w:pPr>
            <w:r w:rsidRPr="001E4C05">
              <w:rPr>
                <w:sz w:val="16"/>
                <w:szCs w:val="16"/>
                <w:lang w:val="fr-FR"/>
              </w:rPr>
              <w:t xml:space="preserve">0,80 </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8941D6A" w14:textId="77777777" w:rsidR="00C56E05" w:rsidRPr="00DC7C60" w:rsidRDefault="00C56E05" w:rsidP="002F271C">
            <w:pPr>
              <w:spacing w:before="60" w:after="6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05392AD3" w14:textId="77777777" w:rsidR="00C56E05" w:rsidRPr="00DC7C60" w:rsidRDefault="00C56E05" w:rsidP="002F271C">
            <w:pPr>
              <w:spacing w:before="60" w:after="60" w:line="240" w:lineRule="auto"/>
              <w:ind w:left="-25" w:right="-6"/>
              <w:jc w:val="center"/>
              <w:rPr>
                <w:sz w:val="16"/>
                <w:szCs w:val="16"/>
                <w:lang w:val="fr-FR"/>
              </w:rPr>
            </w:pPr>
            <w:r w:rsidRPr="001E4C05">
              <w:rPr>
                <w:sz w:val="16"/>
                <w:szCs w:val="16"/>
                <w:lang w:val="fr-FR"/>
              </w:rPr>
              <w:t xml:space="preserve">0,053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7D2CA6C8" w14:textId="77777777" w:rsidR="00C56E05" w:rsidRPr="00DC7C60" w:rsidRDefault="00C56E05" w:rsidP="002F271C">
            <w:pPr>
              <w:spacing w:before="60" w:after="60" w:line="240" w:lineRule="auto"/>
              <w:ind w:left="-11" w:right="-34"/>
              <w:jc w:val="center"/>
              <w:rPr>
                <w:sz w:val="16"/>
                <w:szCs w:val="16"/>
                <w:lang w:val="fr-FR"/>
              </w:rPr>
            </w:pPr>
            <w:r w:rsidRPr="001E4C05">
              <w:rPr>
                <w:sz w:val="16"/>
                <w:szCs w:val="16"/>
                <w:lang w:val="fr-FR"/>
              </w:rPr>
              <w:t xml:space="preserve">0,23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35074775"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5,1%</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D36A2"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5CA9A"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698F"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7746"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790CC0F2"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1EE5E8D6" w14:textId="77777777" w:rsidTr="00BA2554">
        <w:trPr>
          <w:trHeight w:val="162"/>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AB49568" w14:textId="77777777" w:rsidR="00C56E05" w:rsidRPr="00DC7C60" w:rsidRDefault="00C56E05" w:rsidP="002F271C">
            <w:pPr>
              <w:keepNext/>
              <w:spacing w:before="60" w:after="60" w:line="240" w:lineRule="auto"/>
              <w:ind w:left="57" w:right="57"/>
              <w:jc w:val="center"/>
              <w:rPr>
                <w:b/>
                <w:bCs/>
                <w:sz w:val="16"/>
                <w:szCs w:val="16"/>
                <w:lang w:val="fr-FR"/>
              </w:rPr>
            </w:pPr>
            <w:r w:rsidRPr="00DC7C60">
              <w:rPr>
                <w:b/>
                <w:bCs/>
                <w:sz w:val="16"/>
                <w:szCs w:val="16"/>
                <w:lang w:val="fr-FR"/>
              </w:rPr>
              <w:t>D’un jour à l’autre</w:t>
            </w: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0CD49E56" w14:textId="77777777" w:rsidR="00C56E05" w:rsidRPr="00DC7C60" w:rsidRDefault="00C56E05" w:rsidP="002F271C">
            <w:pPr>
              <w:keepNext/>
              <w:spacing w:before="40" w:after="40" w:line="240" w:lineRule="auto"/>
              <w:ind w:left="-7"/>
              <w:rPr>
                <w:sz w:val="16"/>
                <w:szCs w:val="16"/>
                <w:lang w:val="fr-FR"/>
              </w:rPr>
            </w:pPr>
            <w:r w:rsidRPr="009B0953">
              <w:rPr>
                <w:sz w:val="16"/>
                <w:szCs w:val="16"/>
                <w:lang w:val="fr-FR"/>
              </w:rPr>
              <w:t xml:space="preserve">Incidence de la température ambiante sur la propagation du son dans l’air </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53CAFDC4" w14:textId="77777777" w:rsidR="00C56E05" w:rsidRPr="00DC7C60" w:rsidRDefault="00C56E05" w:rsidP="002F271C">
            <w:pPr>
              <w:keepNext/>
              <w:spacing w:before="40" w:after="40" w:line="240" w:lineRule="auto"/>
              <w:ind w:left="-51" w:right="-21"/>
              <w:jc w:val="center"/>
              <w:rPr>
                <w:sz w:val="16"/>
                <w:szCs w:val="16"/>
                <w:lang w:val="fr-FR"/>
              </w:rPr>
            </w:pPr>
            <w:r w:rsidRPr="001E4C05">
              <w:rPr>
                <w:sz w:val="16"/>
                <w:szCs w:val="16"/>
                <w:lang w:val="fr-FR"/>
              </w:rPr>
              <w:t>0,6</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2D762EB5" w14:textId="77777777" w:rsidR="00C56E05" w:rsidRPr="00DC7C60" w:rsidRDefault="00C56E05" w:rsidP="002F271C">
            <w:pPr>
              <w:keepNext/>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29EA9BD0" w14:textId="77777777" w:rsidR="00C56E05" w:rsidRPr="00DC7C60" w:rsidRDefault="00C56E05" w:rsidP="002F271C">
            <w:pPr>
              <w:keepNext/>
              <w:spacing w:before="40" w:after="40" w:line="240" w:lineRule="auto"/>
              <w:ind w:left="-44" w:right="-36"/>
              <w:jc w:val="center"/>
              <w:rPr>
                <w:sz w:val="16"/>
                <w:szCs w:val="16"/>
                <w:lang w:val="fr-FR"/>
              </w:rPr>
            </w:pPr>
            <w:r w:rsidRPr="001E4C05">
              <w:rPr>
                <w:sz w:val="16"/>
                <w:szCs w:val="16"/>
                <w:lang w:val="fr-FR"/>
              </w:rPr>
              <w:t>0,6</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684E09" w14:textId="77777777" w:rsidR="00C56E05" w:rsidRPr="00DC7C60" w:rsidRDefault="00C56E05" w:rsidP="002F271C">
            <w:pPr>
              <w:keepNext/>
              <w:spacing w:before="40" w:after="4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44867015" w14:textId="77777777" w:rsidR="00C56E05" w:rsidRPr="00DC7C60" w:rsidRDefault="00C56E05" w:rsidP="002F271C">
            <w:pPr>
              <w:keepNext/>
              <w:spacing w:before="40" w:after="40" w:line="240" w:lineRule="auto"/>
              <w:ind w:left="-25" w:right="-6"/>
              <w:jc w:val="center"/>
              <w:rPr>
                <w:sz w:val="16"/>
                <w:szCs w:val="16"/>
                <w:lang w:val="fr-FR"/>
              </w:rPr>
            </w:pPr>
            <w:r w:rsidRPr="001E4C05">
              <w:rPr>
                <w:sz w:val="16"/>
                <w:szCs w:val="16"/>
                <w:lang w:val="fr-FR"/>
              </w:rPr>
              <w:t xml:space="preserve">0,030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7486B409" w14:textId="77777777" w:rsidR="00C56E05" w:rsidRPr="00DC7C60" w:rsidRDefault="00C56E05" w:rsidP="002F271C">
            <w:pPr>
              <w:keepNext/>
              <w:spacing w:before="40" w:after="40" w:line="240" w:lineRule="auto"/>
              <w:ind w:left="-11" w:right="-34"/>
              <w:jc w:val="center"/>
              <w:rPr>
                <w:sz w:val="16"/>
                <w:szCs w:val="16"/>
                <w:lang w:val="fr-FR"/>
              </w:rPr>
            </w:pPr>
            <w:r w:rsidRPr="001E4C05">
              <w:rPr>
                <w:sz w:val="16"/>
                <w:szCs w:val="16"/>
                <w:lang w:val="fr-FR"/>
              </w:rPr>
              <w:t xml:space="preserve">0,17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6EB5B860" w14:textId="77777777" w:rsidR="00C56E05" w:rsidRPr="00DC7C60" w:rsidRDefault="00C56E05" w:rsidP="002F271C">
            <w:pPr>
              <w:keepNext/>
              <w:spacing w:before="40" w:after="40" w:line="240" w:lineRule="auto"/>
              <w:ind w:left="28" w:right="28"/>
              <w:jc w:val="center"/>
              <w:rPr>
                <w:sz w:val="16"/>
                <w:szCs w:val="16"/>
                <w:lang w:val="fr-FR"/>
              </w:rPr>
            </w:pPr>
            <w:r w:rsidRPr="001E4C05">
              <w:rPr>
                <w:sz w:val="16"/>
                <w:szCs w:val="16"/>
                <w:lang w:val="fr-FR"/>
              </w:rPr>
              <w:t>2,9%</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F257F" w14:textId="77777777" w:rsidR="00C56E05" w:rsidRPr="00DC7C60" w:rsidRDefault="00C56E05" w:rsidP="002F271C">
            <w:pPr>
              <w:keepNext/>
              <w:spacing w:before="60" w:after="60" w:line="240" w:lineRule="auto"/>
              <w:ind w:left="28" w:right="28"/>
              <w:jc w:val="center"/>
              <w:rPr>
                <w:sz w:val="16"/>
                <w:szCs w:val="16"/>
                <w:lang w:val="fr-FR"/>
              </w:rPr>
            </w:pPr>
            <w:r w:rsidRPr="001E4C05">
              <w:rPr>
                <w:sz w:val="16"/>
                <w:szCs w:val="16"/>
                <w:lang w:val="fr-FR"/>
              </w:rPr>
              <w:t>0,46</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6542" w14:textId="77777777" w:rsidR="00C56E05" w:rsidRPr="00DC7C60" w:rsidRDefault="00C56E05" w:rsidP="002F271C">
            <w:pPr>
              <w:keepNext/>
              <w:spacing w:before="60" w:after="60" w:line="240" w:lineRule="auto"/>
              <w:ind w:left="28" w:right="28"/>
              <w:jc w:val="center"/>
              <w:rPr>
                <w:sz w:val="16"/>
                <w:szCs w:val="16"/>
                <w:lang w:val="fr-FR"/>
              </w:rPr>
            </w:pPr>
            <w:r w:rsidRPr="001E4C05">
              <w:rPr>
                <w:sz w:val="16"/>
                <w:szCs w:val="16"/>
                <w:lang w:val="fr-FR"/>
              </w:rPr>
              <w:t>0,46</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F72EF" w14:textId="77777777" w:rsidR="00C56E05" w:rsidRPr="00DC7C60" w:rsidRDefault="00C56E05" w:rsidP="002F271C">
            <w:pPr>
              <w:keepNext/>
              <w:spacing w:before="60" w:after="60" w:line="240" w:lineRule="auto"/>
              <w:ind w:left="28" w:right="28"/>
              <w:jc w:val="center"/>
              <w:rPr>
                <w:sz w:val="16"/>
                <w:szCs w:val="16"/>
                <w:lang w:val="fr-FR"/>
              </w:rPr>
            </w:pPr>
            <w:r w:rsidRPr="001E4C05">
              <w:rPr>
                <w:sz w:val="16"/>
                <w:szCs w:val="16"/>
                <w:lang w:val="fr-FR"/>
              </w:rPr>
              <w:t>0,46</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69327D" w14:textId="77777777" w:rsidR="00C56E05" w:rsidRPr="00DC7C60" w:rsidRDefault="00C56E05" w:rsidP="002F271C">
            <w:pPr>
              <w:keepNext/>
              <w:spacing w:before="60" w:after="60" w:line="240" w:lineRule="auto"/>
              <w:ind w:left="28" w:right="28"/>
              <w:jc w:val="center"/>
              <w:rPr>
                <w:sz w:val="16"/>
                <w:szCs w:val="16"/>
                <w:lang w:val="fr-FR"/>
              </w:rPr>
            </w:pPr>
            <w:r w:rsidRPr="001E4C05">
              <w:rPr>
                <w:sz w:val="16"/>
                <w:szCs w:val="16"/>
                <w:lang w:val="fr-FR"/>
              </w:rPr>
              <w:t>0,46</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22C29BF6" w14:textId="77777777" w:rsidR="00C56E05" w:rsidRPr="00DC7C60" w:rsidRDefault="00C56E05" w:rsidP="002F271C">
            <w:pPr>
              <w:keepNext/>
              <w:spacing w:before="60" w:after="60" w:line="240" w:lineRule="auto"/>
              <w:ind w:left="28" w:right="28"/>
              <w:jc w:val="center"/>
              <w:rPr>
                <w:sz w:val="16"/>
                <w:szCs w:val="16"/>
                <w:lang w:val="fr-FR"/>
              </w:rPr>
            </w:pPr>
            <w:r w:rsidRPr="001E4C05">
              <w:rPr>
                <w:sz w:val="16"/>
                <w:szCs w:val="16"/>
                <w:lang w:val="fr-FR"/>
              </w:rPr>
              <w:t>0,91</w:t>
            </w:r>
          </w:p>
        </w:tc>
      </w:tr>
      <w:tr w:rsidR="00C56E05" w:rsidRPr="00DC7C60" w14:paraId="38CB1A25"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2239E" w14:textId="77777777" w:rsidR="00C56E05" w:rsidRPr="00DC7C60" w:rsidRDefault="00C56E05" w:rsidP="002F271C">
            <w:pPr>
              <w:keepNext/>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39BD6859" w14:textId="77777777" w:rsidR="00C56E05" w:rsidRPr="00DC7C60" w:rsidRDefault="00C56E05" w:rsidP="002F271C">
            <w:pPr>
              <w:keepNext/>
              <w:spacing w:before="40" w:after="40" w:line="240" w:lineRule="auto"/>
              <w:ind w:left="-7"/>
              <w:rPr>
                <w:sz w:val="16"/>
                <w:szCs w:val="16"/>
                <w:lang w:val="fr-FR"/>
              </w:rPr>
            </w:pPr>
            <w:r w:rsidRPr="009B0953">
              <w:rPr>
                <w:sz w:val="16"/>
                <w:szCs w:val="16"/>
                <w:lang w:val="fr-FR"/>
              </w:rPr>
              <w:t>Incidence de la pression barométrique ambiante sur la propagation du son dans l’air</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3258F33A" w14:textId="77777777" w:rsidR="00C56E05" w:rsidRPr="00DC7C60" w:rsidRDefault="00C56E05" w:rsidP="002F271C">
            <w:pPr>
              <w:keepNext/>
              <w:spacing w:before="40" w:after="40" w:line="240" w:lineRule="auto"/>
              <w:ind w:left="-51" w:right="-21"/>
              <w:jc w:val="center"/>
              <w:rPr>
                <w:sz w:val="16"/>
                <w:szCs w:val="16"/>
                <w:lang w:val="fr-FR"/>
              </w:rPr>
            </w:pPr>
            <w:r w:rsidRPr="001E4C05">
              <w:rPr>
                <w:sz w:val="16"/>
                <w:szCs w:val="16"/>
                <w:lang w:val="fr-FR"/>
              </w:rPr>
              <w:t>0,9</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1977CA32" w14:textId="77777777" w:rsidR="00C56E05" w:rsidRPr="00DC7C60" w:rsidRDefault="00C56E05" w:rsidP="002F271C">
            <w:pPr>
              <w:keepNext/>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239496A4" w14:textId="77777777" w:rsidR="00C56E05" w:rsidRPr="00DC7C60" w:rsidRDefault="00C56E05" w:rsidP="002F271C">
            <w:pPr>
              <w:keepNext/>
              <w:spacing w:before="40" w:after="40" w:line="240" w:lineRule="auto"/>
              <w:ind w:left="-44" w:right="-36"/>
              <w:jc w:val="center"/>
              <w:rPr>
                <w:sz w:val="16"/>
                <w:szCs w:val="16"/>
                <w:lang w:val="fr-FR"/>
              </w:rPr>
            </w:pPr>
            <w:r w:rsidRPr="001E4C05">
              <w:rPr>
                <w:sz w:val="16"/>
                <w:szCs w:val="16"/>
                <w:lang w:val="fr-FR"/>
              </w:rPr>
              <w:t>0,9</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663C714" w14:textId="77777777" w:rsidR="00C56E05" w:rsidRPr="00DC7C60" w:rsidRDefault="00C56E05" w:rsidP="002F271C">
            <w:pPr>
              <w:keepNext/>
              <w:spacing w:before="40" w:after="4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0CD91845" w14:textId="77777777" w:rsidR="00C56E05" w:rsidRPr="00DC7C60" w:rsidRDefault="00C56E05" w:rsidP="002F271C">
            <w:pPr>
              <w:keepNext/>
              <w:spacing w:before="40" w:after="40" w:line="240" w:lineRule="auto"/>
              <w:ind w:left="-25" w:right="-6"/>
              <w:jc w:val="center"/>
              <w:rPr>
                <w:sz w:val="16"/>
                <w:szCs w:val="16"/>
                <w:lang w:val="fr-FR"/>
              </w:rPr>
            </w:pPr>
            <w:r w:rsidRPr="001E4C05">
              <w:rPr>
                <w:sz w:val="16"/>
                <w:szCs w:val="16"/>
                <w:lang w:val="fr-FR"/>
              </w:rPr>
              <w:t xml:space="preserve">0,068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7F84C5E9" w14:textId="77777777" w:rsidR="00C56E05" w:rsidRPr="00DC7C60" w:rsidRDefault="00C56E05" w:rsidP="002F271C">
            <w:pPr>
              <w:keepNext/>
              <w:spacing w:before="40" w:after="40" w:line="240" w:lineRule="auto"/>
              <w:ind w:left="-11" w:right="-34"/>
              <w:jc w:val="center"/>
              <w:rPr>
                <w:sz w:val="16"/>
                <w:szCs w:val="16"/>
                <w:lang w:val="fr-FR"/>
              </w:rPr>
            </w:pPr>
            <w:r w:rsidRPr="001E4C05">
              <w:rPr>
                <w:sz w:val="16"/>
                <w:szCs w:val="16"/>
                <w:lang w:val="fr-FR"/>
              </w:rPr>
              <w:t xml:space="preserve">0,26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23A97A5A" w14:textId="77777777" w:rsidR="00C56E05" w:rsidRPr="00DC7C60" w:rsidRDefault="00C56E05" w:rsidP="002F271C">
            <w:pPr>
              <w:keepNext/>
              <w:spacing w:before="40" w:after="40" w:line="240" w:lineRule="auto"/>
              <w:ind w:left="28" w:right="28"/>
              <w:jc w:val="center"/>
              <w:rPr>
                <w:sz w:val="16"/>
                <w:szCs w:val="16"/>
                <w:lang w:val="fr-FR"/>
              </w:rPr>
            </w:pPr>
            <w:r w:rsidRPr="001E4C05">
              <w:rPr>
                <w:sz w:val="16"/>
                <w:szCs w:val="16"/>
                <w:lang w:val="fr-FR"/>
              </w:rPr>
              <w:t>6,5%</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7882B" w14:textId="77777777" w:rsidR="00C56E05" w:rsidRPr="00DC7C60" w:rsidRDefault="00C56E05" w:rsidP="002F271C">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94F" w14:textId="77777777" w:rsidR="00C56E05" w:rsidRPr="00DC7C60" w:rsidRDefault="00C56E05" w:rsidP="002F271C">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954AC" w14:textId="77777777" w:rsidR="00C56E05" w:rsidRPr="00DC7C60" w:rsidRDefault="00C56E05" w:rsidP="002F271C">
            <w:pPr>
              <w:keepNext/>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236C2" w14:textId="77777777" w:rsidR="00C56E05" w:rsidRPr="00DC7C60" w:rsidRDefault="00C56E05" w:rsidP="002F271C">
            <w:pPr>
              <w:keepNext/>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7D5B7602" w14:textId="77777777" w:rsidR="00C56E05" w:rsidRPr="00DC7C60" w:rsidRDefault="00C56E05" w:rsidP="002F271C">
            <w:pPr>
              <w:keepNext/>
              <w:spacing w:before="60" w:after="60" w:line="240" w:lineRule="auto"/>
              <w:ind w:left="28" w:right="28"/>
              <w:jc w:val="center"/>
              <w:rPr>
                <w:sz w:val="16"/>
                <w:szCs w:val="16"/>
                <w:lang w:val="fr-FR" w:eastAsia="de-DE"/>
              </w:rPr>
            </w:pPr>
          </w:p>
        </w:tc>
      </w:tr>
      <w:tr w:rsidR="00C56E05" w:rsidRPr="00DC7C60" w14:paraId="09CDA9C2"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6DB2D"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1C03301B"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Incidence de l’humidité ambiante sur la propagation du son dans l’air</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41593EB8"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0,1</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17C7FA8E"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6DE3C7AA"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0,1</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6FB9CB"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17379676"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4A93EE0E"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0,03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282069FA"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0,1 %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E5BF5"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AB26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BD325"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FFA3A"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325F36FF"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3F24A58C"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63824"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4DD48D8D" w14:textId="6E49FCF3" w:rsidR="00C56E05" w:rsidRPr="00DC7C60" w:rsidRDefault="00C56E05" w:rsidP="002F271C">
            <w:pPr>
              <w:spacing w:before="40" w:after="40" w:line="240" w:lineRule="auto"/>
              <w:ind w:left="-7"/>
              <w:rPr>
                <w:sz w:val="16"/>
                <w:szCs w:val="16"/>
                <w:lang w:val="fr-FR"/>
              </w:rPr>
            </w:pPr>
            <w:r w:rsidRPr="009B0953">
              <w:rPr>
                <w:sz w:val="16"/>
                <w:szCs w:val="16"/>
                <w:lang w:val="fr-FR"/>
              </w:rPr>
              <w:t xml:space="preserve">Incidence de la température de l’air ambiant sur la puissance du moteur (selon le Règlement ONU </w:t>
            </w:r>
            <w:r w:rsidR="00886273" w:rsidRPr="00886273">
              <w:rPr>
                <w:rFonts w:eastAsia="MS Mincho"/>
                <w:sz w:val="16"/>
                <w:szCs w:val="16"/>
                <w:lang w:val="fr-FR"/>
              </w:rPr>
              <w:t>n</w:t>
            </w:r>
            <w:r w:rsidR="00886273" w:rsidRPr="00886273">
              <w:rPr>
                <w:rFonts w:eastAsia="MS Mincho"/>
                <w:sz w:val="16"/>
                <w:szCs w:val="16"/>
                <w:vertAlign w:val="superscript"/>
                <w:lang w:val="fr-FR"/>
              </w:rPr>
              <w:t>o</w:t>
            </w:r>
            <w:r w:rsidRPr="009B0953">
              <w:rPr>
                <w:sz w:val="16"/>
                <w:szCs w:val="16"/>
                <w:lang w:val="fr-FR"/>
              </w:rPr>
              <w:t> 85)</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6E473735"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1,0</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3D1DD60E"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3CA99CD8"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1,0</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F2E86E"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 xml:space="preserve">rectangulaire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6ECB9541"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0,083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1329E1E4"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0,29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48CBA44C"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8,0 %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AC17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DB5FE"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BCC76"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F6FA7"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14DB60FE"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45D0806C" w14:textId="77777777" w:rsidTr="00BA2554">
        <w:trPr>
          <w:trHeight w:val="107"/>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FCB51"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3957CC00"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 xml:space="preserve">Effet de la température de l’air ambiant sur les véhicules à moteur à combustion interne dû au bruit des pneumatiques (5-40 °C) </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7839F34A"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0,4</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62374F2C"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7EE53D65"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0,4</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7159E8"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 xml:space="preserve">rectangulaire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0692E9D5"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0,013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4D214DF8"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0,12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11B908C6"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1,3 %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25A11"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F240"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B644E"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3FA20"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6B5F65C7"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21FF8AD4" w14:textId="77777777" w:rsidTr="00BA2554">
        <w:trPr>
          <w:trHeight w:val="235"/>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B9642"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tcPr>
          <w:p w14:paraId="052058D1" w14:textId="7EA79ACB" w:rsidR="00C56E05" w:rsidRPr="00DC7C60" w:rsidRDefault="00C56E05" w:rsidP="002F271C">
            <w:pPr>
              <w:spacing w:before="40" w:after="40" w:line="240" w:lineRule="auto"/>
              <w:ind w:left="-7"/>
              <w:rPr>
                <w:sz w:val="16"/>
                <w:szCs w:val="16"/>
                <w:lang w:val="fr-FR"/>
              </w:rPr>
            </w:pPr>
            <w:r w:rsidRPr="009B0953">
              <w:rPr>
                <w:sz w:val="16"/>
                <w:szCs w:val="16"/>
                <w:lang w:val="fr-FR"/>
              </w:rPr>
              <w:t xml:space="preserve">Effet de la pression barométrique sur la puissance du moteur (selon le Règlement ONU </w:t>
            </w:r>
            <w:r w:rsidR="00886273" w:rsidRPr="00886273">
              <w:rPr>
                <w:rFonts w:eastAsia="MS Mincho"/>
                <w:sz w:val="16"/>
                <w:szCs w:val="16"/>
                <w:lang w:val="fr-FR"/>
              </w:rPr>
              <w:t>n</w:t>
            </w:r>
            <w:r w:rsidR="00886273" w:rsidRPr="00886273">
              <w:rPr>
                <w:rFonts w:eastAsia="MS Mincho"/>
                <w:sz w:val="16"/>
                <w:szCs w:val="16"/>
                <w:vertAlign w:val="superscript"/>
                <w:lang w:val="fr-FR"/>
              </w:rPr>
              <w:t>o</w:t>
            </w:r>
            <w:r w:rsidRPr="009B0953">
              <w:rPr>
                <w:sz w:val="16"/>
                <w:szCs w:val="16"/>
                <w:lang w:val="fr-FR"/>
              </w:rPr>
              <w:t xml:space="preserve"> 85) </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tcPr>
          <w:p w14:paraId="44FC00B3"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0,4</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tcPr>
          <w:p w14:paraId="12B3A467"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10B6C0F0"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0,4</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146F88"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tcPr>
          <w:p w14:paraId="0107A507"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0,013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tcPr>
          <w:p w14:paraId="1D52B13F"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0,12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14:paraId="08667E1B"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1,3 %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83F9"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3C575"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ADB25"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5D269"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bottom w:val="single" w:sz="4" w:space="0" w:color="auto"/>
              <w:right w:val="single" w:sz="4" w:space="0" w:color="auto"/>
            </w:tcBorders>
            <w:shd w:val="clear" w:color="auto" w:fill="FFFFFF" w:themeFill="background1"/>
            <w:vAlign w:val="center"/>
          </w:tcPr>
          <w:p w14:paraId="4E25FA48"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53D46AAF" w14:textId="77777777" w:rsidTr="00BA2554">
        <w:trPr>
          <w:trHeight w:val="162"/>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37DA55B" w14:textId="77777777" w:rsidR="00C56E05" w:rsidRPr="00DC7C60" w:rsidRDefault="00C56E05" w:rsidP="002F271C">
            <w:pPr>
              <w:spacing w:before="60" w:after="60" w:line="240" w:lineRule="auto"/>
              <w:ind w:left="57" w:right="57"/>
              <w:jc w:val="center"/>
              <w:rPr>
                <w:b/>
                <w:bCs/>
                <w:sz w:val="16"/>
                <w:szCs w:val="16"/>
                <w:lang w:val="fr-FR"/>
              </w:rPr>
            </w:pPr>
            <w:r w:rsidRPr="00DC7C60">
              <w:rPr>
                <w:b/>
                <w:bCs/>
                <w:sz w:val="16"/>
                <w:szCs w:val="16"/>
                <w:lang w:val="fr-FR"/>
              </w:rPr>
              <w:t>D’un site à l’autre</w:t>
            </w:r>
          </w:p>
        </w:tc>
        <w:tc>
          <w:tcPr>
            <w:tcW w:w="2512" w:type="dxa"/>
            <w:tcBorders>
              <w:top w:val="single" w:sz="4" w:space="0" w:color="auto"/>
              <w:left w:val="nil"/>
              <w:bottom w:val="single" w:sz="4" w:space="0" w:color="auto"/>
              <w:right w:val="single" w:sz="4" w:space="0" w:color="auto"/>
            </w:tcBorders>
            <w:shd w:val="clear" w:color="auto" w:fill="FFFFFF" w:themeFill="background1"/>
            <w:hideMark/>
          </w:tcPr>
          <w:p w14:paraId="663D72B1"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Effet de l’altitude sur la combustion et la propagation du son (portée : 1 000 m) (95-105 kPa)</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65D9F3"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0,9</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71D77"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E21E13"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0,9</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7A86916"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rectangulaire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D454F3"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0,068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CBC498"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0,26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41DEA6"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6,5 %</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76191"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0,50</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6DAA8" w14:textId="77777777" w:rsidR="00C56E05" w:rsidRPr="00DC7C60" w:rsidRDefault="00C56E05" w:rsidP="002F271C">
            <w:pPr>
              <w:spacing w:before="60" w:after="60" w:line="240" w:lineRule="auto"/>
              <w:ind w:left="28" w:right="28"/>
              <w:jc w:val="center"/>
              <w:rPr>
                <w:sz w:val="16"/>
                <w:szCs w:val="16"/>
                <w:lang w:val="fr-FR" w:eastAsia="de-DE"/>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F36ED"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0,50</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AD80D"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0,50</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4D5F15CE" w14:textId="77777777" w:rsidR="00C56E05" w:rsidRPr="00DC7C60" w:rsidRDefault="00C56E05" w:rsidP="002F271C">
            <w:pPr>
              <w:spacing w:before="60" w:after="60" w:line="240" w:lineRule="auto"/>
              <w:ind w:left="28" w:right="28"/>
              <w:jc w:val="center"/>
              <w:rPr>
                <w:sz w:val="16"/>
                <w:szCs w:val="16"/>
                <w:lang w:val="fr-FR"/>
              </w:rPr>
            </w:pPr>
            <w:r w:rsidRPr="001E4C05">
              <w:rPr>
                <w:sz w:val="16"/>
                <w:szCs w:val="16"/>
                <w:lang w:val="fr-FR"/>
              </w:rPr>
              <w:t>1,0</w:t>
            </w:r>
          </w:p>
        </w:tc>
      </w:tr>
      <w:tr w:rsidR="00C56E05" w:rsidRPr="00DC7C60" w14:paraId="47926850"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70D962A"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hideMark/>
          </w:tcPr>
          <w:p w14:paraId="7F4693E2"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Revêtement de la piste d’essai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A44202"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1,3</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8518C6"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1439CB"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1,3</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8FA2717"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BA916B"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0,106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699D93"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0,33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5CED2DD"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10,2 %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C468B"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B2FA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07FA0"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CE210"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67B9377B"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27511ECE"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6B89DDA"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hideMark/>
          </w:tcPr>
          <w:p w14:paraId="038C9768"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Microphone de classe 1 selon la norme 61672 de la CEI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9910C7"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1</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56B45"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91331F"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1</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D630C2B"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6BAA5"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0,063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C30A82"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0,25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76EA68"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6,0 %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4EB5"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72EB4"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764AB"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DAD38"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3BFB008E"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0B2F2CDC"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E1788CB"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hideMark/>
          </w:tcPr>
          <w:p w14:paraId="17E7CA49"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Étalonneur acoustique conforme à la norme 60942 de la CEI</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4813C9"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0,5</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2BC184"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ABA0F9"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0,5</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A4B36E3"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 xml:space="preserve">gaussienne </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598C8"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0,016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42DCDE"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0,13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1FEA91"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1,5 %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6A62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1DC98"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A1BD"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A66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0ECA8A7A"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66F43C89" w14:textId="77777777" w:rsidTr="00BA2554">
        <w:trPr>
          <w:trHeight w:val="162"/>
        </w:trPr>
        <w:tc>
          <w:tcPr>
            <w:tcW w:w="406"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BD8B2CA"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hideMark/>
          </w:tcPr>
          <w:p w14:paraId="334FB212"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Dispositif de mesure continue de la vitesse sur la ligne BB</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6F2958" w14:textId="77777777" w:rsidR="00C56E05" w:rsidRPr="00DC7C60" w:rsidRDefault="00C56E05" w:rsidP="002F271C">
            <w:pPr>
              <w:spacing w:before="40" w:after="40" w:line="240" w:lineRule="auto"/>
              <w:ind w:left="-51" w:right="-21"/>
              <w:jc w:val="center"/>
              <w:rPr>
                <w:sz w:val="16"/>
                <w:szCs w:val="16"/>
                <w:lang w:val="fr-FR"/>
              </w:rPr>
            </w:pPr>
            <w:r w:rsidRPr="001E4C05">
              <w:rPr>
                <w:sz w:val="16"/>
                <w:szCs w:val="16"/>
                <w:lang w:val="fr-FR"/>
              </w:rPr>
              <w:t>0,1</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91CF6A"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CEE30F" w14:textId="77777777" w:rsidR="00C56E05" w:rsidRPr="00DC7C60" w:rsidRDefault="00C56E05" w:rsidP="002F271C">
            <w:pPr>
              <w:spacing w:before="40" w:after="40" w:line="240" w:lineRule="auto"/>
              <w:ind w:left="-44" w:right="-36"/>
              <w:jc w:val="center"/>
              <w:rPr>
                <w:sz w:val="16"/>
                <w:szCs w:val="16"/>
                <w:lang w:val="fr-FR"/>
              </w:rPr>
            </w:pPr>
            <w:r w:rsidRPr="001E4C05">
              <w:rPr>
                <w:sz w:val="16"/>
                <w:szCs w:val="16"/>
                <w:lang w:val="fr-FR"/>
              </w:rPr>
              <w:t>0,1</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9E99037" w14:textId="77777777" w:rsidR="00C56E05" w:rsidRPr="00DC7C60" w:rsidRDefault="00C56E05" w:rsidP="002F271C">
            <w:pPr>
              <w:spacing w:before="40" w:after="40" w:line="240" w:lineRule="auto"/>
              <w:ind w:left="-14" w:right="-26"/>
              <w:jc w:val="center"/>
              <w:rPr>
                <w:sz w:val="16"/>
                <w:szCs w:val="16"/>
                <w:lang w:val="fr-FR"/>
              </w:rPr>
            </w:pPr>
            <w:r w:rsidRPr="001E4C05">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4E58AF" w14:textId="77777777" w:rsidR="00C56E05" w:rsidRPr="00DC7C60" w:rsidRDefault="00C56E05" w:rsidP="002F271C">
            <w:pPr>
              <w:spacing w:before="40" w:after="40" w:line="240" w:lineRule="auto"/>
              <w:ind w:left="-25" w:right="-6"/>
              <w:jc w:val="center"/>
              <w:rPr>
                <w:sz w:val="16"/>
                <w:szCs w:val="16"/>
                <w:lang w:val="fr-FR"/>
              </w:rPr>
            </w:pPr>
            <w:r w:rsidRPr="001E4C05">
              <w:rPr>
                <w:sz w:val="16"/>
                <w:szCs w:val="16"/>
                <w:lang w:val="fr-FR"/>
              </w:rPr>
              <w:t xml:space="preserve">0,001 </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AD0F15" w14:textId="77777777" w:rsidR="00C56E05" w:rsidRPr="00DC7C60" w:rsidRDefault="00C56E05" w:rsidP="002F271C">
            <w:pPr>
              <w:spacing w:before="40" w:after="40" w:line="240" w:lineRule="auto"/>
              <w:ind w:left="-11" w:right="-34"/>
              <w:jc w:val="center"/>
              <w:rPr>
                <w:sz w:val="16"/>
                <w:szCs w:val="16"/>
                <w:lang w:val="fr-FR"/>
              </w:rPr>
            </w:pPr>
            <w:r w:rsidRPr="001E4C05">
              <w:rPr>
                <w:sz w:val="16"/>
                <w:szCs w:val="16"/>
                <w:lang w:val="fr-FR"/>
              </w:rPr>
              <w:t xml:space="preserve">0,03 </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288CD8" w14:textId="77777777" w:rsidR="00C56E05" w:rsidRPr="00DC7C60" w:rsidRDefault="00C56E05" w:rsidP="002F271C">
            <w:pPr>
              <w:spacing w:before="40" w:after="40" w:line="240" w:lineRule="auto"/>
              <w:ind w:left="28" w:right="28"/>
              <w:jc w:val="center"/>
              <w:rPr>
                <w:sz w:val="16"/>
                <w:szCs w:val="16"/>
                <w:lang w:val="fr-FR"/>
              </w:rPr>
            </w:pPr>
            <w:r w:rsidRPr="001E4C05">
              <w:rPr>
                <w:sz w:val="16"/>
                <w:szCs w:val="16"/>
                <w:lang w:val="fr-FR"/>
              </w:rPr>
              <w:t>0,1 %</w:t>
            </w: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009BD"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29E9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B7F65"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0C6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6150770E"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18828B32" w14:textId="77777777" w:rsidTr="00BA2554">
        <w:trPr>
          <w:trHeight w:val="162"/>
        </w:trPr>
        <w:tc>
          <w:tcPr>
            <w:tcW w:w="406"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42C3358D" w14:textId="77777777" w:rsidR="00C56E05" w:rsidRPr="00DC7C60" w:rsidRDefault="00C56E05" w:rsidP="005F731F">
            <w:pPr>
              <w:keepNext/>
              <w:spacing w:before="60" w:after="60" w:line="240" w:lineRule="auto"/>
              <w:ind w:left="57" w:right="57"/>
              <w:jc w:val="center"/>
              <w:rPr>
                <w:b/>
                <w:bCs/>
                <w:sz w:val="16"/>
                <w:szCs w:val="16"/>
                <w:lang w:val="fr-FR"/>
              </w:rPr>
            </w:pPr>
            <w:r w:rsidRPr="00DC7C60">
              <w:rPr>
                <w:b/>
                <w:bCs/>
                <w:sz w:val="16"/>
                <w:szCs w:val="16"/>
                <w:lang w:val="fr-FR"/>
              </w:rPr>
              <w:lastRenderedPageBreak/>
              <w:t>D’un véhicule à l’autre</w:t>
            </w: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A3DA2" w14:textId="11A72B68" w:rsidR="00C56E05" w:rsidRPr="00DC7C60" w:rsidRDefault="00C56E05" w:rsidP="005F731F">
            <w:pPr>
              <w:keepNext/>
              <w:spacing w:before="40" w:after="40" w:line="240" w:lineRule="auto"/>
              <w:ind w:left="-7"/>
              <w:rPr>
                <w:sz w:val="16"/>
                <w:szCs w:val="16"/>
                <w:lang w:val="fr-FR"/>
              </w:rPr>
            </w:pPr>
            <w:r w:rsidRPr="009B0953">
              <w:rPr>
                <w:sz w:val="16"/>
                <w:szCs w:val="16"/>
                <w:lang w:val="fr-FR"/>
              </w:rPr>
              <w:t>Variations des pneumatiques au stade de la production</w:t>
            </w:r>
            <w:r w:rsidR="005F731F">
              <w:rPr>
                <w:sz w:val="16"/>
                <w:szCs w:val="16"/>
                <w:lang w:val="fr-FR"/>
              </w:rPr>
              <w:t> </w:t>
            </w:r>
            <w:r w:rsidRPr="009B0953">
              <w:rPr>
                <w:sz w:val="16"/>
                <w:szCs w:val="16"/>
                <w:lang w:val="fr-FR"/>
              </w:rPr>
              <w:t>; vieillissement des pneumatiques avant leur livraison au client (1 dB après un an)</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4B60C5" w14:textId="77777777" w:rsidR="00C56E05" w:rsidRPr="00DC7C60" w:rsidRDefault="00C56E05" w:rsidP="005F731F">
            <w:pPr>
              <w:keepNext/>
              <w:spacing w:before="40" w:after="40" w:line="240" w:lineRule="auto"/>
              <w:ind w:left="-51" w:right="-21"/>
              <w:jc w:val="center"/>
              <w:rPr>
                <w:sz w:val="16"/>
                <w:szCs w:val="16"/>
                <w:lang w:val="fr-FR"/>
              </w:rPr>
            </w:pP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CC3523" w14:textId="77777777" w:rsidR="00C56E05" w:rsidRPr="00DC7C60" w:rsidRDefault="00C56E05" w:rsidP="005F731F">
            <w:pPr>
              <w:keepNext/>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1F7C2D" w14:textId="77777777" w:rsidR="00C56E05" w:rsidRPr="00DC7C60" w:rsidRDefault="00C56E05" w:rsidP="005F731F">
            <w:pPr>
              <w:keepNext/>
              <w:spacing w:before="40" w:after="40" w:line="240" w:lineRule="auto"/>
              <w:ind w:left="-44" w:right="-36"/>
              <w:jc w:val="center"/>
              <w:rPr>
                <w:sz w:val="16"/>
                <w:szCs w:val="16"/>
                <w:lang w:val="fr-FR"/>
              </w:rPr>
            </w:pP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7EB7283" w14:textId="77777777" w:rsidR="00C56E05" w:rsidRPr="00DC7C60" w:rsidRDefault="00C56E05" w:rsidP="005F731F">
            <w:pPr>
              <w:keepNext/>
              <w:spacing w:before="40" w:after="40" w:line="240" w:lineRule="auto"/>
              <w:ind w:left="-14" w:right="-26"/>
              <w:jc w:val="center"/>
              <w:rPr>
                <w:sz w:val="16"/>
                <w:szCs w:val="16"/>
                <w:lang w:val="fr-FR"/>
              </w:rPr>
            </w:pP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94CCDA" w14:textId="77777777" w:rsidR="00C56E05" w:rsidRPr="00DC7C60" w:rsidRDefault="00C56E05" w:rsidP="005F731F">
            <w:pPr>
              <w:keepNext/>
              <w:spacing w:before="40" w:after="40" w:line="240" w:lineRule="auto"/>
              <w:ind w:left="-25" w:right="-6"/>
              <w:jc w:val="center"/>
              <w:rPr>
                <w:sz w:val="16"/>
                <w:szCs w:val="16"/>
                <w:lang w:val="fr-FR"/>
              </w:rPr>
            </w:pP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83A90D" w14:textId="77777777" w:rsidR="00C56E05" w:rsidRPr="00DC7C60" w:rsidRDefault="00C56E05" w:rsidP="005F731F">
            <w:pPr>
              <w:keepNext/>
              <w:spacing w:before="40" w:after="40" w:line="240" w:lineRule="auto"/>
              <w:ind w:left="-11" w:right="-34"/>
              <w:jc w:val="center"/>
              <w:rPr>
                <w:sz w:val="16"/>
                <w:szCs w:val="16"/>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F93A1A" w14:textId="77777777" w:rsidR="00C56E05" w:rsidRPr="00DC7C60" w:rsidRDefault="00C56E05" w:rsidP="005F731F">
            <w:pPr>
              <w:keepNext/>
              <w:spacing w:before="40" w:after="40" w:line="240" w:lineRule="auto"/>
              <w:ind w:left="28" w:right="28"/>
              <w:jc w:val="center"/>
              <w:rPr>
                <w:sz w:val="16"/>
                <w:szCs w:val="16"/>
                <w:lang w:val="fr-FR"/>
              </w:rPr>
            </w:pP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A36E450" w14:textId="77777777" w:rsidR="00C56E05" w:rsidRPr="00DC7C60" w:rsidRDefault="00C56E05" w:rsidP="005F731F">
            <w:pPr>
              <w:keepNext/>
              <w:spacing w:before="60" w:after="60" w:line="240" w:lineRule="auto"/>
              <w:ind w:left="28" w:right="28"/>
              <w:jc w:val="center"/>
              <w:rPr>
                <w:sz w:val="16"/>
                <w:szCs w:val="16"/>
                <w:lang w:val="fr-FR"/>
              </w:rPr>
            </w:pPr>
            <w:r w:rsidRPr="001E4C05">
              <w:rPr>
                <w:sz w:val="16"/>
                <w:szCs w:val="16"/>
                <w:lang w:val="fr-FR"/>
              </w:rPr>
              <w:t>0,70</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56E1CE6B" w14:textId="77777777" w:rsidR="00C56E05" w:rsidRPr="00DC7C60" w:rsidRDefault="00C56E05" w:rsidP="005F731F">
            <w:pPr>
              <w:keepNext/>
              <w:spacing w:before="60" w:after="60" w:line="240" w:lineRule="auto"/>
              <w:ind w:left="28" w:right="28"/>
              <w:jc w:val="center"/>
              <w:rPr>
                <w:sz w:val="16"/>
                <w:szCs w:val="16"/>
                <w:lang w:val="fr-FR" w:eastAsia="de-DE"/>
              </w:rPr>
            </w:pPr>
            <w:r w:rsidRPr="001E4C05">
              <w:rPr>
                <w:sz w:val="16"/>
                <w:szCs w:val="16"/>
                <w:lang w:val="fr-FR"/>
              </w:rPr>
              <w:t> </w:t>
            </w:r>
          </w:p>
        </w:tc>
        <w:tc>
          <w:tcPr>
            <w:tcW w:w="541"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FB8B44A" w14:textId="77777777" w:rsidR="00C56E05" w:rsidRPr="00DC7C60" w:rsidRDefault="00C56E05" w:rsidP="005F731F">
            <w:pPr>
              <w:keepNext/>
              <w:spacing w:before="60" w:after="60" w:line="240" w:lineRule="auto"/>
              <w:ind w:left="28" w:right="28"/>
              <w:jc w:val="center"/>
              <w:rPr>
                <w:sz w:val="16"/>
                <w:szCs w:val="16"/>
                <w:lang w:val="fr-FR"/>
              </w:rPr>
            </w:pPr>
            <w:r w:rsidRPr="001E4C05">
              <w:rPr>
                <w:sz w:val="16"/>
                <w:szCs w:val="16"/>
                <w:lang w:val="fr-FR"/>
              </w:rPr>
              <w:t>0,35</w:t>
            </w:r>
          </w:p>
        </w:tc>
        <w:tc>
          <w:tcPr>
            <w:tcW w:w="54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5BE9576B" w14:textId="77777777" w:rsidR="00C56E05" w:rsidRPr="00DC7C60" w:rsidRDefault="00C56E05" w:rsidP="005F731F">
            <w:pPr>
              <w:keepNext/>
              <w:spacing w:before="60" w:after="60" w:line="240" w:lineRule="auto"/>
              <w:ind w:left="28" w:right="28"/>
              <w:jc w:val="center"/>
              <w:rPr>
                <w:sz w:val="16"/>
                <w:szCs w:val="16"/>
                <w:lang w:val="fr-FR"/>
              </w:rPr>
            </w:pPr>
            <w:r w:rsidRPr="001E4C05">
              <w:rPr>
                <w:sz w:val="16"/>
                <w:szCs w:val="16"/>
                <w:lang w:val="fr-FR"/>
              </w:rPr>
              <w:t>0,70</w:t>
            </w:r>
          </w:p>
        </w:tc>
        <w:tc>
          <w:tcPr>
            <w:tcW w:w="541" w:type="dxa"/>
            <w:vMerge w:val="restart"/>
            <w:tcBorders>
              <w:top w:val="single" w:sz="4" w:space="0" w:color="auto"/>
              <w:left w:val="single" w:sz="4" w:space="0" w:color="auto"/>
              <w:right w:val="single" w:sz="4" w:space="0" w:color="auto"/>
            </w:tcBorders>
            <w:shd w:val="clear" w:color="auto" w:fill="FFFFFF" w:themeFill="background1"/>
            <w:vAlign w:val="center"/>
          </w:tcPr>
          <w:p w14:paraId="21CB8A3A" w14:textId="77777777" w:rsidR="00C56E05" w:rsidRPr="00DC7C60" w:rsidRDefault="00C56E05" w:rsidP="005F731F">
            <w:pPr>
              <w:keepNext/>
              <w:spacing w:before="60" w:after="60" w:line="240" w:lineRule="auto"/>
              <w:ind w:left="28" w:right="28"/>
              <w:jc w:val="center"/>
              <w:rPr>
                <w:sz w:val="16"/>
                <w:szCs w:val="16"/>
                <w:lang w:val="fr-FR"/>
              </w:rPr>
            </w:pPr>
            <w:r w:rsidRPr="001E4C05">
              <w:rPr>
                <w:sz w:val="16"/>
                <w:szCs w:val="16"/>
                <w:lang w:val="fr-FR"/>
              </w:rPr>
              <w:t>1,4</w:t>
            </w:r>
          </w:p>
        </w:tc>
      </w:tr>
      <w:tr w:rsidR="00C56E05" w:rsidRPr="00DC7C60" w14:paraId="6CA7E4E4"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6322B283" w14:textId="77777777" w:rsidR="00C56E05" w:rsidRPr="00DC7C60" w:rsidRDefault="00C56E05" w:rsidP="005F731F">
            <w:pPr>
              <w:keepNext/>
              <w:spacing w:before="60" w:after="60" w:line="240" w:lineRule="auto"/>
              <w:ind w:left="57" w:right="57"/>
              <w:rPr>
                <w:b/>
                <w:bCs/>
                <w:sz w:val="16"/>
                <w:szCs w:val="16"/>
                <w:lang w:val="fr-FR" w:eastAsia="de-DE"/>
              </w:rPr>
            </w:pPr>
          </w:p>
        </w:tc>
        <w:tc>
          <w:tcPr>
            <w:tcW w:w="2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273204" w14:textId="0501C8D5" w:rsidR="00C56E05" w:rsidRPr="00DC7C60" w:rsidRDefault="00C56E05" w:rsidP="005F731F">
            <w:pPr>
              <w:keepNext/>
              <w:spacing w:before="40" w:after="40" w:line="240" w:lineRule="auto"/>
              <w:ind w:left="-7"/>
              <w:rPr>
                <w:sz w:val="16"/>
                <w:szCs w:val="16"/>
                <w:lang w:val="fr-FR"/>
              </w:rPr>
            </w:pPr>
            <w:r w:rsidRPr="009B0953">
              <w:rPr>
                <w:sz w:val="16"/>
                <w:szCs w:val="16"/>
                <w:lang w:val="fr-FR"/>
              </w:rPr>
              <w:t xml:space="preserve">Pneumatique </w:t>
            </w:r>
            <w:r w:rsidR="005F731F">
              <w:rPr>
                <w:sz w:val="16"/>
                <w:szCs w:val="16"/>
                <w:lang w:val="fr-FR"/>
              </w:rPr>
              <w:t>−</w:t>
            </w:r>
            <w:r w:rsidRPr="009B0953">
              <w:rPr>
                <w:sz w:val="16"/>
                <w:szCs w:val="16"/>
                <w:lang w:val="fr-FR"/>
              </w:rPr>
              <w:t xml:space="preserve"> dispersion générique (pneumatique normal, profondeur de sculpture, pression de gonflage, modèle, etc.) </w:t>
            </w:r>
          </w:p>
        </w:tc>
        <w:tc>
          <w:tcPr>
            <w:tcW w:w="4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B6A8E9" w14:textId="77777777" w:rsidR="00C56E05" w:rsidRPr="00DC7C60" w:rsidRDefault="00C56E05" w:rsidP="005F731F">
            <w:pPr>
              <w:keepNext/>
              <w:spacing w:before="40" w:after="40" w:line="240" w:lineRule="auto"/>
              <w:ind w:left="-51" w:right="-21"/>
              <w:jc w:val="center"/>
              <w:rPr>
                <w:sz w:val="16"/>
                <w:szCs w:val="16"/>
                <w:lang w:val="fr-FR"/>
              </w:rPr>
            </w:pPr>
            <w:r w:rsidRPr="001E4C05">
              <w:rPr>
                <w:sz w:val="16"/>
                <w:szCs w:val="16"/>
                <w:lang w:val="fr-FR"/>
              </w:rPr>
              <w:t>2,8</w:t>
            </w:r>
          </w:p>
        </w:tc>
        <w:tc>
          <w:tcPr>
            <w:tcW w:w="4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7AA3DF" w14:textId="77777777" w:rsidR="00C56E05" w:rsidRPr="00DC7C60" w:rsidRDefault="00C56E05" w:rsidP="005F731F">
            <w:pPr>
              <w:keepNext/>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ED88D0" w14:textId="77777777" w:rsidR="00C56E05" w:rsidRPr="00DC7C60" w:rsidRDefault="00C56E05" w:rsidP="005F731F">
            <w:pPr>
              <w:keepNext/>
              <w:spacing w:before="40" w:after="40" w:line="240" w:lineRule="auto"/>
              <w:ind w:left="-44" w:right="-36"/>
              <w:jc w:val="center"/>
              <w:rPr>
                <w:sz w:val="16"/>
                <w:szCs w:val="16"/>
                <w:lang w:val="fr-FR"/>
              </w:rPr>
            </w:pPr>
            <w:r w:rsidRPr="001E4C05">
              <w:rPr>
                <w:sz w:val="16"/>
                <w:szCs w:val="16"/>
                <w:lang w:val="fr-FR"/>
              </w:rPr>
              <w:t>2,8</w:t>
            </w:r>
          </w:p>
        </w:tc>
        <w:tc>
          <w:tcPr>
            <w:tcW w:w="9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3A6757E" w14:textId="77777777" w:rsidR="00C56E05" w:rsidRPr="00DC7C60" w:rsidRDefault="00C56E05" w:rsidP="005F731F">
            <w:pPr>
              <w:keepNext/>
              <w:spacing w:before="40" w:after="40" w:line="240" w:lineRule="auto"/>
              <w:ind w:left="-14" w:right="-26"/>
              <w:jc w:val="center"/>
              <w:rPr>
                <w:sz w:val="16"/>
                <w:szCs w:val="16"/>
                <w:lang w:val="fr-FR"/>
              </w:rPr>
            </w:pPr>
            <w:r w:rsidRPr="001E4C05">
              <w:rPr>
                <w:sz w:val="16"/>
                <w:szCs w:val="16"/>
                <w:lang w:val="fr-FR"/>
              </w:rPr>
              <w:t>gaussienne</w:t>
            </w:r>
          </w:p>
        </w:tc>
        <w:tc>
          <w:tcPr>
            <w:tcW w:w="5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64C34" w14:textId="77777777" w:rsidR="00C56E05" w:rsidRPr="00DC7C60" w:rsidRDefault="00C56E05" w:rsidP="005F731F">
            <w:pPr>
              <w:keepNext/>
              <w:spacing w:before="40" w:after="40" w:line="240" w:lineRule="auto"/>
              <w:ind w:left="-25" w:right="-6"/>
              <w:jc w:val="center"/>
              <w:rPr>
                <w:sz w:val="16"/>
                <w:szCs w:val="16"/>
                <w:lang w:val="fr-FR"/>
              </w:rPr>
            </w:pPr>
            <w:r w:rsidRPr="001E4C05">
              <w:rPr>
                <w:sz w:val="16"/>
                <w:szCs w:val="16"/>
                <w:lang w:val="fr-FR"/>
              </w:rPr>
              <w:t>0,49</w:t>
            </w:r>
          </w:p>
        </w:tc>
        <w:tc>
          <w:tcPr>
            <w:tcW w:w="54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D609CF" w14:textId="77777777" w:rsidR="00C56E05" w:rsidRPr="00DC7C60" w:rsidRDefault="00C56E05" w:rsidP="005F731F">
            <w:pPr>
              <w:keepNext/>
              <w:spacing w:before="40" w:after="40" w:line="240" w:lineRule="auto"/>
              <w:ind w:left="-11" w:right="-34"/>
              <w:jc w:val="center"/>
              <w:rPr>
                <w:sz w:val="16"/>
                <w:szCs w:val="16"/>
                <w:lang w:val="fr-FR"/>
              </w:rPr>
            </w:pPr>
            <w:r w:rsidRPr="001E4C05">
              <w:rPr>
                <w:sz w:val="16"/>
                <w:szCs w:val="16"/>
                <w:lang w:val="fr-FR"/>
              </w:rPr>
              <w:t>0,70</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431667" w14:textId="77777777" w:rsidR="00C56E05" w:rsidRPr="00DC7C60" w:rsidRDefault="00C56E05" w:rsidP="005F731F">
            <w:pPr>
              <w:keepNext/>
              <w:spacing w:before="40" w:after="40" w:line="240" w:lineRule="auto"/>
              <w:ind w:left="28" w:right="28"/>
              <w:jc w:val="center"/>
              <w:rPr>
                <w:sz w:val="16"/>
                <w:szCs w:val="16"/>
                <w:lang w:val="fr-FR"/>
              </w:rPr>
            </w:pPr>
            <w:r w:rsidRPr="001E4C05">
              <w:rPr>
                <w:sz w:val="16"/>
                <w:szCs w:val="16"/>
                <w:lang w:val="fr-FR"/>
              </w:rPr>
              <w:t>47,2 %</w:t>
            </w: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8BF3CD7" w14:textId="77777777" w:rsidR="00C56E05" w:rsidRPr="00DC7C60" w:rsidRDefault="00C56E05" w:rsidP="005F731F">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B8DF29F" w14:textId="77777777" w:rsidR="00C56E05" w:rsidRPr="00DC7C60" w:rsidRDefault="00C56E05" w:rsidP="005F731F">
            <w:pPr>
              <w:keepNext/>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FA1BAE4" w14:textId="77777777" w:rsidR="00C56E05" w:rsidRPr="00DC7C60" w:rsidRDefault="00C56E05" w:rsidP="005F731F">
            <w:pPr>
              <w:keepNext/>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A8BA3DB" w14:textId="77777777" w:rsidR="00C56E05" w:rsidRPr="00DC7C60" w:rsidRDefault="00C56E05" w:rsidP="005F731F">
            <w:pPr>
              <w:keepNext/>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1A19D909" w14:textId="77777777" w:rsidR="00C56E05" w:rsidRPr="00DC7C60" w:rsidRDefault="00C56E05" w:rsidP="005F731F">
            <w:pPr>
              <w:keepNext/>
              <w:spacing w:before="60" w:after="60" w:line="240" w:lineRule="auto"/>
              <w:ind w:left="28" w:right="28"/>
              <w:jc w:val="center"/>
              <w:rPr>
                <w:sz w:val="16"/>
                <w:szCs w:val="16"/>
                <w:lang w:val="fr-FR" w:eastAsia="de-DE"/>
              </w:rPr>
            </w:pPr>
          </w:p>
        </w:tc>
      </w:tr>
      <w:tr w:rsidR="00C56E05" w:rsidRPr="00DC7C60" w14:paraId="7960CE19"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0004E8A2"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575D2E3F"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Variations de la puissance au stade de la production (y compris le rodage correct d’un moteur neuf)</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2CC404DA" w14:textId="77777777" w:rsidR="00C56E05" w:rsidRPr="00DC7C60" w:rsidRDefault="00C56E05" w:rsidP="002F271C">
            <w:pPr>
              <w:spacing w:before="40" w:after="40" w:line="240" w:lineRule="auto"/>
              <w:ind w:left="-51" w:right="-21"/>
              <w:jc w:val="center"/>
              <w:rPr>
                <w:sz w:val="16"/>
                <w:szCs w:val="16"/>
                <w:lang w:val="fr-FR"/>
              </w:rPr>
            </w:pP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76FAD7FD"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103CF8FA" w14:textId="77777777" w:rsidR="00C56E05" w:rsidRPr="00DC7C60" w:rsidRDefault="00C56E05" w:rsidP="002F271C">
            <w:pPr>
              <w:spacing w:before="40" w:after="40" w:line="240" w:lineRule="auto"/>
              <w:ind w:left="-44" w:right="-36"/>
              <w:jc w:val="center"/>
              <w:rPr>
                <w:sz w:val="16"/>
                <w:szCs w:val="16"/>
                <w:lang w:val="fr-FR"/>
              </w:rPr>
            </w:pP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0E28503C" w14:textId="77777777" w:rsidR="00C56E05" w:rsidRPr="00DC7C60" w:rsidRDefault="00C56E05" w:rsidP="002F271C">
            <w:pPr>
              <w:spacing w:before="40" w:after="40" w:line="240" w:lineRule="auto"/>
              <w:ind w:left="-14" w:right="-26"/>
              <w:jc w:val="center"/>
              <w:rPr>
                <w:sz w:val="16"/>
                <w:szCs w:val="16"/>
                <w:lang w:val="fr-FR"/>
              </w:rPr>
            </w:pP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3B9AD73A" w14:textId="77777777" w:rsidR="00C56E05" w:rsidRPr="00DC7C60" w:rsidRDefault="00C56E05" w:rsidP="002F271C">
            <w:pPr>
              <w:spacing w:before="40" w:after="40" w:line="240" w:lineRule="auto"/>
              <w:ind w:left="-25" w:right="-6"/>
              <w:jc w:val="center"/>
              <w:rPr>
                <w:sz w:val="16"/>
                <w:szCs w:val="16"/>
                <w:lang w:val="fr-FR"/>
              </w:rPr>
            </w:pP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3E3FA636" w14:textId="77777777" w:rsidR="00C56E05" w:rsidRPr="00DC7C60" w:rsidRDefault="00C56E05" w:rsidP="002F271C">
            <w:pPr>
              <w:spacing w:before="40" w:after="40" w:line="240" w:lineRule="auto"/>
              <w:ind w:left="-11" w:right="-34"/>
              <w:jc w:val="center"/>
              <w:rPr>
                <w:sz w:val="16"/>
                <w:szCs w:val="16"/>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82CCD" w14:textId="77777777" w:rsidR="00C56E05" w:rsidRPr="00DC7C60" w:rsidRDefault="00C56E05" w:rsidP="002F271C">
            <w:pPr>
              <w:spacing w:before="40" w:after="40" w:line="240" w:lineRule="auto"/>
              <w:ind w:left="28" w:right="28"/>
              <w:jc w:val="center"/>
              <w:rPr>
                <w:sz w:val="16"/>
                <w:szCs w:val="16"/>
                <w:lang w:val="fr-FR"/>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23B7D61"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F45C1F5"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22EDE66"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B16B569"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13A6C7D"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76B838B9"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11CF9B5B"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6487B8B7"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Niveau de charge de la batterie pour les véhicules hybrides électriques (3 dB(A))</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45C62955" w14:textId="77777777" w:rsidR="00C56E05" w:rsidRPr="00DC7C60" w:rsidRDefault="00C56E05" w:rsidP="002F271C">
            <w:pPr>
              <w:spacing w:before="40" w:after="40" w:line="240" w:lineRule="auto"/>
              <w:ind w:left="-51" w:right="-21"/>
              <w:jc w:val="center"/>
              <w:rPr>
                <w:sz w:val="16"/>
                <w:szCs w:val="16"/>
                <w:lang w:val="fr-FR"/>
              </w:rPr>
            </w:pP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5E2C8E73"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6E61B32E" w14:textId="77777777" w:rsidR="00C56E05" w:rsidRPr="00DC7C60" w:rsidRDefault="00C56E05" w:rsidP="002F271C">
            <w:pPr>
              <w:spacing w:before="40" w:after="40" w:line="240" w:lineRule="auto"/>
              <w:ind w:left="-44" w:right="-36"/>
              <w:jc w:val="center"/>
              <w:rPr>
                <w:sz w:val="16"/>
                <w:szCs w:val="16"/>
                <w:lang w:val="fr-FR"/>
              </w:rPr>
            </w:pP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3523F102" w14:textId="77777777" w:rsidR="00C56E05" w:rsidRPr="00DC7C60" w:rsidRDefault="00C56E05" w:rsidP="002F271C">
            <w:pPr>
              <w:spacing w:before="40" w:after="40" w:line="240" w:lineRule="auto"/>
              <w:ind w:left="-14" w:right="-26"/>
              <w:jc w:val="center"/>
              <w:rPr>
                <w:sz w:val="16"/>
                <w:szCs w:val="16"/>
                <w:lang w:val="fr-FR"/>
              </w:rPr>
            </w:pP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3EE1B8F6" w14:textId="77777777" w:rsidR="00C56E05" w:rsidRPr="00DC7C60" w:rsidRDefault="00C56E05" w:rsidP="002F271C">
            <w:pPr>
              <w:spacing w:before="40" w:after="40" w:line="240" w:lineRule="auto"/>
              <w:ind w:left="-25" w:right="-6"/>
              <w:jc w:val="center"/>
              <w:rPr>
                <w:sz w:val="16"/>
                <w:szCs w:val="16"/>
                <w:lang w:val="fr-FR"/>
              </w:rPr>
            </w:pP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74818A09" w14:textId="77777777" w:rsidR="00C56E05" w:rsidRPr="00DC7C60" w:rsidRDefault="00C56E05" w:rsidP="002F271C">
            <w:pPr>
              <w:spacing w:before="40" w:after="40" w:line="240" w:lineRule="auto"/>
              <w:ind w:left="-11" w:right="-34"/>
              <w:jc w:val="center"/>
              <w:rPr>
                <w:sz w:val="16"/>
                <w:szCs w:val="16"/>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995EDA" w14:textId="77777777" w:rsidR="00C56E05" w:rsidRPr="00DC7C60" w:rsidRDefault="00C56E05" w:rsidP="002F271C">
            <w:pPr>
              <w:spacing w:before="40" w:after="40" w:line="240" w:lineRule="auto"/>
              <w:ind w:left="28" w:right="28"/>
              <w:jc w:val="center"/>
              <w:rPr>
                <w:sz w:val="16"/>
                <w:szCs w:val="16"/>
                <w:lang w:val="fr-FR"/>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ED8941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5B6B183"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CC4E965"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93ABCCE"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D6A0114"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5D250AC8"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146516F5"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052E7153" w14:textId="77777777" w:rsidR="00C56E05" w:rsidRPr="00DC7C60" w:rsidRDefault="00C56E05" w:rsidP="002F271C">
            <w:pPr>
              <w:spacing w:before="40" w:after="40" w:line="240" w:lineRule="auto"/>
              <w:ind w:left="-7"/>
              <w:rPr>
                <w:sz w:val="16"/>
                <w:szCs w:val="16"/>
                <w:lang w:val="fr-FR"/>
              </w:rPr>
            </w:pPr>
            <w:r w:rsidRPr="009B0953">
              <w:rPr>
                <w:sz w:val="16"/>
                <w:szCs w:val="16"/>
                <w:lang w:val="fr-FR"/>
              </w:rPr>
              <w:t>Variations des systèmes de réduction du bruit au stade de la production</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61BE3918" w14:textId="77777777" w:rsidR="00C56E05" w:rsidRPr="00DC7C60" w:rsidRDefault="00C56E05" w:rsidP="002F271C">
            <w:pPr>
              <w:spacing w:before="40" w:after="40" w:line="240" w:lineRule="auto"/>
              <w:ind w:left="-51" w:right="-21"/>
              <w:jc w:val="center"/>
              <w:rPr>
                <w:sz w:val="16"/>
                <w:szCs w:val="16"/>
                <w:lang w:val="fr-FR"/>
              </w:rPr>
            </w:pP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59A1338C"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184355EF" w14:textId="77777777" w:rsidR="00C56E05" w:rsidRPr="00DC7C60" w:rsidRDefault="00C56E05" w:rsidP="002F271C">
            <w:pPr>
              <w:spacing w:before="40" w:after="40" w:line="240" w:lineRule="auto"/>
              <w:ind w:left="-44" w:right="-36"/>
              <w:jc w:val="center"/>
              <w:rPr>
                <w:sz w:val="16"/>
                <w:szCs w:val="16"/>
                <w:lang w:val="fr-FR"/>
              </w:rPr>
            </w:pP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6A445DA8" w14:textId="77777777" w:rsidR="00C56E05" w:rsidRPr="00DC7C60" w:rsidRDefault="00C56E05" w:rsidP="002F271C">
            <w:pPr>
              <w:spacing w:before="40" w:after="40" w:line="240" w:lineRule="auto"/>
              <w:ind w:left="-14" w:right="-26"/>
              <w:jc w:val="center"/>
              <w:rPr>
                <w:sz w:val="16"/>
                <w:szCs w:val="16"/>
                <w:lang w:val="fr-FR"/>
              </w:rPr>
            </w:pP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5BC9D9D6" w14:textId="77777777" w:rsidR="00C56E05" w:rsidRPr="00DC7C60" w:rsidRDefault="00C56E05" w:rsidP="002F271C">
            <w:pPr>
              <w:spacing w:before="40" w:after="40" w:line="240" w:lineRule="auto"/>
              <w:ind w:left="-25" w:right="-6"/>
              <w:jc w:val="center"/>
              <w:rPr>
                <w:sz w:val="16"/>
                <w:szCs w:val="16"/>
                <w:lang w:val="fr-FR"/>
              </w:rPr>
            </w:pP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69B6BE7B" w14:textId="77777777" w:rsidR="00C56E05" w:rsidRPr="00DC7C60" w:rsidRDefault="00C56E05" w:rsidP="002F271C">
            <w:pPr>
              <w:spacing w:before="40" w:after="40" w:line="240" w:lineRule="auto"/>
              <w:ind w:left="-11" w:right="-34"/>
              <w:jc w:val="center"/>
              <w:rPr>
                <w:sz w:val="16"/>
                <w:szCs w:val="16"/>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B6696D" w14:textId="77777777" w:rsidR="00C56E05" w:rsidRPr="00DC7C60" w:rsidRDefault="00C56E05" w:rsidP="002F271C">
            <w:pPr>
              <w:spacing w:before="40" w:after="40" w:line="240" w:lineRule="auto"/>
              <w:ind w:left="28" w:right="28"/>
              <w:jc w:val="center"/>
              <w:rPr>
                <w:sz w:val="16"/>
                <w:szCs w:val="16"/>
                <w:lang w:val="fr-FR"/>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AF72DEC"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7A9A0D6"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18BED03"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0105991"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4E48E279"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524A8BFB" w14:textId="77777777" w:rsidTr="00BA2554">
        <w:trPr>
          <w:trHeight w:val="162"/>
        </w:trPr>
        <w:tc>
          <w:tcPr>
            <w:tcW w:w="406" w:type="dxa"/>
            <w:vMerge/>
            <w:tcBorders>
              <w:top w:val="single" w:sz="8" w:space="0" w:color="000000"/>
              <w:left w:val="single" w:sz="4" w:space="0" w:color="auto"/>
              <w:bottom w:val="single" w:sz="12" w:space="0" w:color="auto"/>
              <w:right w:val="single" w:sz="4" w:space="0" w:color="auto"/>
            </w:tcBorders>
            <w:shd w:val="clear" w:color="auto" w:fill="FFFFFF" w:themeFill="background1"/>
            <w:vAlign w:val="center"/>
            <w:hideMark/>
          </w:tcPr>
          <w:p w14:paraId="711B77CA" w14:textId="77777777" w:rsidR="00C56E05" w:rsidRPr="00DC7C60" w:rsidRDefault="00C56E05" w:rsidP="002F271C">
            <w:pPr>
              <w:spacing w:before="60" w:after="60" w:line="240" w:lineRule="auto"/>
              <w:ind w:left="57" w:right="57"/>
              <w:rPr>
                <w:b/>
                <w:bCs/>
                <w:sz w:val="16"/>
                <w:szCs w:val="16"/>
                <w:lang w:val="fr-FR" w:eastAsia="de-DE"/>
              </w:rPr>
            </w:pPr>
          </w:p>
        </w:tc>
        <w:tc>
          <w:tcPr>
            <w:tcW w:w="2512" w:type="dxa"/>
            <w:tcBorders>
              <w:top w:val="nil"/>
              <w:left w:val="nil"/>
              <w:bottom w:val="single" w:sz="4" w:space="0" w:color="auto"/>
              <w:right w:val="single" w:sz="4" w:space="0" w:color="auto"/>
            </w:tcBorders>
            <w:shd w:val="clear" w:color="auto" w:fill="FFFFFF" w:themeFill="background1"/>
            <w:vAlign w:val="center"/>
            <w:hideMark/>
          </w:tcPr>
          <w:p w14:paraId="45CF781E" w14:textId="00608573" w:rsidR="00C56E05" w:rsidRPr="00DC7C60" w:rsidRDefault="00C56E05" w:rsidP="002F271C">
            <w:pPr>
              <w:spacing w:before="40" w:after="40" w:line="240" w:lineRule="auto"/>
              <w:ind w:left="-7"/>
              <w:rPr>
                <w:sz w:val="16"/>
                <w:szCs w:val="16"/>
                <w:lang w:val="fr-FR"/>
              </w:rPr>
            </w:pPr>
            <w:r w:rsidRPr="009B0953">
              <w:rPr>
                <w:sz w:val="16"/>
                <w:szCs w:val="16"/>
                <w:lang w:val="fr-FR"/>
              </w:rPr>
              <w:t xml:space="preserve">Masse d’essai </w:t>
            </w:r>
            <w:r w:rsidR="006D4F22">
              <w:rPr>
                <w:sz w:val="16"/>
                <w:szCs w:val="16"/>
                <w:lang w:val="fr-FR"/>
              </w:rPr>
              <w:t>−</w:t>
            </w:r>
            <w:r w:rsidRPr="009B0953">
              <w:rPr>
                <w:sz w:val="16"/>
                <w:szCs w:val="16"/>
                <w:lang w:val="fr-FR"/>
              </w:rPr>
              <w:t xml:space="preserve"> variation due à la définition</w:t>
            </w:r>
          </w:p>
        </w:tc>
        <w:tc>
          <w:tcPr>
            <w:tcW w:w="478" w:type="dxa"/>
            <w:tcBorders>
              <w:top w:val="nil"/>
              <w:left w:val="nil"/>
              <w:bottom w:val="single" w:sz="4" w:space="0" w:color="auto"/>
              <w:right w:val="single" w:sz="4" w:space="0" w:color="auto"/>
            </w:tcBorders>
            <w:shd w:val="clear" w:color="auto" w:fill="FFFFFF" w:themeFill="background1"/>
            <w:vAlign w:val="center"/>
            <w:hideMark/>
          </w:tcPr>
          <w:p w14:paraId="433FFAEE" w14:textId="77777777" w:rsidR="00C56E05" w:rsidRPr="00DC7C60" w:rsidRDefault="00C56E05" w:rsidP="002F271C">
            <w:pPr>
              <w:spacing w:before="40" w:after="40" w:line="240" w:lineRule="auto"/>
              <w:ind w:left="-51" w:right="-21"/>
              <w:jc w:val="center"/>
              <w:rPr>
                <w:sz w:val="16"/>
                <w:szCs w:val="16"/>
                <w:lang w:val="fr-FR"/>
              </w:rPr>
            </w:pPr>
          </w:p>
        </w:tc>
        <w:tc>
          <w:tcPr>
            <w:tcW w:w="435" w:type="dxa"/>
            <w:tcBorders>
              <w:top w:val="nil"/>
              <w:left w:val="nil"/>
              <w:bottom w:val="single" w:sz="4" w:space="0" w:color="auto"/>
              <w:right w:val="single" w:sz="4" w:space="0" w:color="auto"/>
            </w:tcBorders>
            <w:shd w:val="clear" w:color="auto" w:fill="FFFFFF" w:themeFill="background1"/>
            <w:vAlign w:val="center"/>
            <w:hideMark/>
          </w:tcPr>
          <w:p w14:paraId="088A42BF" w14:textId="77777777" w:rsidR="00C56E05" w:rsidRPr="00DC7C60" w:rsidRDefault="00C56E05" w:rsidP="002F271C">
            <w:pPr>
              <w:spacing w:before="40" w:after="40" w:line="240" w:lineRule="auto"/>
              <w:ind w:left="-57" w:right="-14"/>
              <w:jc w:val="center"/>
              <w:rPr>
                <w:sz w:val="16"/>
                <w:szCs w:val="16"/>
                <w:lang w:val="fr-FR"/>
              </w:rPr>
            </w:pPr>
            <w:proofErr w:type="spellStart"/>
            <w:r w:rsidRPr="001E4C05">
              <w:rPr>
                <w:sz w:val="16"/>
                <w:szCs w:val="16"/>
                <w:lang w:val="fr-FR"/>
              </w:rPr>
              <w:t>s.o</w:t>
            </w:r>
            <w:proofErr w:type="spellEnd"/>
            <w:r w:rsidRPr="001E4C05">
              <w:rPr>
                <w:sz w:val="16"/>
                <w:szCs w:val="16"/>
                <w:lang w:val="fr-FR"/>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14:paraId="3B2F5B66" w14:textId="77777777" w:rsidR="00C56E05" w:rsidRPr="00DC7C60" w:rsidRDefault="00C56E05" w:rsidP="002F271C">
            <w:pPr>
              <w:spacing w:before="40" w:after="40" w:line="240" w:lineRule="auto"/>
              <w:ind w:left="-44" w:right="-36"/>
              <w:jc w:val="center"/>
              <w:rPr>
                <w:sz w:val="16"/>
                <w:szCs w:val="16"/>
                <w:lang w:val="fr-FR"/>
              </w:rPr>
            </w:pPr>
          </w:p>
        </w:tc>
        <w:tc>
          <w:tcPr>
            <w:tcW w:w="950" w:type="dxa"/>
            <w:gridSpan w:val="2"/>
            <w:tcBorders>
              <w:top w:val="nil"/>
              <w:left w:val="nil"/>
              <w:bottom w:val="single" w:sz="4" w:space="0" w:color="auto"/>
              <w:right w:val="single" w:sz="4" w:space="0" w:color="auto"/>
            </w:tcBorders>
            <w:shd w:val="clear" w:color="auto" w:fill="FFFFFF" w:themeFill="background1"/>
            <w:vAlign w:val="center"/>
            <w:hideMark/>
          </w:tcPr>
          <w:p w14:paraId="22D232DF" w14:textId="77777777" w:rsidR="00C56E05" w:rsidRPr="00DC7C60" w:rsidRDefault="00C56E05" w:rsidP="002F271C">
            <w:pPr>
              <w:spacing w:before="40" w:after="40" w:line="240" w:lineRule="auto"/>
              <w:ind w:left="-14" w:right="-26"/>
              <w:jc w:val="center"/>
              <w:rPr>
                <w:sz w:val="16"/>
                <w:szCs w:val="16"/>
                <w:lang w:val="fr-FR"/>
              </w:rPr>
            </w:pPr>
          </w:p>
        </w:tc>
        <w:tc>
          <w:tcPr>
            <w:tcW w:w="529" w:type="dxa"/>
            <w:tcBorders>
              <w:top w:val="nil"/>
              <w:left w:val="nil"/>
              <w:bottom w:val="single" w:sz="4" w:space="0" w:color="auto"/>
              <w:right w:val="single" w:sz="4" w:space="0" w:color="auto"/>
            </w:tcBorders>
            <w:shd w:val="clear" w:color="auto" w:fill="FFFFFF" w:themeFill="background1"/>
            <w:vAlign w:val="center"/>
            <w:hideMark/>
          </w:tcPr>
          <w:p w14:paraId="74F64E2E" w14:textId="77777777" w:rsidR="00C56E05" w:rsidRPr="00DC7C60" w:rsidRDefault="00C56E05" w:rsidP="002F271C">
            <w:pPr>
              <w:spacing w:before="40" w:after="40" w:line="240" w:lineRule="auto"/>
              <w:ind w:left="-25" w:right="-6"/>
              <w:jc w:val="center"/>
              <w:rPr>
                <w:sz w:val="16"/>
                <w:szCs w:val="16"/>
                <w:lang w:val="fr-FR"/>
              </w:rPr>
            </w:pPr>
          </w:p>
        </w:tc>
        <w:tc>
          <w:tcPr>
            <w:tcW w:w="541" w:type="dxa"/>
            <w:tcBorders>
              <w:top w:val="nil"/>
              <w:left w:val="nil"/>
              <w:bottom w:val="single" w:sz="4" w:space="0" w:color="auto"/>
              <w:right w:val="single" w:sz="4" w:space="0" w:color="auto"/>
            </w:tcBorders>
            <w:shd w:val="clear" w:color="auto" w:fill="FFFFFF" w:themeFill="background1"/>
            <w:vAlign w:val="center"/>
            <w:hideMark/>
          </w:tcPr>
          <w:p w14:paraId="28222B41" w14:textId="77777777" w:rsidR="00C56E05" w:rsidRPr="00DC7C60" w:rsidRDefault="00C56E05" w:rsidP="002F271C">
            <w:pPr>
              <w:spacing w:before="40" w:after="40" w:line="240" w:lineRule="auto"/>
              <w:ind w:left="-11" w:right="-34"/>
              <w:jc w:val="center"/>
              <w:rPr>
                <w:sz w:val="16"/>
                <w:szCs w:val="16"/>
                <w:lang w:val="fr-FR"/>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E22FDC" w14:textId="77777777" w:rsidR="00C56E05" w:rsidRPr="00DC7C60" w:rsidRDefault="00C56E05" w:rsidP="002F271C">
            <w:pPr>
              <w:spacing w:before="40" w:after="40" w:line="240" w:lineRule="auto"/>
              <w:ind w:left="28" w:right="28"/>
              <w:jc w:val="center"/>
              <w:rPr>
                <w:sz w:val="16"/>
                <w:szCs w:val="16"/>
                <w:lang w:val="fr-FR"/>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D52DD32"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EFC8B94"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9835A07" w14:textId="77777777" w:rsidR="00C56E05" w:rsidRPr="00DC7C60" w:rsidRDefault="00C56E05" w:rsidP="002F271C">
            <w:pPr>
              <w:spacing w:before="60" w:after="60" w:line="240" w:lineRule="auto"/>
              <w:ind w:left="28" w:right="28"/>
              <w:rPr>
                <w:sz w:val="16"/>
                <w:szCs w:val="16"/>
                <w:lang w:val="fr-FR" w:eastAsia="de-DE"/>
              </w:rPr>
            </w:pPr>
          </w:p>
        </w:tc>
        <w:tc>
          <w:tcPr>
            <w:tcW w:w="54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F2166EF" w14:textId="77777777" w:rsidR="00C56E05" w:rsidRPr="00DC7C60" w:rsidRDefault="00C56E05" w:rsidP="002F271C">
            <w:pPr>
              <w:spacing w:before="60" w:after="60" w:line="240" w:lineRule="auto"/>
              <w:ind w:left="28" w:right="28"/>
              <w:rPr>
                <w:sz w:val="16"/>
                <w:szCs w:val="16"/>
                <w:lang w:val="fr-FR" w:eastAsia="de-DE"/>
              </w:rPr>
            </w:pPr>
          </w:p>
        </w:tc>
        <w:tc>
          <w:tcPr>
            <w:tcW w:w="541" w:type="dxa"/>
            <w:vMerge/>
            <w:tcBorders>
              <w:left w:val="single" w:sz="4" w:space="0" w:color="auto"/>
              <w:right w:val="single" w:sz="4" w:space="0" w:color="auto"/>
            </w:tcBorders>
            <w:shd w:val="clear" w:color="auto" w:fill="FFFFFF" w:themeFill="background1"/>
            <w:vAlign w:val="center"/>
          </w:tcPr>
          <w:p w14:paraId="0F768EA2" w14:textId="77777777" w:rsidR="00C56E05" w:rsidRPr="00DC7C60" w:rsidRDefault="00C56E05" w:rsidP="002F271C">
            <w:pPr>
              <w:spacing w:before="60" w:after="60" w:line="240" w:lineRule="auto"/>
              <w:ind w:left="28" w:right="28"/>
              <w:jc w:val="center"/>
              <w:rPr>
                <w:sz w:val="16"/>
                <w:szCs w:val="16"/>
                <w:lang w:val="fr-FR" w:eastAsia="de-DE"/>
              </w:rPr>
            </w:pPr>
          </w:p>
        </w:tc>
      </w:tr>
      <w:tr w:rsidR="00C56E05" w:rsidRPr="00DC7C60" w14:paraId="5A5B54BD" w14:textId="77777777" w:rsidTr="00BA2554">
        <w:trPr>
          <w:trHeight w:val="162"/>
        </w:trPr>
        <w:tc>
          <w:tcPr>
            <w:tcW w:w="406" w:type="dxa"/>
            <w:tcBorders>
              <w:top w:val="single" w:sz="12" w:space="0" w:color="auto"/>
              <w:left w:val="nil"/>
            </w:tcBorders>
            <w:shd w:val="clear" w:color="auto" w:fill="FFFFFF" w:themeFill="background1"/>
            <w:vAlign w:val="center"/>
            <w:hideMark/>
          </w:tcPr>
          <w:p w14:paraId="10E8FFB1" w14:textId="77777777" w:rsidR="00C56E05" w:rsidRPr="00DC7C60" w:rsidRDefault="00C56E05" w:rsidP="002F271C">
            <w:pPr>
              <w:spacing w:before="60" w:after="60" w:line="240" w:lineRule="auto"/>
              <w:ind w:left="57" w:right="57"/>
              <w:jc w:val="center"/>
              <w:rPr>
                <w:b/>
                <w:bCs/>
                <w:sz w:val="16"/>
                <w:szCs w:val="16"/>
                <w:lang w:val="fr-FR" w:eastAsia="de-DE"/>
              </w:rPr>
            </w:pPr>
            <w:r w:rsidRPr="00DC7C60">
              <w:rPr>
                <w:b/>
                <w:bCs/>
                <w:sz w:val="16"/>
                <w:szCs w:val="16"/>
                <w:lang w:val="fr-FR" w:eastAsia="de-DE"/>
              </w:rPr>
              <w:t> </w:t>
            </w:r>
          </w:p>
        </w:tc>
        <w:tc>
          <w:tcPr>
            <w:tcW w:w="2512" w:type="dxa"/>
            <w:tcBorders>
              <w:top w:val="single" w:sz="12" w:space="0" w:color="auto"/>
            </w:tcBorders>
            <w:shd w:val="clear" w:color="auto" w:fill="FFFFFF" w:themeFill="background1"/>
            <w:vAlign w:val="center"/>
            <w:hideMark/>
          </w:tcPr>
          <w:p w14:paraId="55A5E52B"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478" w:type="dxa"/>
            <w:tcBorders>
              <w:top w:val="single" w:sz="12" w:space="0" w:color="auto"/>
            </w:tcBorders>
            <w:shd w:val="clear" w:color="auto" w:fill="FFFFFF" w:themeFill="background1"/>
            <w:hideMark/>
          </w:tcPr>
          <w:p w14:paraId="5855817B"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435" w:type="dxa"/>
            <w:tcBorders>
              <w:top w:val="single" w:sz="12" w:space="0" w:color="auto"/>
            </w:tcBorders>
            <w:shd w:val="clear" w:color="auto" w:fill="FFFFFF" w:themeFill="background1"/>
            <w:noWrap/>
            <w:vAlign w:val="center"/>
            <w:hideMark/>
          </w:tcPr>
          <w:p w14:paraId="635523DF"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408" w:type="dxa"/>
            <w:tcBorders>
              <w:top w:val="single" w:sz="12" w:space="0" w:color="auto"/>
            </w:tcBorders>
            <w:shd w:val="clear" w:color="auto" w:fill="FFFFFF" w:themeFill="background1"/>
            <w:noWrap/>
            <w:vAlign w:val="center"/>
            <w:hideMark/>
          </w:tcPr>
          <w:p w14:paraId="544E1A32"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938" w:type="dxa"/>
            <w:tcBorders>
              <w:top w:val="single" w:sz="12" w:space="0" w:color="auto"/>
            </w:tcBorders>
            <w:shd w:val="clear" w:color="auto" w:fill="FFFFFF" w:themeFill="background1"/>
            <w:noWrap/>
            <w:vAlign w:val="center"/>
            <w:hideMark/>
          </w:tcPr>
          <w:p w14:paraId="534FD77D"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541" w:type="dxa"/>
            <w:gridSpan w:val="2"/>
            <w:tcBorders>
              <w:top w:val="single" w:sz="12" w:space="0" w:color="auto"/>
            </w:tcBorders>
            <w:shd w:val="clear" w:color="auto" w:fill="FFFFFF" w:themeFill="background1"/>
            <w:noWrap/>
            <w:vAlign w:val="center"/>
            <w:hideMark/>
          </w:tcPr>
          <w:p w14:paraId="390AC2C2"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hideMark/>
          </w:tcPr>
          <w:p w14:paraId="6CDE58FA" w14:textId="77777777" w:rsidR="00C56E05" w:rsidRPr="00DC7C60" w:rsidRDefault="00C56E05" w:rsidP="002F271C">
            <w:pPr>
              <w:spacing w:before="60" w:after="60" w:line="240" w:lineRule="auto"/>
              <w:ind w:left="28" w:right="28"/>
              <w:jc w:val="center"/>
              <w:rPr>
                <w:sz w:val="16"/>
                <w:szCs w:val="16"/>
                <w:lang w:val="fr-FR"/>
              </w:rPr>
            </w:pPr>
            <w:r w:rsidRPr="00DC7C60">
              <w:rPr>
                <w:sz w:val="16"/>
                <w:szCs w:val="16"/>
                <w:lang w:val="fr-FR"/>
              </w:rPr>
              <w:t xml:space="preserve"> </w:t>
            </w:r>
          </w:p>
        </w:tc>
        <w:tc>
          <w:tcPr>
            <w:tcW w:w="674" w:type="dxa"/>
            <w:tcBorders>
              <w:top w:val="single" w:sz="12" w:space="0" w:color="auto"/>
            </w:tcBorders>
            <w:shd w:val="clear" w:color="auto" w:fill="FFFFFF" w:themeFill="background1"/>
            <w:vAlign w:val="center"/>
            <w:hideMark/>
          </w:tcPr>
          <w:p w14:paraId="29085A1F" w14:textId="77777777" w:rsidR="00C56E05" w:rsidRPr="00DC7C60" w:rsidRDefault="00C56E05" w:rsidP="002F271C">
            <w:pPr>
              <w:spacing w:before="60" w:after="60" w:line="240" w:lineRule="auto"/>
              <w:ind w:left="28" w:right="28"/>
              <w:jc w:val="center"/>
              <w:rPr>
                <w:sz w:val="16"/>
                <w:szCs w:val="16"/>
                <w:lang w:val="fr-FR"/>
              </w:rPr>
            </w:pPr>
            <w:r w:rsidRPr="00DC7C60">
              <w:rPr>
                <w:sz w:val="16"/>
                <w:szCs w:val="16"/>
                <w:lang w:val="fr-FR"/>
              </w:rPr>
              <w:t>100 %</w:t>
            </w:r>
          </w:p>
        </w:tc>
        <w:tc>
          <w:tcPr>
            <w:tcW w:w="541" w:type="dxa"/>
            <w:tcBorders>
              <w:top w:val="single" w:sz="12" w:space="0" w:color="auto"/>
            </w:tcBorders>
            <w:shd w:val="clear" w:color="auto" w:fill="FFFFFF" w:themeFill="background1"/>
            <w:noWrap/>
            <w:vAlign w:val="center"/>
            <w:hideMark/>
          </w:tcPr>
          <w:p w14:paraId="40760EEF" w14:textId="77777777" w:rsidR="00C56E05" w:rsidRPr="00DC7C60" w:rsidRDefault="00C56E05" w:rsidP="002F271C">
            <w:pPr>
              <w:spacing w:before="60" w:after="60" w:line="240" w:lineRule="auto"/>
              <w:ind w:left="28" w:right="28"/>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hideMark/>
          </w:tcPr>
          <w:p w14:paraId="0C27BF18" w14:textId="77777777" w:rsidR="00C56E05" w:rsidRPr="00DC7C60" w:rsidRDefault="00C56E05" w:rsidP="002F271C">
            <w:pPr>
              <w:spacing w:before="60" w:after="60" w:line="240" w:lineRule="auto"/>
              <w:ind w:left="28" w:right="28"/>
              <w:jc w:val="center"/>
              <w:rPr>
                <w:sz w:val="16"/>
                <w:szCs w:val="16"/>
                <w:lang w:val="fr-FR" w:eastAsia="de-DE"/>
              </w:rPr>
            </w:pPr>
            <w:r w:rsidRPr="00DC7C60">
              <w:rPr>
                <w:sz w:val="16"/>
                <w:szCs w:val="16"/>
                <w:lang w:val="fr-FR" w:eastAsia="de-DE"/>
              </w:rPr>
              <w:t> </w:t>
            </w:r>
          </w:p>
        </w:tc>
        <w:tc>
          <w:tcPr>
            <w:tcW w:w="541" w:type="dxa"/>
            <w:tcBorders>
              <w:top w:val="single" w:sz="12" w:space="0" w:color="auto"/>
            </w:tcBorders>
            <w:shd w:val="clear" w:color="auto" w:fill="FFFFFF" w:themeFill="background1"/>
            <w:vAlign w:val="center"/>
          </w:tcPr>
          <w:p w14:paraId="6BDAAE25" w14:textId="77777777" w:rsidR="00C56E05" w:rsidRPr="00DC7C60" w:rsidRDefault="00C56E05" w:rsidP="002F271C">
            <w:pPr>
              <w:spacing w:before="60" w:after="60" w:line="240" w:lineRule="auto"/>
              <w:ind w:right="28"/>
              <w:jc w:val="center"/>
              <w:rPr>
                <w:sz w:val="16"/>
                <w:szCs w:val="16"/>
                <w:lang w:val="fr-FR" w:eastAsia="de-DE"/>
              </w:rPr>
            </w:pPr>
          </w:p>
        </w:tc>
        <w:tc>
          <w:tcPr>
            <w:tcW w:w="542" w:type="dxa"/>
            <w:tcBorders>
              <w:top w:val="single" w:sz="12" w:space="0" w:color="auto"/>
            </w:tcBorders>
            <w:shd w:val="clear" w:color="auto" w:fill="FFFFFF" w:themeFill="background1"/>
            <w:vAlign w:val="center"/>
          </w:tcPr>
          <w:p w14:paraId="3F57A4A6" w14:textId="77777777" w:rsidR="00C56E05" w:rsidRPr="00DC7C60" w:rsidRDefault="00C56E05" w:rsidP="002F271C">
            <w:pPr>
              <w:spacing w:before="60" w:after="60" w:line="240" w:lineRule="auto"/>
              <w:ind w:right="28"/>
              <w:jc w:val="center"/>
              <w:rPr>
                <w:sz w:val="16"/>
                <w:szCs w:val="16"/>
                <w:lang w:val="fr-FR" w:eastAsia="de-DE"/>
              </w:rPr>
            </w:pPr>
          </w:p>
        </w:tc>
        <w:tc>
          <w:tcPr>
            <w:tcW w:w="541" w:type="dxa"/>
            <w:tcBorders>
              <w:top w:val="single" w:sz="12" w:space="0" w:color="auto"/>
              <w:right w:val="nil"/>
            </w:tcBorders>
            <w:shd w:val="clear" w:color="auto" w:fill="FFFFFF" w:themeFill="background1"/>
            <w:vAlign w:val="center"/>
          </w:tcPr>
          <w:p w14:paraId="20543AAA" w14:textId="77777777" w:rsidR="00C56E05" w:rsidRPr="00DC7C60" w:rsidRDefault="00C56E05" w:rsidP="002F271C">
            <w:pPr>
              <w:spacing w:before="60" w:after="60" w:line="240" w:lineRule="auto"/>
              <w:ind w:left="28" w:right="28"/>
              <w:jc w:val="center"/>
              <w:rPr>
                <w:sz w:val="16"/>
                <w:szCs w:val="16"/>
                <w:lang w:val="fr-FR" w:eastAsia="de-DE"/>
              </w:rPr>
            </w:pPr>
          </w:p>
        </w:tc>
      </w:tr>
    </w:tbl>
    <w:tbl>
      <w:tblPr>
        <w:tblStyle w:val="Grilledutableau"/>
        <w:tblW w:w="0" w:type="auto"/>
        <w:tblInd w:w="2972" w:type="dxa"/>
        <w:tblLook w:val="04A0" w:firstRow="1" w:lastRow="0" w:firstColumn="1" w:lastColumn="0" w:noHBand="0" w:noVBand="1"/>
      </w:tblPr>
      <w:tblGrid>
        <w:gridCol w:w="1467"/>
        <w:gridCol w:w="1588"/>
        <w:gridCol w:w="625"/>
        <w:gridCol w:w="1007"/>
        <w:gridCol w:w="1090"/>
        <w:gridCol w:w="884"/>
      </w:tblGrid>
      <w:tr w:rsidR="00C56E05" w14:paraId="77C8EAB4" w14:textId="77777777" w:rsidTr="002F271C">
        <w:tc>
          <w:tcPr>
            <w:tcW w:w="1467" w:type="dxa"/>
            <w:tcBorders>
              <w:top w:val="nil"/>
              <w:left w:val="nil"/>
              <w:right w:val="nil"/>
            </w:tcBorders>
          </w:tcPr>
          <w:p w14:paraId="0D1CB06F" w14:textId="77777777" w:rsidR="00C56E05" w:rsidRPr="000E6C17" w:rsidRDefault="00C56E05" w:rsidP="002F271C">
            <w:pPr>
              <w:spacing w:before="60" w:after="60" w:line="240" w:lineRule="auto"/>
              <w:ind w:right="28"/>
              <w:jc w:val="center"/>
              <w:rPr>
                <w:b/>
                <w:bCs/>
                <w:sz w:val="16"/>
                <w:szCs w:val="16"/>
                <w:lang w:val="fr-FR"/>
              </w:rPr>
            </w:pPr>
          </w:p>
        </w:tc>
        <w:tc>
          <w:tcPr>
            <w:tcW w:w="1588" w:type="dxa"/>
            <w:tcBorders>
              <w:top w:val="nil"/>
              <w:left w:val="nil"/>
              <w:bottom w:val="single" w:sz="4" w:space="0" w:color="auto"/>
              <w:right w:val="nil"/>
            </w:tcBorders>
          </w:tcPr>
          <w:p w14:paraId="20A93DB6" w14:textId="77777777" w:rsidR="00C56E05" w:rsidRPr="000E6C17" w:rsidRDefault="00C56E05" w:rsidP="002F271C">
            <w:pPr>
              <w:spacing w:before="60" w:after="60" w:line="240" w:lineRule="auto"/>
              <w:ind w:right="28"/>
              <w:jc w:val="center"/>
              <w:rPr>
                <w:b/>
                <w:bCs/>
                <w:sz w:val="16"/>
                <w:szCs w:val="16"/>
                <w:lang w:val="fr-FR"/>
              </w:rPr>
            </w:pPr>
          </w:p>
        </w:tc>
        <w:tc>
          <w:tcPr>
            <w:tcW w:w="625" w:type="dxa"/>
            <w:tcBorders>
              <w:top w:val="nil"/>
              <w:left w:val="nil"/>
              <w:bottom w:val="nil"/>
              <w:right w:val="single" w:sz="4" w:space="0" w:color="auto"/>
            </w:tcBorders>
          </w:tcPr>
          <w:p w14:paraId="17B1291D" w14:textId="77777777" w:rsidR="00C56E05" w:rsidRDefault="00C56E05" w:rsidP="002F271C">
            <w:pPr>
              <w:spacing w:before="60" w:after="60" w:line="240" w:lineRule="auto"/>
              <w:ind w:right="28"/>
              <w:jc w:val="center"/>
              <w:rPr>
                <w:sz w:val="16"/>
                <w:szCs w:val="16"/>
                <w:lang w:val="fr-FR" w:eastAsia="de-DE"/>
              </w:rPr>
            </w:pPr>
          </w:p>
        </w:tc>
        <w:tc>
          <w:tcPr>
            <w:tcW w:w="2981" w:type="dxa"/>
            <w:gridSpan w:val="3"/>
            <w:tcBorders>
              <w:left w:val="single" w:sz="4" w:space="0" w:color="auto"/>
            </w:tcBorders>
            <w:shd w:val="clear" w:color="auto" w:fill="D9D9D9" w:themeFill="background1" w:themeFillShade="D9"/>
          </w:tcPr>
          <w:p w14:paraId="028307A5" w14:textId="77777777" w:rsidR="00C56E05" w:rsidRPr="009F13A6" w:rsidRDefault="00C56E05" w:rsidP="002F271C">
            <w:pPr>
              <w:spacing w:before="60" w:after="60" w:line="240" w:lineRule="auto"/>
              <w:ind w:right="28"/>
              <w:jc w:val="center"/>
              <w:rPr>
                <w:sz w:val="16"/>
                <w:szCs w:val="16"/>
                <w:lang w:val="fr-FR" w:eastAsia="de-DE"/>
              </w:rPr>
            </w:pPr>
            <w:r w:rsidRPr="009F13A6">
              <w:rPr>
                <w:b/>
                <w:bCs/>
                <w:sz w:val="16"/>
                <w:szCs w:val="16"/>
                <w:lang w:val="fr-FR"/>
              </w:rPr>
              <w:t>Incertitude élargie (95 %) +/-</w:t>
            </w:r>
          </w:p>
        </w:tc>
      </w:tr>
      <w:tr w:rsidR="00C56E05" w14:paraId="3BA40A0D" w14:textId="77777777" w:rsidTr="002F271C">
        <w:tc>
          <w:tcPr>
            <w:tcW w:w="1467" w:type="dxa"/>
            <w:tcBorders>
              <w:bottom w:val="single" w:sz="4" w:space="0" w:color="auto"/>
            </w:tcBorders>
          </w:tcPr>
          <w:p w14:paraId="71E0EA36" w14:textId="77777777" w:rsidR="00C56E05" w:rsidRDefault="00C56E05" w:rsidP="002F271C">
            <w:pPr>
              <w:spacing w:before="60" w:after="60" w:line="240" w:lineRule="auto"/>
              <w:ind w:right="28"/>
              <w:jc w:val="center"/>
              <w:rPr>
                <w:sz w:val="16"/>
                <w:szCs w:val="16"/>
                <w:lang w:val="fr-FR" w:eastAsia="de-DE"/>
              </w:rPr>
            </w:pPr>
            <w:r w:rsidRPr="000E6C17">
              <w:rPr>
                <w:b/>
                <w:bCs/>
                <w:sz w:val="16"/>
                <w:szCs w:val="16"/>
                <w:lang w:val="fr-FR"/>
              </w:rPr>
              <w:t>Incertitude composée globale +/-</w:t>
            </w:r>
          </w:p>
        </w:tc>
        <w:tc>
          <w:tcPr>
            <w:tcW w:w="1588" w:type="dxa"/>
            <w:tcBorders>
              <w:bottom w:val="single" w:sz="4" w:space="0" w:color="auto"/>
            </w:tcBorders>
            <w:shd w:val="clear" w:color="auto" w:fill="D9D9D9" w:themeFill="background1" w:themeFillShade="D9"/>
          </w:tcPr>
          <w:p w14:paraId="5C85FCE5" w14:textId="77777777" w:rsidR="00C56E05" w:rsidRDefault="00C56E05" w:rsidP="002F271C">
            <w:pPr>
              <w:spacing w:before="60" w:after="60" w:line="240" w:lineRule="auto"/>
              <w:ind w:right="28"/>
              <w:jc w:val="center"/>
              <w:rPr>
                <w:sz w:val="16"/>
                <w:szCs w:val="16"/>
                <w:lang w:val="fr-FR" w:eastAsia="de-DE"/>
              </w:rPr>
            </w:pPr>
            <w:r w:rsidRPr="000E6C17">
              <w:rPr>
                <w:b/>
                <w:bCs/>
                <w:sz w:val="16"/>
                <w:szCs w:val="16"/>
                <w:lang w:val="fr-FR"/>
              </w:rPr>
              <w:t xml:space="preserve">Incertitude élargie </w:t>
            </w:r>
            <w:r>
              <w:rPr>
                <w:b/>
                <w:bCs/>
                <w:sz w:val="16"/>
                <w:szCs w:val="16"/>
                <w:lang w:val="fr-FR"/>
              </w:rPr>
              <w:br/>
            </w:r>
            <w:r w:rsidRPr="000E6C17">
              <w:rPr>
                <w:b/>
                <w:bCs/>
                <w:sz w:val="16"/>
                <w:szCs w:val="16"/>
                <w:lang w:val="fr-FR"/>
              </w:rPr>
              <w:t>(95 %) +/-</w:t>
            </w:r>
          </w:p>
        </w:tc>
        <w:tc>
          <w:tcPr>
            <w:tcW w:w="625" w:type="dxa"/>
            <w:tcBorders>
              <w:top w:val="nil"/>
              <w:bottom w:val="nil"/>
            </w:tcBorders>
          </w:tcPr>
          <w:p w14:paraId="1B43D0F5" w14:textId="77777777" w:rsidR="00C56E05" w:rsidRDefault="00C56E05" w:rsidP="002F271C">
            <w:pPr>
              <w:spacing w:before="60" w:after="60" w:line="240" w:lineRule="auto"/>
              <w:ind w:right="28"/>
              <w:jc w:val="center"/>
              <w:rPr>
                <w:sz w:val="16"/>
                <w:szCs w:val="16"/>
                <w:lang w:val="fr-FR" w:eastAsia="de-DE"/>
              </w:rPr>
            </w:pPr>
          </w:p>
        </w:tc>
        <w:tc>
          <w:tcPr>
            <w:tcW w:w="1007" w:type="dxa"/>
            <w:tcBorders>
              <w:bottom w:val="single" w:sz="4" w:space="0" w:color="auto"/>
            </w:tcBorders>
            <w:shd w:val="clear" w:color="auto" w:fill="D9D9D9" w:themeFill="background1" w:themeFillShade="D9"/>
          </w:tcPr>
          <w:p w14:paraId="13B412D6" w14:textId="77777777" w:rsidR="00C56E05" w:rsidRDefault="00C56E05" w:rsidP="002F271C">
            <w:pPr>
              <w:spacing w:before="60" w:after="60" w:line="240" w:lineRule="auto"/>
              <w:ind w:right="28"/>
              <w:jc w:val="center"/>
              <w:rPr>
                <w:sz w:val="16"/>
                <w:szCs w:val="16"/>
                <w:lang w:val="fr-FR" w:eastAsia="de-DE"/>
              </w:rPr>
            </w:pPr>
            <w:r w:rsidRPr="00F94166">
              <w:rPr>
                <w:b/>
                <w:bCs/>
                <w:sz w:val="16"/>
                <w:szCs w:val="16"/>
                <w:lang w:val="fr-FR"/>
              </w:rPr>
              <w:t>Homologation de type</w:t>
            </w:r>
          </w:p>
        </w:tc>
        <w:tc>
          <w:tcPr>
            <w:tcW w:w="1090" w:type="dxa"/>
            <w:tcBorders>
              <w:bottom w:val="single" w:sz="4" w:space="0" w:color="auto"/>
            </w:tcBorders>
            <w:shd w:val="clear" w:color="auto" w:fill="D9D9D9" w:themeFill="background1" w:themeFillShade="D9"/>
          </w:tcPr>
          <w:p w14:paraId="7E434852" w14:textId="77777777" w:rsidR="00C56E05" w:rsidRDefault="00C56E05" w:rsidP="002F271C">
            <w:pPr>
              <w:spacing w:before="60" w:after="60" w:line="240" w:lineRule="auto"/>
              <w:ind w:right="28"/>
              <w:jc w:val="center"/>
              <w:rPr>
                <w:sz w:val="16"/>
                <w:szCs w:val="16"/>
                <w:lang w:val="fr-FR" w:eastAsia="de-DE"/>
              </w:rPr>
            </w:pPr>
            <w:r w:rsidRPr="000E6C17">
              <w:rPr>
                <w:b/>
                <w:bCs/>
                <w:sz w:val="16"/>
                <w:szCs w:val="16"/>
                <w:lang w:val="fr-FR"/>
              </w:rPr>
              <w:t>Conformité de la production</w:t>
            </w:r>
          </w:p>
        </w:tc>
        <w:tc>
          <w:tcPr>
            <w:tcW w:w="884" w:type="dxa"/>
            <w:tcBorders>
              <w:bottom w:val="single" w:sz="4" w:space="0" w:color="auto"/>
            </w:tcBorders>
            <w:shd w:val="clear" w:color="auto" w:fill="D9D9D9" w:themeFill="background1" w:themeFillShade="D9"/>
          </w:tcPr>
          <w:p w14:paraId="763A74E9" w14:textId="77777777" w:rsidR="00C56E05" w:rsidRDefault="00C56E05" w:rsidP="002F271C">
            <w:pPr>
              <w:spacing w:before="60" w:after="60" w:line="240" w:lineRule="auto"/>
              <w:ind w:right="28"/>
              <w:jc w:val="center"/>
              <w:rPr>
                <w:sz w:val="16"/>
                <w:szCs w:val="16"/>
                <w:lang w:val="fr-FR" w:eastAsia="de-DE"/>
              </w:rPr>
            </w:pPr>
            <w:r w:rsidRPr="000E6C17">
              <w:rPr>
                <w:b/>
                <w:bCs/>
                <w:sz w:val="16"/>
                <w:szCs w:val="16"/>
                <w:lang w:val="fr-FR"/>
              </w:rPr>
              <w:t xml:space="preserve">Essais sur </w:t>
            </w:r>
            <w:r>
              <w:rPr>
                <w:b/>
                <w:bCs/>
                <w:sz w:val="16"/>
                <w:szCs w:val="16"/>
                <w:lang w:val="fr-FR"/>
              </w:rPr>
              <w:br/>
            </w:r>
            <w:r w:rsidRPr="000E6C17">
              <w:rPr>
                <w:b/>
                <w:bCs/>
                <w:sz w:val="16"/>
                <w:szCs w:val="16"/>
                <w:lang w:val="fr-FR"/>
              </w:rPr>
              <w:t>le terrain</w:t>
            </w:r>
          </w:p>
        </w:tc>
      </w:tr>
      <w:tr w:rsidR="00C56E05" w14:paraId="43A3E148" w14:textId="77777777" w:rsidTr="002F271C">
        <w:tc>
          <w:tcPr>
            <w:tcW w:w="1467" w:type="dxa"/>
            <w:shd w:val="clear" w:color="auto" w:fill="000000" w:themeFill="text1"/>
          </w:tcPr>
          <w:p w14:paraId="1F2274DC" w14:textId="422952D1" w:rsidR="00C56E05" w:rsidRPr="00D145E9" w:rsidRDefault="00C56E05" w:rsidP="002F271C">
            <w:pPr>
              <w:spacing w:before="60" w:after="60" w:line="240" w:lineRule="auto"/>
              <w:ind w:right="28"/>
              <w:jc w:val="center"/>
              <w:rPr>
                <w:color w:val="FFFFFF" w:themeColor="background1"/>
                <w:sz w:val="16"/>
                <w:szCs w:val="16"/>
                <w:lang w:val="fr-FR" w:eastAsia="de-DE"/>
              </w:rPr>
            </w:pPr>
            <w:r w:rsidRPr="00D145E9">
              <w:rPr>
                <w:b/>
                <w:bCs/>
                <w:color w:val="FFFFFF" w:themeColor="background1"/>
                <w:sz w:val="16"/>
                <w:szCs w:val="16"/>
                <w:lang w:val="fr-FR"/>
              </w:rPr>
              <w:t>1,</w:t>
            </w:r>
            <w:r>
              <w:rPr>
                <w:b/>
                <w:bCs/>
                <w:color w:val="FFFFFF" w:themeColor="background1"/>
                <w:sz w:val="16"/>
                <w:szCs w:val="16"/>
                <w:lang w:val="fr-FR"/>
              </w:rPr>
              <w:t>02</w:t>
            </w:r>
          </w:p>
        </w:tc>
        <w:tc>
          <w:tcPr>
            <w:tcW w:w="1588" w:type="dxa"/>
            <w:shd w:val="clear" w:color="auto" w:fill="000000" w:themeFill="text1"/>
          </w:tcPr>
          <w:p w14:paraId="07E9D120" w14:textId="5040BB3F" w:rsidR="00C56E05" w:rsidRPr="00D145E9" w:rsidRDefault="00C56E05" w:rsidP="002F271C">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2,04</w:t>
            </w:r>
          </w:p>
        </w:tc>
        <w:tc>
          <w:tcPr>
            <w:tcW w:w="625" w:type="dxa"/>
            <w:tcBorders>
              <w:top w:val="nil"/>
              <w:bottom w:val="nil"/>
            </w:tcBorders>
          </w:tcPr>
          <w:p w14:paraId="30086AC1" w14:textId="77777777" w:rsidR="00C56E05" w:rsidRDefault="00C56E05" w:rsidP="002F271C">
            <w:pPr>
              <w:spacing w:before="60" w:after="60" w:line="240" w:lineRule="auto"/>
              <w:ind w:right="28"/>
              <w:jc w:val="center"/>
              <w:rPr>
                <w:sz w:val="16"/>
                <w:szCs w:val="16"/>
                <w:lang w:val="fr-FR" w:eastAsia="de-DE"/>
              </w:rPr>
            </w:pPr>
          </w:p>
        </w:tc>
        <w:tc>
          <w:tcPr>
            <w:tcW w:w="1007" w:type="dxa"/>
            <w:shd w:val="clear" w:color="auto" w:fill="000000" w:themeFill="text1"/>
          </w:tcPr>
          <w:p w14:paraId="4DF43572" w14:textId="3326BB74" w:rsidR="00C56E05" w:rsidRPr="00D145E9" w:rsidRDefault="00C56E05" w:rsidP="002F271C">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1,09</w:t>
            </w:r>
          </w:p>
        </w:tc>
        <w:tc>
          <w:tcPr>
            <w:tcW w:w="1090" w:type="dxa"/>
            <w:shd w:val="clear" w:color="auto" w:fill="000000" w:themeFill="text1"/>
          </w:tcPr>
          <w:p w14:paraId="2CB32D42" w14:textId="5FEE25FE" w:rsidR="00C56E05" w:rsidRPr="00D145E9" w:rsidRDefault="00C56E05" w:rsidP="002F271C">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1,64</w:t>
            </w:r>
          </w:p>
        </w:tc>
        <w:tc>
          <w:tcPr>
            <w:tcW w:w="884" w:type="dxa"/>
            <w:shd w:val="clear" w:color="auto" w:fill="000000" w:themeFill="text1"/>
          </w:tcPr>
          <w:p w14:paraId="70DC0475" w14:textId="1CBA652B" w:rsidR="00C56E05" w:rsidRPr="00D145E9" w:rsidRDefault="00C56E05" w:rsidP="002F271C">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3,46</w:t>
            </w:r>
          </w:p>
        </w:tc>
      </w:tr>
    </w:tbl>
    <w:p w14:paraId="25DFE6EB" w14:textId="3669000C" w:rsidR="005F5BE9" w:rsidRPr="00DC7C60" w:rsidRDefault="00B4086A" w:rsidP="00B4086A">
      <w:pPr>
        <w:pStyle w:val="H1G"/>
        <w:rPr>
          <w:szCs w:val="24"/>
          <w:lang w:val="fr-FR"/>
        </w:rPr>
      </w:pPr>
      <w:r>
        <w:rPr>
          <w:szCs w:val="24"/>
          <w:lang w:val="fr-FR"/>
        </w:rPr>
        <w:tab/>
      </w:r>
      <w:r w:rsidR="005F5BE9" w:rsidRPr="00DC7C60">
        <w:rPr>
          <w:szCs w:val="24"/>
          <w:lang w:val="fr-FR"/>
        </w:rPr>
        <w:t>6.</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54</w:t>
      </w:r>
    </w:p>
    <w:p w14:paraId="19AA9B65" w14:textId="55D485C5" w:rsidR="005F5BE9" w:rsidRPr="00DC7C60" w:rsidRDefault="006F7CEF" w:rsidP="00DD1DAE">
      <w:pPr>
        <w:pStyle w:val="SingleTxtG"/>
        <w:rPr>
          <w:lang w:val="fr-FR"/>
        </w:rPr>
      </w:pPr>
      <w:r>
        <w:rPr>
          <w:lang w:val="fr-FR"/>
        </w:rPr>
        <w:t>(Réservé)</w:t>
      </w:r>
    </w:p>
    <w:p w14:paraId="41182145" w14:textId="0443F49D" w:rsidR="005F5BE9" w:rsidRPr="00DC7C60" w:rsidRDefault="00B4086A" w:rsidP="00B4086A">
      <w:pPr>
        <w:pStyle w:val="H1G"/>
        <w:rPr>
          <w:szCs w:val="24"/>
          <w:lang w:val="fr-FR"/>
        </w:rPr>
      </w:pPr>
      <w:r>
        <w:rPr>
          <w:szCs w:val="24"/>
          <w:lang w:val="fr-FR"/>
        </w:rPr>
        <w:tab/>
      </w:r>
      <w:r w:rsidR="005F5BE9" w:rsidRPr="00DC7C60">
        <w:rPr>
          <w:szCs w:val="24"/>
          <w:lang w:val="fr-FR"/>
        </w:rPr>
        <w:t>7.</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59</w:t>
      </w:r>
    </w:p>
    <w:p w14:paraId="55C13B04" w14:textId="47E20060" w:rsidR="005F5BE9" w:rsidRPr="00DC7C60" w:rsidRDefault="006F7CEF" w:rsidP="00DD1DAE">
      <w:pPr>
        <w:pStyle w:val="SingleTxtG"/>
        <w:rPr>
          <w:lang w:val="fr-FR"/>
        </w:rPr>
      </w:pPr>
      <w:r>
        <w:rPr>
          <w:lang w:val="fr-FR"/>
        </w:rPr>
        <w:t>(Réservé)</w:t>
      </w:r>
    </w:p>
    <w:p w14:paraId="7101F852" w14:textId="3E0BE089" w:rsidR="005F5BE9" w:rsidRPr="00DC7C60" w:rsidRDefault="00B4086A" w:rsidP="00B4086A">
      <w:pPr>
        <w:pStyle w:val="H1G"/>
        <w:rPr>
          <w:szCs w:val="24"/>
          <w:lang w:val="fr-FR"/>
        </w:rPr>
      </w:pPr>
      <w:r>
        <w:rPr>
          <w:szCs w:val="24"/>
          <w:lang w:val="fr-FR"/>
        </w:rPr>
        <w:tab/>
      </w:r>
      <w:r w:rsidR="005F5BE9" w:rsidRPr="00DC7C60">
        <w:rPr>
          <w:szCs w:val="24"/>
          <w:lang w:val="fr-FR"/>
        </w:rPr>
        <w:t>8.</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63</w:t>
      </w:r>
    </w:p>
    <w:p w14:paraId="73A042E5" w14:textId="4BB44FA4" w:rsidR="005F5BE9" w:rsidRPr="00DC7C60" w:rsidRDefault="006F7CEF" w:rsidP="00DD1DAE">
      <w:pPr>
        <w:pStyle w:val="SingleTxtG"/>
        <w:rPr>
          <w:lang w:val="fr-FR"/>
        </w:rPr>
      </w:pPr>
      <w:r>
        <w:rPr>
          <w:lang w:val="fr-FR"/>
        </w:rPr>
        <w:t>(Réservé)</w:t>
      </w:r>
    </w:p>
    <w:p w14:paraId="6633349D" w14:textId="68B1B5C5" w:rsidR="005F5BE9" w:rsidRPr="00DC7C60" w:rsidRDefault="00B4086A" w:rsidP="00B4086A">
      <w:pPr>
        <w:pStyle w:val="H1G"/>
        <w:rPr>
          <w:szCs w:val="24"/>
          <w:lang w:val="fr-FR"/>
        </w:rPr>
      </w:pPr>
      <w:r>
        <w:rPr>
          <w:szCs w:val="24"/>
          <w:lang w:val="fr-FR"/>
        </w:rPr>
        <w:tab/>
      </w:r>
      <w:r w:rsidR="005F5BE9" w:rsidRPr="00DC7C60">
        <w:rPr>
          <w:szCs w:val="24"/>
          <w:lang w:val="fr-FR"/>
        </w:rPr>
        <w:t>9.</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64</w:t>
      </w:r>
    </w:p>
    <w:p w14:paraId="55765AC1" w14:textId="05979CBF" w:rsidR="005F5BE9" w:rsidRPr="00DC7C60" w:rsidRDefault="006F7CEF" w:rsidP="00DD1DAE">
      <w:pPr>
        <w:pStyle w:val="SingleTxtG"/>
        <w:rPr>
          <w:lang w:val="fr-FR"/>
        </w:rPr>
      </w:pPr>
      <w:r>
        <w:rPr>
          <w:lang w:val="fr-FR"/>
        </w:rPr>
        <w:t>(Réservé)</w:t>
      </w:r>
    </w:p>
    <w:p w14:paraId="38847149" w14:textId="077AE586" w:rsidR="005F5BE9" w:rsidRPr="00DC7C60" w:rsidRDefault="00E15E5B" w:rsidP="00E15E5B">
      <w:pPr>
        <w:pStyle w:val="H1G"/>
        <w:rPr>
          <w:szCs w:val="24"/>
          <w:lang w:val="fr-FR"/>
        </w:rPr>
      </w:pPr>
      <w:r>
        <w:rPr>
          <w:szCs w:val="24"/>
          <w:lang w:val="fr-FR"/>
        </w:rPr>
        <w:tab/>
      </w:r>
      <w:r w:rsidR="005F5BE9" w:rsidRPr="00DC7C60">
        <w:rPr>
          <w:szCs w:val="24"/>
          <w:lang w:val="fr-FR"/>
        </w:rPr>
        <w:t>10.</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75</w:t>
      </w:r>
    </w:p>
    <w:p w14:paraId="4BFAC8D2" w14:textId="5081223E" w:rsidR="005F5BE9" w:rsidRPr="00DC7C60" w:rsidRDefault="006F7CEF" w:rsidP="00DD1DAE">
      <w:pPr>
        <w:pStyle w:val="SingleTxtG"/>
        <w:rPr>
          <w:lang w:val="fr-FR"/>
        </w:rPr>
      </w:pPr>
      <w:r>
        <w:rPr>
          <w:lang w:val="fr-FR"/>
        </w:rPr>
        <w:t>(Réservé)</w:t>
      </w:r>
    </w:p>
    <w:p w14:paraId="6EF70F2E" w14:textId="10C3E767" w:rsidR="005F5BE9" w:rsidRPr="00DC7C60" w:rsidRDefault="00E15E5B" w:rsidP="00E15E5B">
      <w:pPr>
        <w:pStyle w:val="H1G"/>
        <w:rPr>
          <w:szCs w:val="24"/>
          <w:lang w:val="fr-FR"/>
        </w:rPr>
      </w:pPr>
      <w:r>
        <w:rPr>
          <w:szCs w:val="24"/>
          <w:lang w:val="fr-FR"/>
        </w:rPr>
        <w:lastRenderedPageBreak/>
        <w:tab/>
      </w:r>
      <w:r w:rsidR="005F5BE9" w:rsidRPr="00DC7C60">
        <w:rPr>
          <w:szCs w:val="24"/>
          <w:lang w:val="fr-FR"/>
        </w:rPr>
        <w:t>11.</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92</w:t>
      </w:r>
    </w:p>
    <w:p w14:paraId="170E5153" w14:textId="26181AA8" w:rsidR="005F5BE9" w:rsidRPr="00DC7C60" w:rsidRDefault="006F7CEF" w:rsidP="00DD1DAE">
      <w:pPr>
        <w:pStyle w:val="SingleTxtG"/>
        <w:rPr>
          <w:lang w:val="fr-FR"/>
        </w:rPr>
      </w:pPr>
      <w:r>
        <w:rPr>
          <w:lang w:val="fr-FR"/>
        </w:rPr>
        <w:t>(Réservé)</w:t>
      </w:r>
    </w:p>
    <w:p w14:paraId="1B528923" w14:textId="469103DA" w:rsidR="005F5BE9" w:rsidRPr="00DC7C60" w:rsidRDefault="00E15E5B" w:rsidP="00E15E5B">
      <w:pPr>
        <w:pStyle w:val="H1G"/>
        <w:rPr>
          <w:szCs w:val="24"/>
          <w:lang w:val="fr-FR"/>
        </w:rPr>
      </w:pPr>
      <w:r>
        <w:rPr>
          <w:szCs w:val="24"/>
          <w:lang w:val="fr-FR"/>
        </w:rPr>
        <w:tab/>
      </w:r>
      <w:r w:rsidR="005F5BE9" w:rsidRPr="00DC7C60">
        <w:rPr>
          <w:szCs w:val="24"/>
          <w:lang w:val="fr-FR"/>
        </w:rPr>
        <w:t>12.</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106</w:t>
      </w:r>
    </w:p>
    <w:p w14:paraId="4863CF18" w14:textId="33495F7E" w:rsidR="005F5BE9" w:rsidRPr="00DC7C60" w:rsidRDefault="006F7CEF" w:rsidP="00DD1DAE">
      <w:pPr>
        <w:pStyle w:val="SingleTxtG"/>
        <w:rPr>
          <w:lang w:val="fr-FR"/>
        </w:rPr>
      </w:pPr>
      <w:r>
        <w:rPr>
          <w:lang w:val="fr-FR"/>
        </w:rPr>
        <w:t>(Réservé)</w:t>
      </w:r>
    </w:p>
    <w:p w14:paraId="380C9B38" w14:textId="444DAD31" w:rsidR="005F5BE9" w:rsidRPr="00DC7C60" w:rsidRDefault="00E15E5B" w:rsidP="00E15E5B">
      <w:pPr>
        <w:pStyle w:val="H1G"/>
        <w:rPr>
          <w:szCs w:val="24"/>
          <w:lang w:val="fr-FR"/>
        </w:rPr>
      </w:pPr>
      <w:r>
        <w:rPr>
          <w:szCs w:val="24"/>
          <w:lang w:val="fr-FR"/>
        </w:rPr>
        <w:tab/>
      </w:r>
      <w:r w:rsidR="005F5BE9" w:rsidRPr="00DC7C60">
        <w:rPr>
          <w:szCs w:val="24"/>
          <w:lang w:val="fr-FR"/>
        </w:rPr>
        <w:t>13.</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108</w:t>
      </w:r>
    </w:p>
    <w:p w14:paraId="56AB8278" w14:textId="798E1CD6" w:rsidR="005F5BE9" w:rsidRPr="00DC7C60" w:rsidRDefault="006F7CEF" w:rsidP="00DD1DAE">
      <w:pPr>
        <w:pStyle w:val="SingleTxtG"/>
        <w:rPr>
          <w:lang w:val="fr-FR"/>
        </w:rPr>
      </w:pPr>
      <w:r>
        <w:rPr>
          <w:lang w:val="fr-FR"/>
        </w:rPr>
        <w:t>(Réservé)</w:t>
      </w:r>
    </w:p>
    <w:p w14:paraId="0CB9083E" w14:textId="72FA1953" w:rsidR="005F5BE9" w:rsidRPr="00DC7C60" w:rsidRDefault="00E15E5B" w:rsidP="00E15E5B">
      <w:pPr>
        <w:pStyle w:val="H1G"/>
        <w:rPr>
          <w:szCs w:val="24"/>
          <w:lang w:val="fr-FR"/>
        </w:rPr>
      </w:pPr>
      <w:r>
        <w:rPr>
          <w:szCs w:val="24"/>
          <w:lang w:val="fr-FR"/>
        </w:rPr>
        <w:tab/>
      </w:r>
      <w:r w:rsidR="005F5BE9" w:rsidRPr="00DC7C60">
        <w:rPr>
          <w:szCs w:val="24"/>
          <w:lang w:val="fr-FR"/>
        </w:rPr>
        <w:t>14.</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109</w:t>
      </w:r>
    </w:p>
    <w:p w14:paraId="317DF36A" w14:textId="6A701D6B" w:rsidR="005F5BE9" w:rsidRPr="00DC7C60" w:rsidRDefault="006F7CEF" w:rsidP="00DD1DAE">
      <w:pPr>
        <w:pStyle w:val="SingleTxtG"/>
        <w:rPr>
          <w:lang w:val="fr-FR"/>
        </w:rPr>
      </w:pPr>
      <w:r>
        <w:rPr>
          <w:lang w:val="fr-FR"/>
        </w:rPr>
        <w:t>(Réservé)</w:t>
      </w:r>
    </w:p>
    <w:p w14:paraId="47EFE886" w14:textId="7FAA6DE6" w:rsidR="005F5BE9" w:rsidRPr="00DC7C60" w:rsidRDefault="00E15E5B" w:rsidP="00E15E5B">
      <w:pPr>
        <w:pStyle w:val="H1G"/>
        <w:rPr>
          <w:szCs w:val="24"/>
          <w:lang w:val="fr-FR"/>
        </w:rPr>
      </w:pPr>
      <w:r>
        <w:rPr>
          <w:szCs w:val="24"/>
          <w:lang w:val="fr-FR"/>
        </w:rPr>
        <w:tab/>
      </w:r>
      <w:r w:rsidR="005F5BE9" w:rsidRPr="00DC7C60">
        <w:rPr>
          <w:szCs w:val="24"/>
          <w:lang w:val="fr-FR"/>
        </w:rPr>
        <w:t>15.</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117</w:t>
      </w:r>
    </w:p>
    <w:p w14:paraId="09AECDE6" w14:textId="19C14259" w:rsidR="005F5BE9" w:rsidRPr="00DC7C60" w:rsidRDefault="005F5BE9" w:rsidP="0022231F">
      <w:pPr>
        <w:pStyle w:val="Titre1"/>
        <w:spacing w:after="120"/>
        <w:ind w:left="0"/>
        <w:rPr>
          <w:lang w:val="fr-FR"/>
        </w:rPr>
      </w:pPr>
      <w:r w:rsidRPr="00DC7C60">
        <w:rPr>
          <w:lang w:val="fr-FR"/>
        </w:rPr>
        <w:t xml:space="preserve">Tableau 15.1 </w:t>
      </w:r>
      <w:r w:rsidR="00E15E5B">
        <w:rPr>
          <w:lang w:val="fr-FR"/>
        </w:rPr>
        <w:br/>
      </w:r>
      <w:r w:rsidRPr="00E15E5B">
        <w:rPr>
          <w:b/>
          <w:bCs/>
          <w:lang w:val="fr-FR"/>
        </w:rPr>
        <w:t>Calcul de l’incertitude pour les pneumatiques</w:t>
      </w:r>
      <w:r w:rsidR="0022231F">
        <w:rPr>
          <w:b/>
          <w:bCs/>
          <w:lang w:val="fr-FR"/>
        </w:rPr>
        <w:t xml:space="preserve"> </w:t>
      </w:r>
    </w:p>
    <w:tbl>
      <w:tblPr>
        <w:tblW w:w="9636" w:type="dxa"/>
        <w:tblLayout w:type="fixed"/>
        <w:tblCellMar>
          <w:left w:w="0" w:type="dxa"/>
          <w:right w:w="0" w:type="dxa"/>
        </w:tblCellMar>
        <w:tblLook w:val="04A0" w:firstRow="1" w:lastRow="0" w:firstColumn="1" w:lastColumn="0" w:noHBand="0" w:noVBand="1"/>
      </w:tblPr>
      <w:tblGrid>
        <w:gridCol w:w="1498"/>
        <w:gridCol w:w="98"/>
        <w:gridCol w:w="2422"/>
        <w:gridCol w:w="1853"/>
        <w:gridCol w:w="1192"/>
        <w:gridCol w:w="857"/>
        <w:gridCol w:w="827"/>
        <w:gridCol w:w="889"/>
      </w:tblGrid>
      <w:tr w:rsidR="00E030F6" w:rsidRPr="00960792" w14:paraId="6DF1EBF7" w14:textId="77777777" w:rsidTr="00E030F6">
        <w:trPr>
          <w:trHeight w:val="940"/>
          <w:tblHeader/>
        </w:trPr>
        <w:tc>
          <w:tcPr>
            <w:tcW w:w="1498" w:type="dxa"/>
            <w:tcBorders>
              <w:top w:val="single" w:sz="4" w:space="0" w:color="auto"/>
              <w:bottom w:val="single" w:sz="12" w:space="0" w:color="auto"/>
            </w:tcBorders>
            <w:shd w:val="clear" w:color="auto" w:fill="auto"/>
            <w:noWrap/>
            <w:vAlign w:val="bottom"/>
            <w:hideMark/>
          </w:tcPr>
          <w:p w14:paraId="1752AB43" w14:textId="1ACF9DCF" w:rsidR="0022231F" w:rsidRPr="00960792" w:rsidRDefault="0022231F" w:rsidP="00960792">
            <w:pPr>
              <w:suppressAutoHyphens w:val="0"/>
              <w:spacing w:before="80" w:after="80" w:line="200" w:lineRule="atLeast"/>
              <w:ind w:left="57" w:right="57"/>
              <w:rPr>
                <w:b/>
                <w:bCs/>
                <w:i/>
                <w:sz w:val="16"/>
                <w:szCs w:val="16"/>
                <w:lang w:val="fr-FR"/>
              </w:rPr>
            </w:pPr>
            <w:r w:rsidRPr="00960792">
              <w:rPr>
                <w:b/>
                <w:bCs/>
                <w:i/>
                <w:sz w:val="16"/>
                <w:szCs w:val="16"/>
                <w:lang w:val="fr-FR"/>
              </w:rPr>
              <w:t xml:space="preserve">Estimation </w:t>
            </w:r>
            <w:r w:rsidR="00DD1DAE">
              <w:rPr>
                <w:b/>
                <w:bCs/>
                <w:i/>
                <w:sz w:val="16"/>
                <w:szCs w:val="16"/>
                <w:lang w:val="fr-FR"/>
              </w:rPr>
              <w:br/>
            </w:r>
            <w:r w:rsidRPr="00960792">
              <w:rPr>
                <w:b/>
                <w:bCs/>
                <w:i/>
                <w:sz w:val="16"/>
                <w:szCs w:val="16"/>
                <w:lang w:val="fr-FR"/>
              </w:rPr>
              <w:t xml:space="preserve">de l’incertitude </w:t>
            </w:r>
            <w:r w:rsidR="00DD1DAE">
              <w:rPr>
                <w:b/>
                <w:bCs/>
                <w:i/>
                <w:sz w:val="16"/>
                <w:szCs w:val="16"/>
                <w:lang w:val="fr-FR"/>
              </w:rPr>
              <w:br/>
            </w:r>
            <w:r w:rsidRPr="00960792">
              <w:rPr>
                <w:b/>
                <w:bCs/>
                <w:i/>
                <w:sz w:val="16"/>
                <w:szCs w:val="16"/>
                <w:lang w:val="fr-FR"/>
              </w:rPr>
              <w:t xml:space="preserve">en fonction </w:t>
            </w:r>
            <w:r w:rsidR="00DD1DAE">
              <w:rPr>
                <w:b/>
                <w:bCs/>
                <w:i/>
                <w:sz w:val="16"/>
                <w:szCs w:val="16"/>
                <w:lang w:val="fr-FR"/>
              </w:rPr>
              <w:br/>
            </w:r>
            <w:r w:rsidRPr="00960792">
              <w:rPr>
                <w:b/>
                <w:bCs/>
                <w:i/>
                <w:sz w:val="16"/>
                <w:szCs w:val="16"/>
                <w:lang w:val="fr-FR"/>
              </w:rPr>
              <w:t xml:space="preserve">de la situation </w:t>
            </w:r>
          </w:p>
        </w:tc>
        <w:tc>
          <w:tcPr>
            <w:tcW w:w="2520" w:type="dxa"/>
            <w:gridSpan w:val="2"/>
            <w:tcBorders>
              <w:top w:val="single" w:sz="4" w:space="0" w:color="auto"/>
              <w:bottom w:val="single" w:sz="12" w:space="0" w:color="auto"/>
            </w:tcBorders>
            <w:shd w:val="clear" w:color="auto" w:fill="auto"/>
            <w:noWrap/>
            <w:vAlign w:val="bottom"/>
            <w:hideMark/>
          </w:tcPr>
          <w:p w14:paraId="3F33F4A4" w14:textId="716B972D" w:rsidR="0022231F" w:rsidRPr="00960792" w:rsidRDefault="0022231F" w:rsidP="00DD1DAE">
            <w:pPr>
              <w:suppressAutoHyphens w:val="0"/>
              <w:spacing w:before="80" w:after="80" w:line="200" w:lineRule="atLeast"/>
              <w:ind w:left="57" w:right="57"/>
              <w:rPr>
                <w:b/>
                <w:bCs/>
                <w:i/>
                <w:sz w:val="16"/>
                <w:szCs w:val="16"/>
                <w:lang w:val="fr-FR"/>
              </w:rPr>
            </w:pPr>
            <w:r w:rsidRPr="00960792">
              <w:rPr>
                <w:b/>
                <w:bCs/>
                <w:i/>
                <w:sz w:val="16"/>
                <w:szCs w:val="16"/>
                <w:lang w:val="fr-FR"/>
              </w:rPr>
              <w:t>Grandeur d’entrée</w:t>
            </w:r>
          </w:p>
        </w:tc>
        <w:tc>
          <w:tcPr>
            <w:tcW w:w="1853" w:type="dxa"/>
            <w:tcBorders>
              <w:top w:val="single" w:sz="4" w:space="0" w:color="auto"/>
              <w:bottom w:val="single" w:sz="12" w:space="0" w:color="auto"/>
            </w:tcBorders>
            <w:shd w:val="clear" w:color="auto" w:fill="auto"/>
            <w:vAlign w:val="bottom"/>
            <w:hideMark/>
          </w:tcPr>
          <w:p w14:paraId="473D183C" w14:textId="5804366C" w:rsidR="0022231F" w:rsidRPr="00960792" w:rsidRDefault="0022231F" w:rsidP="006C0A4A">
            <w:pPr>
              <w:suppressAutoHyphens w:val="0"/>
              <w:spacing w:before="80" w:after="80" w:line="200" w:lineRule="atLeast"/>
              <w:ind w:left="57" w:right="57"/>
              <w:rPr>
                <w:b/>
                <w:bCs/>
                <w:i/>
                <w:sz w:val="16"/>
                <w:szCs w:val="16"/>
                <w:lang w:val="fr-FR"/>
              </w:rPr>
            </w:pPr>
            <w:r w:rsidRPr="00960792">
              <w:rPr>
                <w:b/>
                <w:bCs/>
                <w:i/>
                <w:sz w:val="16"/>
                <w:szCs w:val="16"/>
                <w:lang w:val="fr-FR"/>
              </w:rPr>
              <w:t xml:space="preserve">Écarts estimés </w:t>
            </w:r>
            <w:r w:rsidR="000E4ACA">
              <w:rPr>
                <w:b/>
                <w:bCs/>
                <w:i/>
                <w:sz w:val="16"/>
                <w:szCs w:val="16"/>
                <w:lang w:val="fr-FR"/>
              </w:rPr>
              <w:br/>
            </w:r>
            <w:r w:rsidRPr="00960792">
              <w:rPr>
                <w:b/>
                <w:bCs/>
                <w:i/>
                <w:sz w:val="16"/>
                <w:szCs w:val="16"/>
                <w:lang w:val="fr-FR"/>
              </w:rPr>
              <w:t>des résultats du mesurage (crête à crête)</w:t>
            </w:r>
          </w:p>
        </w:tc>
        <w:tc>
          <w:tcPr>
            <w:tcW w:w="1192" w:type="dxa"/>
            <w:tcBorders>
              <w:top w:val="single" w:sz="4" w:space="0" w:color="auto"/>
              <w:bottom w:val="single" w:sz="12" w:space="0" w:color="auto"/>
            </w:tcBorders>
            <w:shd w:val="clear" w:color="auto" w:fill="auto"/>
            <w:noWrap/>
            <w:vAlign w:val="bottom"/>
            <w:hideMark/>
          </w:tcPr>
          <w:p w14:paraId="0DD79BC7" w14:textId="7E233DD7" w:rsidR="0022231F" w:rsidRPr="00960792" w:rsidRDefault="0022231F" w:rsidP="006C0A4A">
            <w:pPr>
              <w:suppressAutoHyphens w:val="0"/>
              <w:spacing w:before="80" w:after="80" w:line="200" w:lineRule="atLeast"/>
              <w:ind w:left="57" w:right="57"/>
              <w:rPr>
                <w:b/>
                <w:bCs/>
                <w:i/>
                <w:sz w:val="16"/>
                <w:szCs w:val="16"/>
                <w:lang w:val="fr-FR"/>
              </w:rPr>
            </w:pPr>
            <w:r w:rsidRPr="00960792">
              <w:rPr>
                <w:b/>
                <w:bCs/>
                <w:i/>
                <w:sz w:val="16"/>
                <w:szCs w:val="16"/>
                <w:lang w:val="fr-FR"/>
              </w:rPr>
              <w:t xml:space="preserve">Loi </w:t>
            </w:r>
            <w:r w:rsidR="000E4ACA">
              <w:rPr>
                <w:b/>
                <w:bCs/>
                <w:i/>
                <w:sz w:val="16"/>
                <w:szCs w:val="16"/>
                <w:lang w:val="fr-FR"/>
              </w:rPr>
              <w:br/>
            </w:r>
            <w:r w:rsidRPr="00960792">
              <w:rPr>
                <w:b/>
                <w:bCs/>
                <w:i/>
                <w:sz w:val="16"/>
                <w:szCs w:val="16"/>
                <w:lang w:val="fr-FR"/>
              </w:rPr>
              <w:t>de probabilité</w:t>
            </w:r>
          </w:p>
        </w:tc>
        <w:tc>
          <w:tcPr>
            <w:tcW w:w="857" w:type="dxa"/>
            <w:tcBorders>
              <w:top w:val="single" w:sz="4" w:space="0" w:color="auto"/>
              <w:bottom w:val="single" w:sz="12" w:space="0" w:color="auto"/>
            </w:tcBorders>
            <w:shd w:val="clear" w:color="auto" w:fill="auto"/>
            <w:noWrap/>
            <w:vAlign w:val="bottom"/>
            <w:hideMark/>
          </w:tcPr>
          <w:p w14:paraId="7B4BAD23" w14:textId="770BB3D6" w:rsidR="0022231F" w:rsidRPr="00960792" w:rsidRDefault="0022231F" w:rsidP="006C0A4A">
            <w:pPr>
              <w:suppressAutoHyphens w:val="0"/>
              <w:spacing w:before="80" w:after="80" w:line="200" w:lineRule="atLeast"/>
              <w:ind w:left="57" w:right="57"/>
              <w:rPr>
                <w:b/>
                <w:bCs/>
                <w:i/>
                <w:sz w:val="16"/>
                <w:szCs w:val="16"/>
                <w:lang w:val="fr-FR"/>
              </w:rPr>
            </w:pPr>
            <w:r w:rsidRPr="00960792">
              <w:rPr>
                <w:b/>
                <w:bCs/>
                <w:i/>
                <w:sz w:val="16"/>
                <w:szCs w:val="16"/>
                <w:lang w:val="fr-FR"/>
              </w:rPr>
              <w:t>Variance</w:t>
            </w:r>
          </w:p>
        </w:tc>
        <w:tc>
          <w:tcPr>
            <w:tcW w:w="827" w:type="dxa"/>
            <w:tcBorders>
              <w:top w:val="single" w:sz="4" w:space="0" w:color="auto"/>
              <w:bottom w:val="single" w:sz="12" w:space="0" w:color="auto"/>
            </w:tcBorders>
            <w:shd w:val="clear" w:color="auto" w:fill="auto"/>
            <w:noWrap/>
            <w:vAlign w:val="bottom"/>
            <w:hideMark/>
          </w:tcPr>
          <w:p w14:paraId="67C371B2" w14:textId="2B891170" w:rsidR="0022231F" w:rsidRPr="00960792" w:rsidRDefault="0022231F" w:rsidP="006C0A4A">
            <w:pPr>
              <w:suppressAutoHyphens w:val="0"/>
              <w:spacing w:before="80" w:after="80" w:line="200" w:lineRule="atLeast"/>
              <w:ind w:left="57" w:right="57"/>
              <w:rPr>
                <w:b/>
                <w:bCs/>
                <w:i/>
                <w:sz w:val="16"/>
                <w:szCs w:val="16"/>
                <w:lang w:val="fr-FR" w:eastAsia="de-DE"/>
              </w:rPr>
            </w:pPr>
            <w:r w:rsidRPr="00960792">
              <w:rPr>
                <w:b/>
                <w:bCs/>
                <w:i/>
                <w:sz w:val="16"/>
                <w:szCs w:val="16"/>
                <w:lang w:val="fr-FR"/>
              </w:rPr>
              <w:t>Écart-type</w:t>
            </w:r>
          </w:p>
        </w:tc>
        <w:tc>
          <w:tcPr>
            <w:tcW w:w="889" w:type="dxa"/>
            <w:tcBorders>
              <w:top w:val="single" w:sz="4" w:space="0" w:color="auto"/>
              <w:bottom w:val="single" w:sz="12" w:space="0" w:color="auto"/>
            </w:tcBorders>
            <w:shd w:val="clear" w:color="auto" w:fill="auto"/>
            <w:noWrap/>
            <w:vAlign w:val="bottom"/>
            <w:hideMark/>
          </w:tcPr>
          <w:p w14:paraId="4FEDB97E" w14:textId="517C1019" w:rsidR="0022231F" w:rsidRPr="00960792" w:rsidRDefault="0022231F" w:rsidP="006C0A4A">
            <w:pPr>
              <w:suppressAutoHyphens w:val="0"/>
              <w:spacing w:before="80" w:after="80" w:line="200" w:lineRule="atLeast"/>
              <w:ind w:left="57" w:right="57"/>
              <w:rPr>
                <w:b/>
                <w:bCs/>
                <w:i/>
                <w:sz w:val="16"/>
                <w:szCs w:val="16"/>
                <w:lang w:val="fr-FR" w:eastAsia="de-DE"/>
              </w:rPr>
            </w:pPr>
            <w:r w:rsidRPr="00960792">
              <w:rPr>
                <w:b/>
                <w:bCs/>
                <w:i/>
                <w:sz w:val="16"/>
                <w:szCs w:val="16"/>
                <w:lang w:val="fr-FR"/>
              </w:rPr>
              <w:t xml:space="preserve">Proportion </w:t>
            </w:r>
            <w:r w:rsidR="00960792" w:rsidRPr="00960792">
              <w:rPr>
                <w:b/>
                <w:bCs/>
                <w:i/>
                <w:sz w:val="16"/>
                <w:szCs w:val="16"/>
                <w:lang w:val="fr-FR"/>
              </w:rPr>
              <w:br/>
            </w:r>
            <w:r w:rsidRPr="00960792">
              <w:rPr>
                <w:b/>
                <w:bCs/>
                <w:i/>
                <w:sz w:val="16"/>
                <w:szCs w:val="16"/>
                <w:lang w:val="fr-FR"/>
              </w:rPr>
              <w:t>(%)</w:t>
            </w:r>
          </w:p>
        </w:tc>
      </w:tr>
      <w:tr w:rsidR="00404419" w:rsidRPr="0022231F" w14:paraId="72CECD33" w14:textId="77777777" w:rsidTr="00E030F6">
        <w:tc>
          <w:tcPr>
            <w:tcW w:w="1596"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hideMark/>
          </w:tcPr>
          <w:p w14:paraId="11764405" w14:textId="77777777" w:rsidR="005F5BE9" w:rsidRPr="00E030F6" w:rsidRDefault="005F5BE9" w:rsidP="00960792">
            <w:pPr>
              <w:suppressAutoHyphens w:val="0"/>
              <w:spacing w:before="40" w:after="40" w:line="220" w:lineRule="exact"/>
              <w:ind w:left="57" w:right="57"/>
              <w:rPr>
                <w:b/>
                <w:bCs/>
                <w:sz w:val="18"/>
                <w:lang w:val="fr-FR"/>
              </w:rPr>
            </w:pPr>
            <w:r w:rsidRPr="00E030F6">
              <w:rPr>
                <w:b/>
                <w:bCs/>
                <w:sz w:val="18"/>
                <w:lang w:val="fr-FR"/>
              </w:rPr>
              <w:t>D’un essai unique à l’autre</w:t>
            </w:r>
          </w:p>
        </w:tc>
        <w:tc>
          <w:tcPr>
            <w:tcW w:w="242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11C20C7"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Effet du vent (microclimat)</w:t>
            </w:r>
          </w:p>
        </w:tc>
        <w:tc>
          <w:tcPr>
            <w:tcW w:w="185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F22252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0,8</w:t>
            </w:r>
          </w:p>
        </w:tc>
        <w:tc>
          <w:tcPr>
            <w:tcW w:w="1192"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BF8C946"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gaussienne</w:t>
            </w:r>
          </w:p>
        </w:tc>
        <w:tc>
          <w:tcPr>
            <w:tcW w:w="85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24E61EE"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0,04</w:t>
            </w:r>
          </w:p>
        </w:tc>
        <w:tc>
          <w:tcPr>
            <w:tcW w:w="82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40F9B03"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0,20</w:t>
            </w:r>
          </w:p>
        </w:tc>
        <w:tc>
          <w:tcPr>
            <w:tcW w:w="889"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5BA9ABB"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1,4</w:t>
            </w:r>
          </w:p>
        </w:tc>
      </w:tr>
      <w:tr w:rsidR="00404419" w:rsidRPr="0022231F" w14:paraId="2AC606B8"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02A3127F" w14:textId="77777777" w:rsidR="005F5BE9" w:rsidRPr="00E030F6" w:rsidRDefault="005F5BE9" w:rsidP="00960792">
            <w:pPr>
              <w:suppressAutoHyphens w:val="0"/>
              <w:spacing w:before="40" w:after="40" w:line="220" w:lineRule="exact"/>
              <w:ind w:left="57" w:right="57"/>
              <w:rPr>
                <w:b/>
                <w:bCs/>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93414"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Écart par rapport au centre de la position de conduite</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FC7FA"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76AB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rectangulaire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66885"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46EF7"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0,14</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1B97F"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0,7</w:t>
            </w:r>
          </w:p>
        </w:tc>
      </w:tr>
      <w:tr w:rsidR="00404419" w:rsidRPr="0022231F" w14:paraId="0273C76B"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09FC828F" w14:textId="77777777" w:rsidR="005F5BE9" w:rsidRPr="00E030F6" w:rsidRDefault="005F5BE9" w:rsidP="00960792">
            <w:pPr>
              <w:suppressAutoHyphens w:val="0"/>
              <w:spacing w:before="40" w:after="40" w:line="220" w:lineRule="exact"/>
              <w:ind w:left="57" w:right="57"/>
              <w:rPr>
                <w:b/>
                <w:bCs/>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66E4"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Variations du bruit ambiant</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D027B"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0,4</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17BA"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rectangulaire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1BC1"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0,01</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8538"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0,12</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8178"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r>
      <w:tr w:rsidR="00404419" w:rsidRPr="0022231F" w14:paraId="093037E8" w14:textId="77777777" w:rsidTr="00E030F6">
        <w:tc>
          <w:tcPr>
            <w:tcW w:w="15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B5F9C9" w14:textId="77777777" w:rsidR="005F5BE9" w:rsidRPr="00E030F6" w:rsidRDefault="005F5BE9" w:rsidP="00960792">
            <w:pPr>
              <w:suppressAutoHyphens w:val="0"/>
              <w:spacing w:before="40" w:after="40" w:line="220" w:lineRule="exact"/>
              <w:ind w:left="57" w:right="57"/>
              <w:rPr>
                <w:b/>
                <w:bCs/>
                <w:sz w:val="18"/>
                <w:lang w:val="fr-FR"/>
              </w:rPr>
            </w:pPr>
            <w:r w:rsidRPr="00E030F6">
              <w:rPr>
                <w:b/>
                <w:bCs/>
                <w:sz w:val="18"/>
                <w:lang w:val="fr-FR"/>
              </w:rPr>
              <w:t>D’un jour à l’autre</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C6A6B"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Incidence de la température résiduelle (après correction pour les catégories C1 et C2)</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B3F8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0,9</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ABEF"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rectangulaire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D400"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0,07</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AFE96"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0,26</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7A43"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2,3</w:t>
            </w:r>
          </w:p>
        </w:tc>
      </w:tr>
      <w:tr w:rsidR="00404419" w:rsidRPr="0022231F" w14:paraId="7B6A4CB3"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9DD7169" w14:textId="77777777" w:rsidR="005F5BE9" w:rsidRPr="00E030F6" w:rsidRDefault="005F5BE9" w:rsidP="00960792">
            <w:pPr>
              <w:suppressAutoHyphens w:val="0"/>
              <w:spacing w:before="40" w:after="40" w:line="220" w:lineRule="exact"/>
              <w:ind w:left="57" w:right="57"/>
              <w:rPr>
                <w:b/>
                <w:bCs/>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4907A"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Contribution des véhicules</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76F29"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2,0</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65BD"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gaussienne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BE870"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0,25</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0F64B"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5A69"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8,5</w:t>
            </w:r>
          </w:p>
        </w:tc>
      </w:tr>
      <w:tr w:rsidR="00404419" w:rsidRPr="0022231F" w14:paraId="3D2BF754"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380D7812" w14:textId="77777777" w:rsidR="005F5BE9" w:rsidRPr="00E030F6" w:rsidRDefault="005F5BE9" w:rsidP="00960792">
            <w:pPr>
              <w:suppressAutoHyphens w:val="0"/>
              <w:spacing w:before="40" w:after="40" w:line="220" w:lineRule="exact"/>
              <w:ind w:left="57" w:right="57"/>
              <w:rPr>
                <w:b/>
                <w:bCs/>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42CEB"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Humidité résiduelle sur le revêtement de la piste d’essai</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C202B"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1,1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E192"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rectangulaire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709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0,10</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8F0F5"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0,32</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AA23"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3,4</w:t>
            </w:r>
          </w:p>
        </w:tc>
      </w:tr>
      <w:tr w:rsidR="00404419" w:rsidRPr="0022231F" w14:paraId="1FBDBA19" w14:textId="77777777" w:rsidTr="00E030F6">
        <w:tc>
          <w:tcPr>
            <w:tcW w:w="15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BC1998" w14:textId="77777777" w:rsidR="005F5BE9" w:rsidRPr="00E030F6" w:rsidRDefault="005F5BE9" w:rsidP="00960792">
            <w:pPr>
              <w:suppressAutoHyphens w:val="0"/>
              <w:spacing w:before="40" w:after="40" w:line="220" w:lineRule="exact"/>
              <w:ind w:left="57" w:right="57"/>
              <w:rPr>
                <w:b/>
                <w:bCs/>
                <w:sz w:val="18"/>
                <w:lang w:val="fr-FR"/>
              </w:rPr>
            </w:pPr>
            <w:r w:rsidRPr="00E030F6">
              <w:rPr>
                <w:b/>
                <w:bCs/>
                <w:sz w:val="18"/>
                <w:lang w:val="fr-FR"/>
              </w:rPr>
              <w:t>D’un site à l’autre</w:t>
            </w: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D261"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Revêtement de la piste d’essai</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9BE3D"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5,4</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EC53"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rectangulaire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EE89"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2,43</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FB6D"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1,56</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4F88"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82,3</w:t>
            </w:r>
          </w:p>
        </w:tc>
      </w:tr>
      <w:tr w:rsidR="00404419" w:rsidRPr="0022231F" w14:paraId="5DD8FEC1"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4C991292" w14:textId="77777777" w:rsidR="005F5BE9" w:rsidRPr="0022231F" w:rsidRDefault="005F5BE9" w:rsidP="00960792">
            <w:pPr>
              <w:suppressAutoHyphens w:val="0"/>
              <w:spacing w:before="40" w:after="40" w:line="220" w:lineRule="exact"/>
              <w:ind w:left="57" w:right="57"/>
              <w:rPr>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3B70"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Microphone de classe 1</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0DB5"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A050"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gaussienne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E272"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310E5"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C0718"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r>
      <w:tr w:rsidR="00404419" w:rsidRPr="0022231F" w14:paraId="06F84020" w14:textId="77777777" w:rsidTr="00E030F6">
        <w:tc>
          <w:tcPr>
            <w:tcW w:w="1596"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68B2268D" w14:textId="77777777" w:rsidR="005F5BE9" w:rsidRPr="0022231F" w:rsidRDefault="005F5BE9" w:rsidP="00960792">
            <w:pPr>
              <w:suppressAutoHyphens w:val="0"/>
              <w:spacing w:before="40" w:after="40" w:line="220" w:lineRule="exact"/>
              <w:ind w:left="57" w:right="57"/>
              <w:rPr>
                <w:sz w:val="18"/>
                <w:lang w:val="fr-FR" w:eastAsia="de-DE"/>
              </w:rPr>
            </w:pPr>
          </w:p>
        </w:tc>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368" w14:textId="0440D568" w:rsidR="005F5BE9" w:rsidRPr="0022231F" w:rsidRDefault="005F5BE9" w:rsidP="00960792">
            <w:pPr>
              <w:suppressAutoHyphens w:val="0"/>
              <w:spacing w:before="40" w:after="40" w:line="220" w:lineRule="exact"/>
              <w:ind w:left="57" w:right="57"/>
              <w:rPr>
                <w:sz w:val="18"/>
                <w:lang w:val="fr-FR"/>
              </w:rPr>
            </w:pPr>
            <w:r w:rsidRPr="0022231F">
              <w:rPr>
                <w:sz w:val="18"/>
                <w:lang w:val="fr-FR"/>
              </w:rPr>
              <w:t xml:space="preserve">Étalonneur acoustique </w:t>
            </w:r>
            <w:r w:rsidR="00E030F6">
              <w:rPr>
                <w:sz w:val="18"/>
                <w:lang w:val="fr-FR"/>
              </w:rPr>
              <w:br/>
            </w:r>
            <w:r w:rsidRPr="0022231F">
              <w:rPr>
                <w:sz w:val="18"/>
                <w:lang w:val="fr-FR"/>
              </w:rPr>
              <w:t>de classe 1</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EAA4"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4F59"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gaussienne</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9E4E5"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0,02</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FDB0"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E9E7"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0,5</w:t>
            </w:r>
          </w:p>
        </w:tc>
      </w:tr>
      <w:tr w:rsidR="00404419" w:rsidRPr="0022231F" w14:paraId="59787DFD" w14:textId="77777777" w:rsidTr="00E030F6">
        <w:tc>
          <w:tcPr>
            <w:tcW w:w="1596" w:type="dxa"/>
            <w:gridSpan w:val="2"/>
            <w:vMerge/>
            <w:tcBorders>
              <w:top w:val="single" w:sz="4" w:space="0" w:color="auto"/>
              <w:left w:val="single" w:sz="4" w:space="0" w:color="auto"/>
              <w:bottom w:val="single" w:sz="12" w:space="0" w:color="auto"/>
              <w:right w:val="single" w:sz="4" w:space="0" w:color="auto"/>
            </w:tcBorders>
            <w:shd w:val="clear" w:color="auto" w:fill="auto"/>
            <w:hideMark/>
          </w:tcPr>
          <w:p w14:paraId="7CC0D31A" w14:textId="77777777" w:rsidR="005F5BE9" w:rsidRPr="0022231F" w:rsidRDefault="005F5BE9" w:rsidP="00960792">
            <w:pPr>
              <w:suppressAutoHyphens w:val="0"/>
              <w:spacing w:before="40" w:after="40" w:line="220" w:lineRule="exact"/>
              <w:ind w:left="57" w:right="57"/>
              <w:rPr>
                <w:sz w:val="18"/>
                <w:lang w:val="fr-FR" w:eastAsia="de-DE"/>
              </w:rPr>
            </w:pPr>
          </w:p>
        </w:tc>
        <w:tc>
          <w:tcPr>
            <w:tcW w:w="242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C6F9797" w14:textId="77777777" w:rsidR="005F5BE9" w:rsidRPr="0022231F" w:rsidRDefault="005F5BE9" w:rsidP="00960792">
            <w:pPr>
              <w:suppressAutoHyphens w:val="0"/>
              <w:spacing w:before="40" w:after="40" w:line="220" w:lineRule="exact"/>
              <w:ind w:left="57" w:right="57"/>
              <w:rPr>
                <w:sz w:val="18"/>
                <w:lang w:val="fr-FR"/>
              </w:rPr>
            </w:pPr>
            <w:r w:rsidRPr="0022231F">
              <w:rPr>
                <w:sz w:val="18"/>
                <w:lang w:val="fr-FR"/>
              </w:rPr>
              <w:t xml:space="preserve">Dispositif de mesure de la vitesse </w:t>
            </w:r>
          </w:p>
        </w:tc>
        <w:tc>
          <w:tcPr>
            <w:tcW w:w="185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0173B2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0,1</w:t>
            </w:r>
          </w:p>
        </w:tc>
        <w:tc>
          <w:tcPr>
            <w:tcW w:w="119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0645CD1F"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gaussienne</w:t>
            </w:r>
          </w:p>
        </w:tc>
        <w:tc>
          <w:tcPr>
            <w:tcW w:w="85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EDAD256"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0,00</w:t>
            </w:r>
          </w:p>
        </w:tc>
        <w:tc>
          <w:tcPr>
            <w:tcW w:w="82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BC4104C"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0,03</w:t>
            </w:r>
          </w:p>
        </w:tc>
        <w:tc>
          <w:tcPr>
            <w:tcW w:w="88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BB21264" w14:textId="77777777" w:rsidR="005F5BE9" w:rsidRPr="0022231F" w:rsidRDefault="005F5BE9" w:rsidP="006C0A4A">
            <w:pPr>
              <w:suppressAutoHyphens w:val="0"/>
              <w:spacing w:before="40" w:after="40" w:line="220" w:lineRule="exact"/>
              <w:ind w:left="57" w:right="57"/>
              <w:jc w:val="center"/>
              <w:rPr>
                <w:sz w:val="18"/>
                <w:lang w:val="fr-FR"/>
              </w:rPr>
            </w:pPr>
            <w:r w:rsidRPr="0022231F">
              <w:rPr>
                <w:sz w:val="18"/>
                <w:lang w:val="fr-FR"/>
              </w:rPr>
              <w:t>0,0</w:t>
            </w:r>
          </w:p>
        </w:tc>
      </w:tr>
      <w:tr w:rsidR="00404419" w:rsidRPr="0022231F" w14:paraId="174AE548" w14:textId="77777777" w:rsidTr="00E030F6">
        <w:tc>
          <w:tcPr>
            <w:tcW w:w="1498" w:type="dxa"/>
            <w:tcBorders>
              <w:top w:val="single" w:sz="12" w:space="0" w:color="auto"/>
            </w:tcBorders>
            <w:shd w:val="clear" w:color="auto" w:fill="auto"/>
            <w:noWrap/>
            <w:hideMark/>
          </w:tcPr>
          <w:p w14:paraId="7E862FD1" w14:textId="77777777" w:rsidR="005F5BE9" w:rsidRPr="0022231F" w:rsidRDefault="005F5BE9" w:rsidP="00960792">
            <w:pPr>
              <w:suppressAutoHyphens w:val="0"/>
              <w:spacing w:before="40" w:after="40" w:line="220" w:lineRule="exact"/>
              <w:ind w:left="57" w:right="57"/>
              <w:rPr>
                <w:sz w:val="18"/>
                <w:lang w:val="fr-FR" w:eastAsia="de-DE"/>
              </w:rPr>
            </w:pPr>
          </w:p>
        </w:tc>
        <w:tc>
          <w:tcPr>
            <w:tcW w:w="2520" w:type="dxa"/>
            <w:gridSpan w:val="2"/>
            <w:tcBorders>
              <w:top w:val="single" w:sz="12" w:space="0" w:color="auto"/>
            </w:tcBorders>
            <w:shd w:val="clear" w:color="auto" w:fill="auto"/>
            <w:noWrap/>
            <w:vAlign w:val="bottom"/>
            <w:hideMark/>
          </w:tcPr>
          <w:p w14:paraId="7CE56E1E" w14:textId="77777777" w:rsidR="005F5BE9" w:rsidRPr="0022231F" w:rsidRDefault="005F5BE9" w:rsidP="00960792">
            <w:pPr>
              <w:suppressAutoHyphens w:val="0"/>
              <w:spacing w:before="40" w:after="40" w:line="220" w:lineRule="exact"/>
              <w:ind w:left="57" w:right="57"/>
              <w:rPr>
                <w:sz w:val="18"/>
                <w:lang w:val="fr-FR" w:eastAsia="de-DE"/>
              </w:rPr>
            </w:pPr>
          </w:p>
        </w:tc>
        <w:tc>
          <w:tcPr>
            <w:tcW w:w="1853" w:type="dxa"/>
            <w:tcBorders>
              <w:top w:val="single" w:sz="12" w:space="0" w:color="auto"/>
              <w:right w:val="single" w:sz="12" w:space="0" w:color="auto"/>
            </w:tcBorders>
            <w:shd w:val="clear" w:color="auto" w:fill="auto"/>
            <w:noWrap/>
            <w:vAlign w:val="bottom"/>
            <w:hideMark/>
          </w:tcPr>
          <w:p w14:paraId="08BE6538" w14:textId="77777777" w:rsidR="005F5BE9" w:rsidRPr="0022231F" w:rsidRDefault="005F5BE9" w:rsidP="00960792">
            <w:pPr>
              <w:suppressAutoHyphens w:val="0"/>
              <w:spacing w:before="40" w:after="40" w:line="220" w:lineRule="exact"/>
              <w:ind w:left="57" w:right="57"/>
              <w:jc w:val="right"/>
              <w:rPr>
                <w:sz w:val="18"/>
                <w:lang w:val="fr-FR" w:eastAsia="de-DE"/>
              </w:rPr>
            </w:pPr>
          </w:p>
        </w:tc>
        <w:tc>
          <w:tcPr>
            <w:tcW w:w="11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3DD39D" w14:textId="77777777" w:rsidR="005F5BE9" w:rsidRPr="0022231F" w:rsidRDefault="005F5BE9" w:rsidP="00F97EEF">
            <w:pPr>
              <w:suppressAutoHyphens w:val="0"/>
              <w:spacing w:before="40" w:after="40" w:line="220" w:lineRule="exact"/>
              <w:ind w:left="57" w:right="57"/>
              <w:jc w:val="center"/>
              <w:rPr>
                <w:sz w:val="18"/>
                <w:lang w:val="fr-FR"/>
              </w:rPr>
            </w:pPr>
            <w:r w:rsidRPr="0022231F">
              <w:rPr>
                <w:sz w:val="18"/>
                <w:lang w:val="fr-FR"/>
              </w:rPr>
              <w:t>Total</w:t>
            </w:r>
          </w:p>
        </w:tc>
        <w:tc>
          <w:tcPr>
            <w:tcW w:w="85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DEBDF56" w14:textId="77777777" w:rsidR="005F5BE9" w:rsidRPr="0022231F" w:rsidRDefault="005F5BE9" w:rsidP="004E5C88">
            <w:pPr>
              <w:suppressAutoHyphens w:val="0"/>
              <w:spacing w:before="40" w:after="40" w:line="220" w:lineRule="exact"/>
              <w:ind w:left="57" w:right="57"/>
              <w:jc w:val="center"/>
              <w:rPr>
                <w:sz w:val="18"/>
                <w:lang w:val="fr-FR"/>
              </w:rPr>
            </w:pPr>
            <w:r w:rsidRPr="0022231F">
              <w:rPr>
                <w:sz w:val="18"/>
                <w:lang w:val="fr-FR"/>
              </w:rPr>
              <w:t>2,95</w:t>
            </w:r>
          </w:p>
        </w:tc>
        <w:tc>
          <w:tcPr>
            <w:tcW w:w="827" w:type="dxa"/>
            <w:tcBorders>
              <w:top w:val="single" w:sz="12" w:space="0" w:color="auto"/>
              <w:left w:val="single" w:sz="12" w:space="0" w:color="auto"/>
              <w:right w:val="single" w:sz="12" w:space="0" w:color="auto"/>
            </w:tcBorders>
            <w:shd w:val="clear" w:color="auto" w:fill="auto"/>
            <w:noWrap/>
            <w:vAlign w:val="bottom"/>
            <w:hideMark/>
          </w:tcPr>
          <w:p w14:paraId="3CE3D403" w14:textId="77777777" w:rsidR="005F5BE9" w:rsidRPr="0022231F" w:rsidRDefault="005F5BE9" w:rsidP="00960792">
            <w:pPr>
              <w:suppressAutoHyphens w:val="0"/>
              <w:spacing w:before="40" w:after="40" w:line="220" w:lineRule="exact"/>
              <w:ind w:left="57" w:right="57"/>
              <w:jc w:val="right"/>
              <w:rPr>
                <w:sz w:val="18"/>
                <w:lang w:val="fr-FR" w:eastAsia="de-DE"/>
              </w:rPr>
            </w:pPr>
          </w:p>
        </w:tc>
        <w:tc>
          <w:tcPr>
            <w:tcW w:w="8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4954E7" w14:textId="77777777" w:rsidR="005F5BE9" w:rsidRPr="0022231F" w:rsidRDefault="005F5BE9" w:rsidP="004E5C88">
            <w:pPr>
              <w:suppressAutoHyphens w:val="0"/>
              <w:spacing w:before="40" w:after="40" w:line="220" w:lineRule="exact"/>
              <w:ind w:left="57" w:right="57"/>
              <w:jc w:val="center"/>
              <w:rPr>
                <w:sz w:val="18"/>
                <w:lang w:val="fr-FR"/>
              </w:rPr>
            </w:pPr>
            <w:r w:rsidRPr="0022231F">
              <w:rPr>
                <w:sz w:val="18"/>
                <w:lang w:val="fr-FR"/>
              </w:rPr>
              <w:t>100,0</w:t>
            </w:r>
          </w:p>
        </w:tc>
      </w:tr>
    </w:tbl>
    <w:p w14:paraId="5DC624E6" w14:textId="15827894" w:rsidR="007B0ABC" w:rsidRDefault="007B0ABC" w:rsidP="007B0ABC">
      <w:pPr>
        <w:suppressAutoHyphens w:val="0"/>
        <w:spacing w:before="40" w:after="40" w:line="220" w:lineRule="exact"/>
        <w:ind w:left="57" w:right="57"/>
        <w:rPr>
          <w:sz w:val="18"/>
          <w:szCs w:val="18"/>
          <w:lang w:val="fr-FR" w:eastAsia="de-DE"/>
        </w:rPr>
      </w:pPr>
    </w:p>
    <w:tbl>
      <w:tblPr>
        <w:tblStyle w:val="Grilledutableau"/>
        <w:tblW w:w="5529" w:type="dxa"/>
        <w:tblInd w:w="4111" w:type="dxa"/>
        <w:tblLook w:val="04A0" w:firstRow="1" w:lastRow="0" w:firstColumn="1" w:lastColumn="0" w:noHBand="0" w:noVBand="1"/>
      </w:tblPr>
      <w:tblGrid>
        <w:gridCol w:w="1833"/>
        <w:gridCol w:w="2002"/>
        <w:gridCol w:w="1694"/>
      </w:tblGrid>
      <w:tr w:rsidR="00234FFD" w14:paraId="1D3DBDBB" w14:textId="77777777" w:rsidTr="00B75992">
        <w:tc>
          <w:tcPr>
            <w:tcW w:w="1833" w:type="dxa"/>
            <w:tcBorders>
              <w:bottom w:val="single" w:sz="4" w:space="0" w:color="auto"/>
            </w:tcBorders>
            <w:vAlign w:val="center"/>
          </w:tcPr>
          <w:p w14:paraId="4AB7F905" w14:textId="13B83351" w:rsidR="00234FFD" w:rsidRDefault="00234FFD" w:rsidP="00B75992">
            <w:pPr>
              <w:spacing w:before="60" w:after="60" w:line="240" w:lineRule="auto"/>
              <w:ind w:right="28"/>
              <w:jc w:val="center"/>
              <w:rPr>
                <w:sz w:val="16"/>
                <w:szCs w:val="16"/>
                <w:lang w:val="fr-FR" w:eastAsia="de-DE"/>
              </w:rPr>
            </w:pPr>
            <w:r>
              <w:rPr>
                <w:b/>
                <w:bCs/>
                <w:sz w:val="16"/>
                <w:szCs w:val="16"/>
                <w:lang w:val="fr-FR"/>
              </w:rPr>
              <w:t>Facteur d’élargissement</w:t>
            </w:r>
          </w:p>
        </w:tc>
        <w:tc>
          <w:tcPr>
            <w:tcW w:w="2002" w:type="dxa"/>
            <w:tcBorders>
              <w:bottom w:val="single" w:sz="4" w:space="0" w:color="auto"/>
            </w:tcBorders>
            <w:shd w:val="clear" w:color="auto" w:fill="D9D9D9" w:themeFill="background1" w:themeFillShade="D9"/>
          </w:tcPr>
          <w:p w14:paraId="0ED910E8" w14:textId="1E1DE1EE" w:rsidR="00234FFD" w:rsidRDefault="00234FFD" w:rsidP="008B7F71">
            <w:pPr>
              <w:spacing w:before="60" w:after="60" w:line="240" w:lineRule="auto"/>
              <w:ind w:right="28"/>
              <w:jc w:val="center"/>
              <w:rPr>
                <w:sz w:val="16"/>
                <w:szCs w:val="16"/>
                <w:lang w:val="fr-FR" w:eastAsia="de-DE"/>
              </w:rPr>
            </w:pPr>
            <w:r w:rsidRPr="000E6C17">
              <w:rPr>
                <w:b/>
                <w:bCs/>
                <w:sz w:val="16"/>
                <w:szCs w:val="16"/>
                <w:lang w:val="fr-FR"/>
              </w:rPr>
              <w:t xml:space="preserve">Incertitude élargie </w:t>
            </w:r>
            <w:r>
              <w:rPr>
                <w:b/>
                <w:bCs/>
                <w:sz w:val="16"/>
                <w:szCs w:val="16"/>
                <w:lang w:val="fr-FR"/>
              </w:rPr>
              <w:br/>
            </w:r>
            <w:r>
              <w:rPr>
                <w:b/>
                <w:bCs/>
                <w:sz w:val="16"/>
                <w:szCs w:val="16"/>
                <w:lang w:val="fr-FR"/>
              </w:rPr>
              <w:t>globale</w:t>
            </w:r>
            <w:r w:rsidRPr="000E6C17">
              <w:rPr>
                <w:b/>
                <w:bCs/>
                <w:sz w:val="16"/>
                <w:szCs w:val="16"/>
                <w:lang w:val="fr-FR"/>
              </w:rPr>
              <w:t xml:space="preserve"> +/-</w:t>
            </w:r>
          </w:p>
        </w:tc>
        <w:tc>
          <w:tcPr>
            <w:tcW w:w="1694" w:type="dxa"/>
            <w:tcBorders>
              <w:bottom w:val="single" w:sz="4" w:space="0" w:color="auto"/>
            </w:tcBorders>
            <w:shd w:val="clear" w:color="auto" w:fill="D9D9D9" w:themeFill="background1" w:themeFillShade="D9"/>
          </w:tcPr>
          <w:p w14:paraId="61AB7F80" w14:textId="7B4FCDB6" w:rsidR="00234FFD" w:rsidRPr="00B75992" w:rsidRDefault="008C59AF" w:rsidP="008B7F71">
            <w:pPr>
              <w:spacing w:before="60" w:after="60" w:line="240" w:lineRule="auto"/>
              <w:ind w:right="28"/>
              <w:jc w:val="center"/>
              <w:rPr>
                <w:b/>
                <w:bCs/>
                <w:sz w:val="16"/>
                <w:szCs w:val="16"/>
                <w:lang w:val="fr-FR" w:eastAsia="de-DE"/>
              </w:rPr>
            </w:pPr>
            <w:r w:rsidRPr="00B75992">
              <w:rPr>
                <w:b/>
                <w:bCs/>
                <w:sz w:val="16"/>
                <w:szCs w:val="16"/>
                <w:lang w:val="fr-FR"/>
              </w:rPr>
              <w:t>Incertitude élargie (95 %) +/-</w:t>
            </w:r>
          </w:p>
        </w:tc>
      </w:tr>
      <w:tr w:rsidR="00234FFD" w14:paraId="7B4C27C7" w14:textId="77777777" w:rsidTr="008C59AF">
        <w:tc>
          <w:tcPr>
            <w:tcW w:w="1833" w:type="dxa"/>
            <w:shd w:val="clear" w:color="auto" w:fill="FFFFFF" w:themeFill="background1"/>
          </w:tcPr>
          <w:p w14:paraId="64A47B49" w14:textId="436C7654" w:rsidR="00234FFD" w:rsidRPr="00D145E9" w:rsidRDefault="00234FFD" w:rsidP="00EC7971">
            <w:pPr>
              <w:spacing w:before="60" w:after="60" w:line="240" w:lineRule="auto"/>
              <w:ind w:left="-133"/>
              <w:jc w:val="center"/>
              <w:rPr>
                <w:color w:val="FFFFFF" w:themeColor="background1"/>
                <w:sz w:val="16"/>
                <w:szCs w:val="16"/>
                <w:lang w:val="fr-FR" w:eastAsia="de-DE"/>
              </w:rPr>
            </w:pPr>
            <w:r w:rsidRPr="00D145E9">
              <w:rPr>
                <w:b/>
                <w:bCs/>
                <w:color w:val="FFFFFF" w:themeColor="background1"/>
                <w:sz w:val="16"/>
                <w:szCs w:val="16"/>
                <w:lang w:val="fr-FR"/>
              </w:rPr>
              <w:t>1,</w:t>
            </w:r>
            <w:r w:rsidRPr="00B75992">
              <w:rPr>
                <w:b/>
                <w:bCs/>
                <w:color w:val="FFFFFF" w:themeColor="background1"/>
                <w:sz w:val="16"/>
                <w:szCs w:val="16"/>
                <w:lang w:val="fr-FR"/>
              </w:rPr>
              <w:t>02</w:t>
            </w:r>
            <w:r w:rsidRPr="00B75992">
              <w:rPr>
                <w:b/>
                <w:bCs/>
                <w:sz w:val="18"/>
                <w:szCs w:val="18"/>
                <w:lang w:val="fr-FR"/>
              </w:rPr>
              <w:t>k=2</w:t>
            </w:r>
            <w:r w:rsidRPr="0022231F">
              <w:rPr>
                <w:sz w:val="18"/>
                <w:szCs w:val="18"/>
                <w:lang w:val="fr-FR"/>
              </w:rPr>
              <w:t xml:space="preserve"> (95 %)</w:t>
            </w:r>
          </w:p>
        </w:tc>
        <w:tc>
          <w:tcPr>
            <w:tcW w:w="2002" w:type="dxa"/>
            <w:shd w:val="clear" w:color="auto" w:fill="000000" w:themeFill="text1"/>
          </w:tcPr>
          <w:p w14:paraId="151A7CE2" w14:textId="49144ECC" w:rsidR="00234FFD" w:rsidRPr="00D145E9" w:rsidRDefault="00234FFD" w:rsidP="008B7F71">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1,72</w:t>
            </w:r>
          </w:p>
        </w:tc>
        <w:tc>
          <w:tcPr>
            <w:tcW w:w="1694" w:type="dxa"/>
            <w:shd w:val="clear" w:color="auto" w:fill="000000" w:themeFill="text1"/>
          </w:tcPr>
          <w:p w14:paraId="09C832F9" w14:textId="238E9B33" w:rsidR="00234FFD" w:rsidRPr="00D145E9" w:rsidRDefault="008C59AF" w:rsidP="008B7F71">
            <w:pPr>
              <w:spacing w:before="60" w:after="60" w:line="240" w:lineRule="auto"/>
              <w:ind w:right="28"/>
              <w:jc w:val="center"/>
              <w:rPr>
                <w:color w:val="FFFFFF" w:themeColor="background1"/>
                <w:sz w:val="16"/>
                <w:szCs w:val="16"/>
                <w:lang w:val="fr-FR" w:eastAsia="de-DE"/>
              </w:rPr>
            </w:pPr>
            <w:r>
              <w:rPr>
                <w:b/>
                <w:bCs/>
                <w:color w:val="FFFFFF" w:themeColor="background1"/>
                <w:sz w:val="16"/>
                <w:szCs w:val="16"/>
                <w:lang w:val="fr-FR"/>
              </w:rPr>
              <w:t>3,44</w:t>
            </w:r>
          </w:p>
        </w:tc>
      </w:tr>
    </w:tbl>
    <w:p w14:paraId="05A27837" w14:textId="30E4B311" w:rsidR="005F5BE9" w:rsidRPr="00DC7C60" w:rsidRDefault="008C59AF" w:rsidP="008C59AF">
      <w:pPr>
        <w:pStyle w:val="H1G"/>
        <w:rPr>
          <w:szCs w:val="24"/>
          <w:lang w:val="fr-FR"/>
        </w:rPr>
      </w:pPr>
      <w:r>
        <w:rPr>
          <w:szCs w:val="24"/>
          <w:lang w:val="fr-FR"/>
        </w:rPr>
        <w:tab/>
      </w:r>
      <w:r w:rsidR="005F5BE9" w:rsidRPr="00DC7C60">
        <w:rPr>
          <w:szCs w:val="24"/>
          <w:lang w:val="fr-FR"/>
        </w:rPr>
        <w:t>16.</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124</w:t>
      </w:r>
    </w:p>
    <w:p w14:paraId="44EA8F27" w14:textId="3E815327" w:rsidR="005F5BE9" w:rsidRPr="00DC7C60" w:rsidRDefault="006F7CEF" w:rsidP="00B75992">
      <w:pPr>
        <w:pStyle w:val="SingleTxtG"/>
        <w:rPr>
          <w:lang w:val="fr-FR"/>
        </w:rPr>
      </w:pPr>
      <w:r>
        <w:rPr>
          <w:lang w:val="fr-FR"/>
        </w:rPr>
        <w:t>(Réservé)</w:t>
      </w:r>
    </w:p>
    <w:p w14:paraId="75829558" w14:textId="50B66E37" w:rsidR="005F5BE9" w:rsidRPr="00DC7C60" w:rsidRDefault="008C59AF" w:rsidP="008C59AF">
      <w:pPr>
        <w:pStyle w:val="H1G"/>
        <w:rPr>
          <w:szCs w:val="24"/>
          <w:lang w:val="fr-FR"/>
        </w:rPr>
      </w:pPr>
      <w:r>
        <w:rPr>
          <w:szCs w:val="24"/>
          <w:lang w:val="fr-FR"/>
        </w:rPr>
        <w:lastRenderedPageBreak/>
        <w:tab/>
      </w:r>
      <w:r w:rsidR="005F5BE9" w:rsidRPr="00DC7C60">
        <w:rPr>
          <w:szCs w:val="24"/>
          <w:lang w:val="fr-FR"/>
        </w:rPr>
        <w:t>17.</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138</w:t>
      </w:r>
    </w:p>
    <w:p w14:paraId="34F613DE" w14:textId="30F86034" w:rsidR="00B75992" w:rsidRPr="00DC7C60" w:rsidRDefault="006F7CEF" w:rsidP="00B75992">
      <w:pPr>
        <w:pStyle w:val="SingleTxtG"/>
        <w:rPr>
          <w:lang w:val="fr-FR"/>
        </w:rPr>
      </w:pPr>
      <w:r>
        <w:rPr>
          <w:lang w:val="fr-FR"/>
        </w:rPr>
        <w:t>(Réservé)</w:t>
      </w:r>
    </w:p>
    <w:p w14:paraId="2C3C225F" w14:textId="4E84D7DF" w:rsidR="005F5BE9" w:rsidRPr="00DC7C60" w:rsidRDefault="00EC4E49" w:rsidP="00B75992">
      <w:pPr>
        <w:pStyle w:val="H1G"/>
        <w:rPr>
          <w:szCs w:val="24"/>
          <w:lang w:val="fr-FR"/>
        </w:rPr>
      </w:pPr>
      <w:r>
        <w:rPr>
          <w:szCs w:val="24"/>
          <w:lang w:val="fr-FR"/>
        </w:rPr>
        <w:tab/>
      </w:r>
      <w:r w:rsidR="005F5BE9" w:rsidRPr="00DC7C60">
        <w:rPr>
          <w:szCs w:val="24"/>
          <w:lang w:val="fr-FR"/>
        </w:rPr>
        <w:t>18.</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141</w:t>
      </w:r>
    </w:p>
    <w:p w14:paraId="537B1C36" w14:textId="71B91B91" w:rsidR="00B75992" w:rsidRPr="00DC7C60" w:rsidRDefault="006F7CEF" w:rsidP="00B75992">
      <w:pPr>
        <w:pStyle w:val="SingleTxtG"/>
        <w:rPr>
          <w:lang w:val="fr-FR"/>
        </w:rPr>
      </w:pPr>
      <w:r>
        <w:rPr>
          <w:lang w:val="fr-FR"/>
        </w:rPr>
        <w:t>(Réservé)</w:t>
      </w:r>
    </w:p>
    <w:p w14:paraId="76976919" w14:textId="595A5F66" w:rsidR="005F5BE9" w:rsidRPr="00DC7C60" w:rsidRDefault="00EC4E49" w:rsidP="00B75992">
      <w:pPr>
        <w:pStyle w:val="H1G"/>
        <w:rPr>
          <w:szCs w:val="24"/>
          <w:lang w:val="fr-FR"/>
        </w:rPr>
      </w:pPr>
      <w:r>
        <w:rPr>
          <w:szCs w:val="24"/>
          <w:lang w:val="fr-FR"/>
        </w:rPr>
        <w:tab/>
      </w:r>
      <w:r w:rsidR="005F5BE9" w:rsidRPr="00DC7C60">
        <w:rPr>
          <w:szCs w:val="24"/>
          <w:lang w:val="fr-FR"/>
        </w:rPr>
        <w:t>19.</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142</w:t>
      </w:r>
    </w:p>
    <w:p w14:paraId="70DFC450" w14:textId="33B670A1" w:rsidR="00B75992" w:rsidRPr="00DC7C60" w:rsidRDefault="006F7CEF" w:rsidP="00B75992">
      <w:pPr>
        <w:pStyle w:val="SingleTxtG"/>
        <w:rPr>
          <w:lang w:val="fr-FR"/>
        </w:rPr>
      </w:pPr>
      <w:r>
        <w:rPr>
          <w:lang w:val="fr-FR"/>
        </w:rPr>
        <w:t>(Réservé)</w:t>
      </w:r>
    </w:p>
    <w:p w14:paraId="2860BCAE" w14:textId="7B0AC0A4" w:rsidR="005F5BE9" w:rsidRPr="00DC7C60" w:rsidRDefault="00EC4E49" w:rsidP="00B75992">
      <w:pPr>
        <w:pStyle w:val="H1G"/>
        <w:rPr>
          <w:szCs w:val="24"/>
          <w:lang w:val="fr-FR"/>
        </w:rPr>
      </w:pPr>
      <w:r>
        <w:rPr>
          <w:szCs w:val="24"/>
          <w:lang w:val="fr-FR"/>
        </w:rPr>
        <w:tab/>
      </w:r>
      <w:r w:rsidR="005F5BE9" w:rsidRPr="00DC7C60">
        <w:rPr>
          <w:szCs w:val="24"/>
          <w:lang w:val="fr-FR"/>
        </w:rPr>
        <w:t>20.</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164</w:t>
      </w:r>
    </w:p>
    <w:p w14:paraId="3A51D832" w14:textId="4CDD695B" w:rsidR="00B75992" w:rsidRPr="00DC7C60" w:rsidRDefault="006F7CEF" w:rsidP="00B75992">
      <w:pPr>
        <w:pStyle w:val="SingleTxtG"/>
        <w:rPr>
          <w:lang w:val="fr-FR"/>
        </w:rPr>
      </w:pPr>
      <w:r>
        <w:rPr>
          <w:lang w:val="fr-FR"/>
        </w:rPr>
        <w:t>(Réservé)</w:t>
      </w:r>
    </w:p>
    <w:p w14:paraId="1FEA32E0" w14:textId="668D45B1" w:rsidR="005F5BE9" w:rsidRPr="00DC7C60" w:rsidRDefault="00EC4E49" w:rsidP="00B75992">
      <w:pPr>
        <w:pStyle w:val="H1G"/>
        <w:rPr>
          <w:szCs w:val="24"/>
          <w:lang w:val="fr-FR"/>
        </w:rPr>
      </w:pPr>
      <w:r>
        <w:rPr>
          <w:szCs w:val="24"/>
          <w:lang w:val="fr-FR"/>
        </w:rPr>
        <w:tab/>
      </w:r>
      <w:r w:rsidR="005F5BE9" w:rsidRPr="00DC7C60">
        <w:rPr>
          <w:szCs w:val="24"/>
          <w:lang w:val="fr-FR"/>
        </w:rPr>
        <w:t>21.</w:t>
      </w:r>
      <w:r w:rsidR="005F5BE9" w:rsidRPr="00DC7C60">
        <w:rPr>
          <w:szCs w:val="24"/>
          <w:lang w:val="fr-FR"/>
        </w:rPr>
        <w:tab/>
      </w:r>
      <w:r w:rsidR="005F5BE9" w:rsidRPr="00DC7C60">
        <w:rPr>
          <w:lang w:val="fr-FR"/>
        </w:rPr>
        <w:t xml:space="preserve">Règlement ONU </w:t>
      </w:r>
      <w:r w:rsidR="005F5BE9" w:rsidRPr="00DC7C60">
        <w:rPr>
          <w:rFonts w:eastAsia="MS Mincho"/>
          <w:lang w:val="fr-FR"/>
        </w:rPr>
        <w:t>n</w:t>
      </w:r>
      <w:r w:rsidR="005F5BE9" w:rsidRPr="00DC7C60">
        <w:rPr>
          <w:rFonts w:eastAsia="MS Mincho"/>
          <w:vertAlign w:val="superscript"/>
          <w:lang w:val="fr-FR"/>
        </w:rPr>
        <w:t>o</w:t>
      </w:r>
      <w:r w:rsidR="005F5BE9" w:rsidRPr="00DC7C60">
        <w:rPr>
          <w:lang w:val="fr-FR"/>
        </w:rPr>
        <w:t> 165</w:t>
      </w:r>
    </w:p>
    <w:p w14:paraId="1CF698BC" w14:textId="08E08E40" w:rsidR="006C3F9D" w:rsidRPr="00DC7C60" w:rsidRDefault="006F7CEF" w:rsidP="006C3F9D">
      <w:pPr>
        <w:pStyle w:val="SingleTxtG"/>
        <w:rPr>
          <w:lang w:val="fr-FR"/>
        </w:rPr>
      </w:pPr>
      <w:r>
        <w:rPr>
          <w:lang w:val="fr-FR"/>
        </w:rPr>
        <w:t>(Réservé)</w:t>
      </w:r>
    </w:p>
    <w:p w14:paraId="1968B239" w14:textId="267A7ACA" w:rsidR="005F5BE9" w:rsidRPr="00DC7C60" w:rsidRDefault="005F5BE9" w:rsidP="005F5BE9">
      <w:pPr>
        <w:pStyle w:val="SingleTxtG"/>
        <w:spacing w:before="240" w:after="0"/>
        <w:jc w:val="center"/>
        <w:rPr>
          <w:u w:val="single"/>
        </w:rPr>
      </w:pPr>
      <w:r w:rsidRPr="00DC7C60">
        <w:rPr>
          <w:u w:val="single"/>
        </w:rPr>
        <w:tab/>
      </w:r>
      <w:r w:rsidRPr="00DC7C60">
        <w:rPr>
          <w:u w:val="single"/>
        </w:rPr>
        <w:tab/>
      </w:r>
      <w:r w:rsidRPr="00DC7C60">
        <w:rPr>
          <w:u w:val="single"/>
        </w:rPr>
        <w:tab/>
      </w:r>
      <w:r w:rsidRPr="00DC7C60">
        <w:rPr>
          <w:u w:val="single"/>
        </w:rPr>
        <w:tab/>
      </w:r>
    </w:p>
    <w:sectPr w:rsidR="005F5BE9" w:rsidRPr="00DC7C60" w:rsidSect="000542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C554" w14:textId="77777777" w:rsidR="0078484A" w:rsidRDefault="0078484A" w:rsidP="00F95C08">
      <w:pPr>
        <w:spacing w:line="240" w:lineRule="auto"/>
      </w:pPr>
    </w:p>
  </w:endnote>
  <w:endnote w:type="continuationSeparator" w:id="0">
    <w:p w14:paraId="1BA1DD00" w14:textId="77777777" w:rsidR="0078484A" w:rsidRPr="00AC3823" w:rsidRDefault="0078484A" w:rsidP="00AC3823">
      <w:pPr>
        <w:pStyle w:val="Pieddepage"/>
      </w:pPr>
    </w:p>
  </w:endnote>
  <w:endnote w:type="continuationNotice" w:id="1">
    <w:p w14:paraId="6979045D" w14:textId="77777777" w:rsidR="0078484A" w:rsidRDefault="007848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45C" w14:textId="1813D76D" w:rsidR="000542BC" w:rsidRPr="000542BC" w:rsidRDefault="000542BC" w:rsidP="000542BC">
    <w:pPr>
      <w:pStyle w:val="Pieddepage"/>
      <w:tabs>
        <w:tab w:val="right" w:pos="9638"/>
      </w:tabs>
    </w:pPr>
    <w:r w:rsidRPr="000542BC">
      <w:rPr>
        <w:b/>
        <w:sz w:val="18"/>
      </w:rPr>
      <w:fldChar w:fldCharType="begin"/>
    </w:r>
    <w:r w:rsidRPr="000542BC">
      <w:rPr>
        <w:b/>
        <w:sz w:val="18"/>
      </w:rPr>
      <w:instrText xml:space="preserve"> PAGE  \* MERGEFORMAT </w:instrText>
    </w:r>
    <w:r w:rsidRPr="000542BC">
      <w:rPr>
        <w:b/>
        <w:sz w:val="18"/>
      </w:rPr>
      <w:fldChar w:fldCharType="separate"/>
    </w:r>
    <w:r w:rsidRPr="000542BC">
      <w:rPr>
        <w:b/>
        <w:noProof/>
        <w:sz w:val="18"/>
      </w:rPr>
      <w:t>2</w:t>
    </w:r>
    <w:r w:rsidRPr="000542BC">
      <w:rPr>
        <w:b/>
        <w:sz w:val="18"/>
      </w:rPr>
      <w:fldChar w:fldCharType="end"/>
    </w:r>
    <w:r>
      <w:rPr>
        <w:b/>
        <w:sz w:val="18"/>
      </w:rPr>
      <w:tab/>
    </w:r>
    <w:r>
      <w:t>GE.23-23249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866B" w14:textId="5DA53EDB" w:rsidR="000542BC" w:rsidRPr="000542BC" w:rsidRDefault="000542BC" w:rsidP="000542BC">
    <w:pPr>
      <w:pStyle w:val="Pieddepage"/>
      <w:tabs>
        <w:tab w:val="right" w:pos="9638"/>
      </w:tabs>
      <w:rPr>
        <w:b/>
        <w:sz w:val="18"/>
      </w:rPr>
    </w:pPr>
    <w:r>
      <w:t>GE.23-23249</w:t>
    </w:r>
    <w:r>
      <w:tab/>
    </w:r>
    <w:r w:rsidRPr="000542BC">
      <w:rPr>
        <w:b/>
        <w:sz w:val="18"/>
      </w:rPr>
      <w:fldChar w:fldCharType="begin"/>
    </w:r>
    <w:r w:rsidRPr="000542BC">
      <w:rPr>
        <w:b/>
        <w:sz w:val="18"/>
      </w:rPr>
      <w:instrText xml:space="preserve"> PAGE  \* MERGEFORMAT </w:instrText>
    </w:r>
    <w:r w:rsidRPr="000542BC">
      <w:rPr>
        <w:b/>
        <w:sz w:val="18"/>
      </w:rPr>
      <w:fldChar w:fldCharType="separate"/>
    </w:r>
    <w:r w:rsidRPr="000542BC">
      <w:rPr>
        <w:b/>
        <w:noProof/>
        <w:sz w:val="18"/>
      </w:rPr>
      <w:t>3</w:t>
    </w:r>
    <w:r w:rsidRPr="000542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EEB4" w14:textId="7C0333DC" w:rsidR="007F20FA" w:rsidRPr="000542BC" w:rsidRDefault="000542BC" w:rsidP="000542B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D2F851" wp14:editId="44DA9C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23-23249  (F)</w:t>
    </w:r>
    <w:r>
      <w:rPr>
        <w:noProof/>
        <w:sz w:val="20"/>
      </w:rPr>
      <w:drawing>
        <wp:anchor distT="0" distB="0" distL="114300" distR="114300" simplePos="0" relativeHeight="251660288" behindDoc="0" locked="0" layoutInCell="1" allowOverlap="1" wp14:anchorId="7B078121" wp14:editId="54203F7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071223    </w:t>
    </w:r>
    <w:r w:rsidR="00161E19">
      <w:rPr>
        <w:sz w:val="20"/>
      </w:rPr>
      <w:t>081223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F2C7" w14:textId="77777777" w:rsidR="0078484A" w:rsidRPr="00AC3823" w:rsidRDefault="0078484A" w:rsidP="00AC3823">
      <w:pPr>
        <w:pStyle w:val="Pieddepage"/>
        <w:tabs>
          <w:tab w:val="right" w:pos="2155"/>
        </w:tabs>
        <w:spacing w:after="80" w:line="240" w:lineRule="atLeast"/>
        <w:ind w:left="680"/>
        <w:rPr>
          <w:u w:val="single"/>
        </w:rPr>
      </w:pPr>
      <w:r>
        <w:rPr>
          <w:u w:val="single"/>
        </w:rPr>
        <w:tab/>
      </w:r>
    </w:p>
  </w:footnote>
  <w:footnote w:type="continuationSeparator" w:id="0">
    <w:p w14:paraId="25F5F0D2" w14:textId="77777777" w:rsidR="0078484A" w:rsidRPr="00AC3823" w:rsidRDefault="0078484A" w:rsidP="00AC3823">
      <w:pPr>
        <w:pStyle w:val="Pieddepage"/>
        <w:tabs>
          <w:tab w:val="right" w:pos="2155"/>
        </w:tabs>
        <w:spacing w:after="80" w:line="240" w:lineRule="atLeast"/>
        <w:ind w:left="680"/>
        <w:rPr>
          <w:u w:val="single"/>
        </w:rPr>
      </w:pPr>
      <w:r>
        <w:rPr>
          <w:u w:val="single"/>
        </w:rPr>
        <w:tab/>
      </w:r>
    </w:p>
  </w:footnote>
  <w:footnote w:type="continuationNotice" w:id="1">
    <w:p w14:paraId="7A962C37" w14:textId="77777777" w:rsidR="0078484A" w:rsidRPr="00AC3823" w:rsidRDefault="0078484A">
      <w:pPr>
        <w:spacing w:line="240" w:lineRule="auto"/>
        <w:rPr>
          <w:sz w:val="2"/>
          <w:szCs w:val="2"/>
        </w:rPr>
      </w:pPr>
    </w:p>
  </w:footnote>
  <w:footnote w:id="2">
    <w:p w14:paraId="1DBCC8E9" w14:textId="48E4B1B4" w:rsidR="005F5BE9" w:rsidRDefault="005F5BE9" w:rsidP="005F5BE9">
      <w:pPr>
        <w:pStyle w:val="Notedebasdepage"/>
        <w:rPr>
          <w:lang w:val="fr-FR"/>
        </w:rPr>
      </w:pPr>
      <w:r>
        <w:rPr>
          <w:lang w:val="fr-FR"/>
        </w:rPr>
        <w:tab/>
      </w:r>
      <w:r w:rsidRPr="00DC7C60">
        <w:rPr>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p w14:paraId="08820FE6" w14:textId="77777777" w:rsidR="00DC7C60" w:rsidRPr="00EA370C" w:rsidRDefault="00DC7C60" w:rsidP="005F5BE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FB26" w14:textId="5E4C6B86" w:rsidR="000542BC" w:rsidRPr="000542BC" w:rsidRDefault="00BA2554">
    <w:pPr>
      <w:pStyle w:val="En-tte"/>
    </w:pPr>
    <w:r>
      <w:fldChar w:fldCharType="begin"/>
    </w:r>
    <w:r>
      <w:instrText xml:space="preserve"> TITLE  \* MERGEFORMAT </w:instrText>
    </w:r>
    <w:r>
      <w:fldChar w:fldCharType="separate"/>
    </w:r>
    <w:r w:rsidR="00201F52">
      <w:t>ECE/TRANS/WP.29/GRBP/2024/8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EAE" w14:textId="258F404A" w:rsidR="000542BC" w:rsidRPr="000542BC" w:rsidRDefault="00BA2554" w:rsidP="000542BC">
    <w:pPr>
      <w:pStyle w:val="En-tte"/>
      <w:jc w:val="right"/>
    </w:pPr>
    <w:r>
      <w:fldChar w:fldCharType="begin"/>
    </w:r>
    <w:r>
      <w:instrText xml:space="preserve"> TITLE  \* MERGEFORMAT </w:instrText>
    </w:r>
    <w:r>
      <w:fldChar w:fldCharType="separate"/>
    </w:r>
    <w:r w:rsidR="00201F52">
      <w:t>ECE/TRANS/WP.29/GRBP/2024/8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851F8"/>
    <w:multiLevelType w:val="hybridMultilevel"/>
    <w:tmpl w:val="807EDDFE"/>
    <w:lvl w:ilvl="0" w:tplc="E9BEB56C">
      <w:numFmt w:val="bullet"/>
      <w:lvlText w:val="-"/>
      <w:lvlJc w:val="left"/>
      <w:pPr>
        <w:ind w:left="2259" w:hanging="1125"/>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D5355C7"/>
    <w:multiLevelType w:val="hybridMultilevel"/>
    <w:tmpl w:val="C1CA058E"/>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E9BEB56C">
      <w:numFmt w:val="bullet"/>
      <w:lvlText w:val="-"/>
      <w:lvlJc w:val="left"/>
      <w:pPr>
        <w:ind w:left="3294" w:hanging="360"/>
      </w:pPr>
      <w:rPr>
        <w:rFonts w:ascii="Times New Roman" w:eastAsia="Times New Roman" w:hAnsi="Times New Roman"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D14060"/>
    <w:multiLevelType w:val="hybridMultilevel"/>
    <w:tmpl w:val="C53C3C0A"/>
    <w:lvl w:ilvl="0" w:tplc="E9BEB56C">
      <w:numFmt w:val="bullet"/>
      <w:lvlText w:val="-"/>
      <w:lvlJc w:val="left"/>
      <w:pPr>
        <w:ind w:left="3393" w:hanging="1125"/>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15477247"/>
    <w:multiLevelType w:val="multilevel"/>
    <w:tmpl w:val="CFA4706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0A57D3"/>
    <w:multiLevelType w:val="multilevel"/>
    <w:tmpl w:val="B8182060"/>
    <w:lvl w:ilvl="0">
      <w:start w:val="1"/>
      <w:numFmt w:val="decimal"/>
      <w:lvlText w:val="%1"/>
      <w:lvlJc w:val="left"/>
      <w:pPr>
        <w:ind w:left="432" w:hanging="432"/>
      </w:pPr>
      <w:rPr>
        <w:rFonts w:hint="default"/>
      </w:rPr>
    </w:lvl>
    <w:lvl w:ilvl="1">
      <w:start w:val="1"/>
      <w:numFmt w:val="decimal"/>
      <w:lvlText w:val="%1.%2"/>
      <w:lvlJc w:val="left"/>
      <w:pPr>
        <w:ind w:left="2561"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247374"/>
    <w:multiLevelType w:val="multilevel"/>
    <w:tmpl w:val="23827BC8"/>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84251"/>
    <w:multiLevelType w:val="multilevel"/>
    <w:tmpl w:val="0409001F"/>
    <w:numStyleLink w:val="111111"/>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C914A92"/>
    <w:multiLevelType w:val="hybridMultilevel"/>
    <w:tmpl w:val="8752C0DC"/>
    <w:lvl w:ilvl="0" w:tplc="FFFFFFFF">
      <w:numFmt w:val="bullet"/>
      <w:lvlText w:val="-"/>
      <w:lvlJc w:val="left"/>
      <w:pPr>
        <w:ind w:left="3393" w:hanging="1125"/>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BEE8785E">
      <w:start w:val="1"/>
      <w:numFmt w:val="lowerLetter"/>
      <w:lvlText w:val="(%3)"/>
      <w:lvlJc w:val="left"/>
      <w:pPr>
        <w:ind w:left="3294" w:hanging="360"/>
      </w:pPr>
      <w:rPr>
        <w:rFont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7DE506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39380938">
    <w:abstractNumId w:val="20"/>
  </w:num>
  <w:num w:numId="2" w16cid:durableId="1420371884">
    <w:abstractNumId w:val="15"/>
  </w:num>
  <w:num w:numId="3" w16cid:durableId="1665815499">
    <w:abstractNumId w:val="12"/>
  </w:num>
  <w:num w:numId="4" w16cid:durableId="1723670860">
    <w:abstractNumId w:val="8"/>
  </w:num>
  <w:num w:numId="5" w16cid:durableId="551040661">
    <w:abstractNumId w:val="3"/>
  </w:num>
  <w:num w:numId="6" w16cid:durableId="1535583374">
    <w:abstractNumId w:val="2"/>
  </w:num>
  <w:num w:numId="7" w16cid:durableId="923296743">
    <w:abstractNumId w:val="1"/>
  </w:num>
  <w:num w:numId="8" w16cid:durableId="1814441109">
    <w:abstractNumId w:val="0"/>
  </w:num>
  <w:num w:numId="9" w16cid:durableId="1307278250">
    <w:abstractNumId w:val="9"/>
  </w:num>
  <w:num w:numId="10" w16cid:durableId="1024601565">
    <w:abstractNumId w:val="7"/>
  </w:num>
  <w:num w:numId="11" w16cid:durableId="213544556">
    <w:abstractNumId w:val="6"/>
  </w:num>
  <w:num w:numId="12" w16cid:durableId="1127972078">
    <w:abstractNumId w:val="5"/>
  </w:num>
  <w:num w:numId="13" w16cid:durableId="1986352439">
    <w:abstractNumId w:val="4"/>
  </w:num>
  <w:num w:numId="14" w16cid:durableId="120196282">
    <w:abstractNumId w:val="20"/>
  </w:num>
  <w:num w:numId="15" w16cid:durableId="102387442">
    <w:abstractNumId w:val="15"/>
  </w:num>
  <w:num w:numId="16" w16cid:durableId="54401567">
    <w:abstractNumId w:val="12"/>
  </w:num>
  <w:num w:numId="17" w16cid:durableId="519051394">
    <w:abstractNumId w:val="18"/>
  </w:num>
  <w:num w:numId="18" w16cid:durableId="1535922864">
    <w:abstractNumId w:val="22"/>
  </w:num>
  <w:num w:numId="19" w16cid:durableId="1863470312">
    <w:abstractNumId w:val="14"/>
  </w:num>
  <w:num w:numId="20" w16cid:durableId="546839300">
    <w:abstractNumId w:val="17"/>
  </w:num>
  <w:num w:numId="21" w16cid:durableId="206916929">
    <w:abstractNumId w:val="16"/>
  </w:num>
  <w:num w:numId="22" w16cid:durableId="171190082">
    <w:abstractNumId w:val="19"/>
  </w:num>
  <w:num w:numId="23" w16cid:durableId="1121848363">
    <w:abstractNumId w:val="10"/>
  </w:num>
  <w:num w:numId="24" w16cid:durableId="244387622">
    <w:abstractNumId w:val="13"/>
  </w:num>
  <w:num w:numId="25" w16cid:durableId="1160535514">
    <w:abstractNumId w:val="11"/>
  </w:num>
  <w:num w:numId="26" w16cid:durableId="9776108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4A"/>
    <w:rsid w:val="00017F94"/>
    <w:rsid w:val="00023842"/>
    <w:rsid w:val="00026938"/>
    <w:rsid w:val="000334F9"/>
    <w:rsid w:val="00045FEB"/>
    <w:rsid w:val="000542BC"/>
    <w:rsid w:val="00076441"/>
    <w:rsid w:val="0007796D"/>
    <w:rsid w:val="00095806"/>
    <w:rsid w:val="000A7B73"/>
    <w:rsid w:val="000B7790"/>
    <w:rsid w:val="000C5A56"/>
    <w:rsid w:val="000E4ACA"/>
    <w:rsid w:val="000E6C17"/>
    <w:rsid w:val="000F5B72"/>
    <w:rsid w:val="00111F2F"/>
    <w:rsid w:val="0014365E"/>
    <w:rsid w:val="00143C66"/>
    <w:rsid w:val="00161E19"/>
    <w:rsid w:val="00176178"/>
    <w:rsid w:val="001D3B93"/>
    <w:rsid w:val="001E7FE5"/>
    <w:rsid w:val="001F525A"/>
    <w:rsid w:val="00201148"/>
    <w:rsid w:val="00201F52"/>
    <w:rsid w:val="0022231F"/>
    <w:rsid w:val="00223272"/>
    <w:rsid w:val="00234FFD"/>
    <w:rsid w:val="0024779E"/>
    <w:rsid w:val="00257168"/>
    <w:rsid w:val="00270CDC"/>
    <w:rsid w:val="00270D37"/>
    <w:rsid w:val="002744B8"/>
    <w:rsid w:val="002832AC"/>
    <w:rsid w:val="0028648C"/>
    <w:rsid w:val="002D47C4"/>
    <w:rsid w:val="002D7C93"/>
    <w:rsid w:val="002F52C1"/>
    <w:rsid w:val="002F7921"/>
    <w:rsid w:val="002F7FEA"/>
    <w:rsid w:val="00305801"/>
    <w:rsid w:val="00334E45"/>
    <w:rsid w:val="003916DE"/>
    <w:rsid w:val="00396DAA"/>
    <w:rsid w:val="00404419"/>
    <w:rsid w:val="0041530E"/>
    <w:rsid w:val="00421996"/>
    <w:rsid w:val="00441C3B"/>
    <w:rsid w:val="00446FE5"/>
    <w:rsid w:val="00452396"/>
    <w:rsid w:val="00452FCD"/>
    <w:rsid w:val="0045562C"/>
    <w:rsid w:val="00477EB2"/>
    <w:rsid w:val="004837D8"/>
    <w:rsid w:val="004A5B4C"/>
    <w:rsid w:val="004E2EED"/>
    <w:rsid w:val="004E468C"/>
    <w:rsid w:val="004E5C88"/>
    <w:rsid w:val="0050795C"/>
    <w:rsid w:val="0051671D"/>
    <w:rsid w:val="005505B7"/>
    <w:rsid w:val="00555328"/>
    <w:rsid w:val="00573BE5"/>
    <w:rsid w:val="005842A0"/>
    <w:rsid w:val="00586ED3"/>
    <w:rsid w:val="0059007C"/>
    <w:rsid w:val="00591584"/>
    <w:rsid w:val="00596AA9"/>
    <w:rsid w:val="005B6F97"/>
    <w:rsid w:val="005F5BE9"/>
    <w:rsid w:val="005F731F"/>
    <w:rsid w:val="0068446C"/>
    <w:rsid w:val="00685277"/>
    <w:rsid w:val="006C0A4A"/>
    <w:rsid w:val="006C2EF1"/>
    <w:rsid w:val="006C3F9D"/>
    <w:rsid w:val="006D4F22"/>
    <w:rsid w:val="006F7CEF"/>
    <w:rsid w:val="00710335"/>
    <w:rsid w:val="00710E1F"/>
    <w:rsid w:val="0071601D"/>
    <w:rsid w:val="00777898"/>
    <w:rsid w:val="0078484A"/>
    <w:rsid w:val="007A0F27"/>
    <w:rsid w:val="007A5690"/>
    <w:rsid w:val="007A62E6"/>
    <w:rsid w:val="007B0ABC"/>
    <w:rsid w:val="007F20FA"/>
    <w:rsid w:val="0080684C"/>
    <w:rsid w:val="008073C7"/>
    <w:rsid w:val="00825963"/>
    <w:rsid w:val="008632B6"/>
    <w:rsid w:val="00871C75"/>
    <w:rsid w:val="008776DC"/>
    <w:rsid w:val="00886273"/>
    <w:rsid w:val="008C59AF"/>
    <w:rsid w:val="008D5EF9"/>
    <w:rsid w:val="008E3CE3"/>
    <w:rsid w:val="009446C0"/>
    <w:rsid w:val="00960792"/>
    <w:rsid w:val="009705C8"/>
    <w:rsid w:val="00990F15"/>
    <w:rsid w:val="009C1CF4"/>
    <w:rsid w:val="009F13A6"/>
    <w:rsid w:val="009F6B74"/>
    <w:rsid w:val="00A3029F"/>
    <w:rsid w:val="00A30353"/>
    <w:rsid w:val="00AC3823"/>
    <w:rsid w:val="00AD5667"/>
    <w:rsid w:val="00AE0050"/>
    <w:rsid w:val="00AE323C"/>
    <w:rsid w:val="00AF0CB5"/>
    <w:rsid w:val="00B00181"/>
    <w:rsid w:val="00B00B0D"/>
    <w:rsid w:val="00B17A2F"/>
    <w:rsid w:val="00B21A43"/>
    <w:rsid w:val="00B32CDD"/>
    <w:rsid w:val="00B4086A"/>
    <w:rsid w:val="00B45F2E"/>
    <w:rsid w:val="00B717B0"/>
    <w:rsid w:val="00B75992"/>
    <w:rsid w:val="00B765F7"/>
    <w:rsid w:val="00B77993"/>
    <w:rsid w:val="00BA0CA9"/>
    <w:rsid w:val="00BA2554"/>
    <w:rsid w:val="00C012BB"/>
    <w:rsid w:val="00C02897"/>
    <w:rsid w:val="00C07EDD"/>
    <w:rsid w:val="00C23419"/>
    <w:rsid w:val="00C327F7"/>
    <w:rsid w:val="00C44EEC"/>
    <w:rsid w:val="00C46F21"/>
    <w:rsid w:val="00C56E05"/>
    <w:rsid w:val="00C57B8E"/>
    <w:rsid w:val="00C9185D"/>
    <w:rsid w:val="00C97039"/>
    <w:rsid w:val="00CC185F"/>
    <w:rsid w:val="00CF08D3"/>
    <w:rsid w:val="00CF1A19"/>
    <w:rsid w:val="00D145E9"/>
    <w:rsid w:val="00D17E0D"/>
    <w:rsid w:val="00D2489F"/>
    <w:rsid w:val="00D3439C"/>
    <w:rsid w:val="00D44FF1"/>
    <w:rsid w:val="00D7622E"/>
    <w:rsid w:val="00D96D23"/>
    <w:rsid w:val="00DA2D5A"/>
    <w:rsid w:val="00DB1831"/>
    <w:rsid w:val="00DC7C60"/>
    <w:rsid w:val="00DD1DAE"/>
    <w:rsid w:val="00DD3BFD"/>
    <w:rsid w:val="00DF6678"/>
    <w:rsid w:val="00E0299A"/>
    <w:rsid w:val="00E030F6"/>
    <w:rsid w:val="00E15E5B"/>
    <w:rsid w:val="00E71706"/>
    <w:rsid w:val="00E85C74"/>
    <w:rsid w:val="00EA4DB3"/>
    <w:rsid w:val="00EA6547"/>
    <w:rsid w:val="00EC391B"/>
    <w:rsid w:val="00EC4E49"/>
    <w:rsid w:val="00EC7971"/>
    <w:rsid w:val="00ED7237"/>
    <w:rsid w:val="00EF2E22"/>
    <w:rsid w:val="00F03D38"/>
    <w:rsid w:val="00F03FEF"/>
    <w:rsid w:val="00F35BAF"/>
    <w:rsid w:val="00F45739"/>
    <w:rsid w:val="00F660DF"/>
    <w:rsid w:val="00F94166"/>
    <w:rsid w:val="00F94664"/>
    <w:rsid w:val="00F9573C"/>
    <w:rsid w:val="00F957AC"/>
    <w:rsid w:val="00F95C08"/>
    <w:rsid w:val="00F97EEF"/>
    <w:rsid w:val="00FB1A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B7DB"/>
  <w15:docId w15:val="{E0234AA6-EBEA-4AE0-8F39-3FD6FCCA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5F5BE9"/>
    <w:rPr>
      <w:sz w:val="16"/>
      <w:szCs w:val="16"/>
    </w:rPr>
  </w:style>
  <w:style w:type="character" w:customStyle="1" w:styleId="SingleTxtGChar">
    <w:name w:val="_ Single Txt_G Char"/>
    <w:link w:val="SingleTxtG"/>
    <w:qFormat/>
    <w:rsid w:val="005F5BE9"/>
    <w:rPr>
      <w:rFonts w:ascii="Times New Roman" w:eastAsiaTheme="minorHAnsi" w:hAnsi="Times New Roman" w:cs="Times New Roman"/>
      <w:sz w:val="20"/>
      <w:szCs w:val="20"/>
      <w:lang w:eastAsia="en-US"/>
    </w:rPr>
  </w:style>
  <w:style w:type="character" w:customStyle="1" w:styleId="HChGChar">
    <w:name w:val="_ H _Ch_G Char"/>
    <w:link w:val="HChG"/>
    <w:rsid w:val="005F5BE9"/>
    <w:rPr>
      <w:rFonts w:ascii="Times New Roman" w:eastAsiaTheme="minorHAnsi" w:hAnsi="Times New Roman" w:cs="Times New Roman"/>
      <w:b/>
      <w:sz w:val="28"/>
      <w:szCs w:val="20"/>
      <w:lang w:eastAsia="en-US"/>
    </w:rPr>
  </w:style>
  <w:style w:type="character" w:customStyle="1" w:styleId="H1GChar">
    <w:name w:val="_ H_1_G Char"/>
    <w:link w:val="H1G"/>
    <w:rsid w:val="005F5BE9"/>
    <w:rPr>
      <w:rFonts w:ascii="Times New Roman" w:eastAsiaTheme="minorHAnsi" w:hAnsi="Times New Roman" w:cs="Times New Roman"/>
      <w:b/>
      <w:sz w:val="24"/>
      <w:szCs w:val="20"/>
      <w:lang w:eastAsia="en-US"/>
    </w:rPr>
  </w:style>
  <w:style w:type="numbering" w:styleId="111111">
    <w:name w:val="Outline List 2"/>
    <w:basedOn w:val="Aucuneliste"/>
    <w:rsid w:val="005F5BE9"/>
    <w:pPr>
      <w:numPr>
        <w:numId w:val="17"/>
      </w:numPr>
    </w:pPr>
  </w:style>
  <w:style w:type="table" w:styleId="Effetsdetableau3D1">
    <w:name w:val="Table 3D effects 1"/>
    <w:basedOn w:val="TableauNormal"/>
    <w:rsid w:val="005F5BE9"/>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F5BE9"/>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F5BE9"/>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F5BE9"/>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5F5BE9"/>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F5BE9"/>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5F5BE9"/>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F5BE9"/>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F5BE9"/>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5F5BE9"/>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F5BE9"/>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5F5BE9"/>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5F5BE9"/>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5F5BE9"/>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5F5BE9"/>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F5BE9"/>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F5BE9"/>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F5BE9"/>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F5BE9"/>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F5BE9"/>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5F5BE9"/>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F5BE9"/>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F5BE9"/>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F5BE9"/>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F5BE9"/>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F5BE9"/>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5F5BE9"/>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5F5BE9"/>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F5BE9"/>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5F5BE9"/>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F5BE9"/>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5F5BE9"/>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5F5BE9"/>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F5BE9"/>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5F5BE9"/>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1">
    <w:name w:val="Tabellenraster1"/>
    <w:basedOn w:val="TableauNormal"/>
    <w:next w:val="Grilledutableau"/>
    <w:uiPriority w:val="39"/>
    <w:rsid w:val="005F5BE9"/>
    <w:pPr>
      <w:spacing w:after="0" w:line="240" w:lineRule="auto"/>
    </w:pPr>
    <w:rPr>
      <w:rFonts w:eastAsiaTheme="minorHAnsi"/>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5F5BE9"/>
    <w:pPr>
      <w:tabs>
        <w:tab w:val="right" w:pos="851"/>
        <w:tab w:val="right" w:leader="dot" w:pos="9629"/>
      </w:tabs>
      <w:suppressAutoHyphens w:val="0"/>
      <w:spacing w:after="100" w:line="259" w:lineRule="auto"/>
      <w:ind w:left="1134" w:hanging="850"/>
    </w:pPr>
    <w:rPr>
      <w:rFonts w:eastAsiaTheme="minorEastAsia"/>
      <w:sz w:val="28"/>
      <w:szCs w:val="28"/>
      <w:lang w:val="de-DE" w:eastAsia="de-DE"/>
    </w:rPr>
  </w:style>
  <w:style w:type="paragraph" w:styleId="Rvision">
    <w:name w:val="Revision"/>
    <w:hidden/>
    <w:uiPriority w:val="99"/>
    <w:semiHidden/>
    <w:rsid w:val="005F5BE9"/>
    <w:pPr>
      <w:spacing w:after="0" w:line="240" w:lineRule="auto"/>
    </w:pPr>
    <w:rPr>
      <w:rFonts w:ascii="Times New Roman" w:hAnsi="Times New Roman" w:cs="Times New Roman"/>
      <w:sz w:val="20"/>
      <w:szCs w:val="20"/>
      <w:lang w:eastAsia="en-US"/>
    </w:rPr>
  </w:style>
  <w:style w:type="table" w:customStyle="1" w:styleId="TabelleRaster11">
    <w:name w:val="Tabelle Raster 11"/>
    <w:basedOn w:val="TableauNormal"/>
    <w:next w:val="Grilledetableau1"/>
    <w:rsid w:val="005F5BE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DB5B6-FA6C-429F-8A6B-1F54E220243A}"/>
</file>

<file path=customXml/itemProps2.xml><?xml version="1.0" encoding="utf-8"?>
<ds:datastoreItem xmlns:ds="http://schemas.openxmlformats.org/officeDocument/2006/customXml" ds:itemID="{E608326C-3F90-40A7-A354-CE0C7E240414}"/>
</file>

<file path=docProps/app.xml><?xml version="1.0" encoding="utf-8"?>
<Properties xmlns="http://schemas.openxmlformats.org/officeDocument/2006/extended-properties" xmlns:vt="http://schemas.openxmlformats.org/officeDocument/2006/docPropsVTypes">
  <Template>ECE_TRANS.dotm</Template>
  <TotalTime>3</TotalTime>
  <Pages>14</Pages>
  <Words>4152</Words>
  <Characters>21720</Characters>
  <Application>Microsoft Office Word</Application>
  <DocSecurity>0</DocSecurity>
  <Lines>1551</Lines>
  <Paragraphs>862</Paragraphs>
  <ScaleCrop>false</ScaleCrop>
  <HeadingPairs>
    <vt:vector size="2" baseType="variant">
      <vt:variant>
        <vt:lpstr>Titre</vt:lpstr>
      </vt:variant>
      <vt:variant>
        <vt:i4>1</vt:i4>
      </vt:variant>
    </vt:vector>
  </HeadingPairs>
  <TitlesOfParts>
    <vt:vector size="1" baseType="lpstr">
      <vt:lpstr>ECE/TRANS/WP.29/GRBP/2024/8</vt:lpstr>
    </vt:vector>
  </TitlesOfParts>
  <Company>DCM</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ECE/TRANS/WP.29/GRBP/2024/8</dc:title>
  <dc:subject/>
  <dc:creator>Nathalie VITTOZ</dc:creator>
  <cp:keywords/>
  <cp:lastModifiedBy>Nathalie Vittoz</cp:lastModifiedBy>
  <cp:revision>3</cp:revision>
  <cp:lastPrinted>2023-12-08T07:56:00Z</cp:lastPrinted>
  <dcterms:created xsi:type="dcterms:W3CDTF">2023-12-08T07:55:00Z</dcterms:created>
  <dcterms:modified xsi:type="dcterms:W3CDTF">2023-12-08T07:58:00Z</dcterms:modified>
</cp:coreProperties>
</file>