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B3191D" w14:textId="77777777" w:rsidTr="00C97039">
        <w:trPr>
          <w:trHeight w:hRule="exact" w:val="851"/>
        </w:trPr>
        <w:tc>
          <w:tcPr>
            <w:tcW w:w="1276" w:type="dxa"/>
            <w:tcBorders>
              <w:bottom w:val="single" w:sz="4" w:space="0" w:color="auto"/>
            </w:tcBorders>
          </w:tcPr>
          <w:p w14:paraId="0CCFE251" w14:textId="77777777" w:rsidR="00F35BAF" w:rsidRPr="00DB58B5" w:rsidRDefault="00F35BAF" w:rsidP="00166242"/>
        </w:tc>
        <w:tc>
          <w:tcPr>
            <w:tcW w:w="2268" w:type="dxa"/>
            <w:tcBorders>
              <w:bottom w:val="single" w:sz="4" w:space="0" w:color="auto"/>
            </w:tcBorders>
            <w:vAlign w:val="bottom"/>
          </w:tcPr>
          <w:p w14:paraId="1E2A02D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BAA0AE" w14:textId="4D22AF45" w:rsidR="00F35BAF" w:rsidRPr="00DB58B5" w:rsidRDefault="00166242" w:rsidP="00166242">
            <w:pPr>
              <w:jc w:val="right"/>
            </w:pPr>
            <w:r w:rsidRPr="00166242">
              <w:rPr>
                <w:sz w:val="40"/>
              </w:rPr>
              <w:t>ECE</w:t>
            </w:r>
            <w:r>
              <w:t>/TRANS/2024/27</w:t>
            </w:r>
          </w:p>
        </w:tc>
      </w:tr>
      <w:tr w:rsidR="00F35BAF" w:rsidRPr="00DB58B5" w14:paraId="5609A3B8" w14:textId="77777777" w:rsidTr="00C97039">
        <w:trPr>
          <w:trHeight w:hRule="exact" w:val="2835"/>
        </w:trPr>
        <w:tc>
          <w:tcPr>
            <w:tcW w:w="1276" w:type="dxa"/>
            <w:tcBorders>
              <w:top w:val="single" w:sz="4" w:space="0" w:color="auto"/>
              <w:bottom w:val="single" w:sz="12" w:space="0" w:color="auto"/>
            </w:tcBorders>
          </w:tcPr>
          <w:p w14:paraId="27D74893" w14:textId="77777777" w:rsidR="00F35BAF" w:rsidRPr="00DB58B5" w:rsidRDefault="00F35BAF" w:rsidP="00C97039">
            <w:pPr>
              <w:spacing w:before="120"/>
              <w:jc w:val="center"/>
            </w:pPr>
            <w:r>
              <w:rPr>
                <w:noProof/>
                <w:lang w:eastAsia="fr-CH"/>
              </w:rPr>
              <w:drawing>
                <wp:inline distT="0" distB="0" distL="0" distR="0" wp14:anchorId="4E9A770D" wp14:editId="16D604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7FD7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CF518C" w14:textId="77777777" w:rsidR="00F35BAF" w:rsidRDefault="00166242" w:rsidP="00C97039">
            <w:pPr>
              <w:spacing w:before="240"/>
            </w:pPr>
            <w:r>
              <w:t>Distr. générale</w:t>
            </w:r>
          </w:p>
          <w:p w14:paraId="42C65FA1" w14:textId="63A19CEB" w:rsidR="00166242" w:rsidRDefault="00B60B44" w:rsidP="00166242">
            <w:pPr>
              <w:spacing w:line="240" w:lineRule="exact"/>
            </w:pPr>
            <w:r>
              <w:t>6 décembre</w:t>
            </w:r>
            <w:r w:rsidR="00166242">
              <w:t xml:space="preserve"> 2023</w:t>
            </w:r>
          </w:p>
          <w:p w14:paraId="358F894F" w14:textId="77777777" w:rsidR="00166242" w:rsidRDefault="00166242" w:rsidP="00166242">
            <w:pPr>
              <w:spacing w:line="240" w:lineRule="exact"/>
            </w:pPr>
            <w:r>
              <w:t>Français</w:t>
            </w:r>
          </w:p>
          <w:p w14:paraId="12941581" w14:textId="582E1688" w:rsidR="00166242" w:rsidRPr="00DB58B5" w:rsidRDefault="00166242" w:rsidP="00166242">
            <w:pPr>
              <w:spacing w:line="240" w:lineRule="exact"/>
            </w:pPr>
            <w:r>
              <w:t>Original : anglais</w:t>
            </w:r>
          </w:p>
        </w:tc>
      </w:tr>
    </w:tbl>
    <w:p w14:paraId="4ADAA9FA" w14:textId="3AF979B7" w:rsidR="007F20FA" w:rsidRPr="000312C0" w:rsidRDefault="007F20FA" w:rsidP="007F20FA">
      <w:pPr>
        <w:spacing w:before="120"/>
        <w:rPr>
          <w:b/>
          <w:sz w:val="28"/>
          <w:szCs w:val="28"/>
        </w:rPr>
      </w:pPr>
      <w:r w:rsidRPr="000312C0">
        <w:rPr>
          <w:b/>
          <w:sz w:val="28"/>
          <w:szCs w:val="28"/>
        </w:rPr>
        <w:t>Commission économique pour l</w:t>
      </w:r>
      <w:r w:rsidR="00533FC3">
        <w:rPr>
          <w:b/>
          <w:sz w:val="28"/>
          <w:szCs w:val="28"/>
        </w:rPr>
        <w:t>’</w:t>
      </w:r>
      <w:r w:rsidRPr="000312C0">
        <w:rPr>
          <w:b/>
          <w:sz w:val="28"/>
          <w:szCs w:val="28"/>
        </w:rPr>
        <w:t>Europe</w:t>
      </w:r>
    </w:p>
    <w:p w14:paraId="41B7B762" w14:textId="77777777" w:rsidR="007F20FA" w:rsidRDefault="007F20FA" w:rsidP="007F20FA">
      <w:pPr>
        <w:spacing w:before="120"/>
        <w:rPr>
          <w:sz w:val="28"/>
          <w:szCs w:val="28"/>
        </w:rPr>
      </w:pPr>
      <w:r w:rsidRPr="00685843">
        <w:rPr>
          <w:sz w:val="28"/>
          <w:szCs w:val="28"/>
        </w:rPr>
        <w:t>Comité des transports intérieurs</w:t>
      </w:r>
    </w:p>
    <w:p w14:paraId="278CF06A" w14:textId="77777777" w:rsidR="00DF5FAF" w:rsidRPr="00A244B5" w:rsidRDefault="00DF5FAF" w:rsidP="00A244B5">
      <w:pPr>
        <w:spacing w:before="120"/>
        <w:rPr>
          <w:b/>
          <w:bCs/>
        </w:rPr>
      </w:pPr>
      <w:r w:rsidRPr="00A244B5">
        <w:rPr>
          <w:b/>
          <w:bCs/>
          <w:lang w:val="fr-FR"/>
        </w:rPr>
        <w:t>Quatre-vingt-sixième session</w:t>
      </w:r>
    </w:p>
    <w:p w14:paraId="64EFD9C3" w14:textId="6E7AD2DE" w:rsidR="00DF5FAF" w:rsidRDefault="00DF5FAF" w:rsidP="00DF5FAF">
      <w:pPr>
        <w:rPr>
          <w:lang w:val="fr-FR"/>
        </w:rPr>
      </w:pPr>
      <w:r w:rsidRPr="00F07818">
        <w:rPr>
          <w:lang w:val="fr-FR"/>
        </w:rPr>
        <w:t>Genève, 20-23 février 2024</w:t>
      </w:r>
    </w:p>
    <w:p w14:paraId="60820413" w14:textId="32A4B4E2" w:rsidR="00DF5FAF" w:rsidRDefault="00DF5FAF" w:rsidP="00DF5FAF">
      <w:pPr>
        <w:rPr>
          <w:lang w:val="fr-FR"/>
        </w:rPr>
      </w:pPr>
      <w:r w:rsidRPr="00F07818">
        <w:rPr>
          <w:lang w:val="fr-FR"/>
        </w:rPr>
        <w:t>Point 10 o) de l</w:t>
      </w:r>
      <w:r w:rsidR="00533FC3">
        <w:rPr>
          <w:lang w:val="fr-FR"/>
        </w:rPr>
        <w:t>’</w:t>
      </w:r>
      <w:r w:rsidRPr="00F07818">
        <w:rPr>
          <w:lang w:val="fr-FR"/>
        </w:rPr>
        <w:t>ordre du jour provisoire</w:t>
      </w:r>
    </w:p>
    <w:p w14:paraId="76E33EDE" w14:textId="0E10B1B3" w:rsidR="00DF5FAF" w:rsidRPr="00A244B5" w:rsidRDefault="00DF5FAF" w:rsidP="00DF5FAF">
      <w:pPr>
        <w:rPr>
          <w:b/>
          <w:bCs/>
        </w:rPr>
      </w:pPr>
      <w:r w:rsidRPr="00A244B5">
        <w:rPr>
          <w:b/>
          <w:bCs/>
          <w:lang w:val="fr-FR"/>
        </w:rPr>
        <w:t xml:space="preserve">Questions stratégiques de nature horizontale </w:t>
      </w:r>
      <w:r w:rsidR="00A244B5">
        <w:rPr>
          <w:b/>
          <w:bCs/>
          <w:lang w:val="fr-FR"/>
        </w:rPr>
        <w:br/>
      </w:r>
      <w:r w:rsidRPr="00A244B5">
        <w:rPr>
          <w:b/>
          <w:bCs/>
          <w:lang w:val="fr-FR"/>
        </w:rPr>
        <w:t>et transversale ou d</w:t>
      </w:r>
      <w:r w:rsidR="00533FC3">
        <w:rPr>
          <w:b/>
          <w:bCs/>
          <w:lang w:val="fr-FR"/>
        </w:rPr>
        <w:t>’</w:t>
      </w:r>
      <w:r w:rsidRPr="00A244B5">
        <w:rPr>
          <w:b/>
          <w:bCs/>
          <w:lang w:val="fr-FR"/>
        </w:rPr>
        <w:t>ordre réglementaire</w:t>
      </w:r>
      <w:r w:rsidR="00A244B5">
        <w:rPr>
          <w:b/>
          <w:bCs/>
          <w:lang w:val="fr-FR"/>
        </w:rPr>
        <w:t> </w:t>
      </w:r>
      <w:r w:rsidRPr="00A244B5">
        <w:rPr>
          <w:b/>
          <w:bCs/>
          <w:lang w:val="fr-FR"/>
        </w:rPr>
        <w:t>:</w:t>
      </w:r>
    </w:p>
    <w:p w14:paraId="06EFAF0E" w14:textId="41AC5E9B" w:rsidR="00DF5FAF" w:rsidRPr="00F07818" w:rsidRDefault="00DF5FAF" w:rsidP="00DF5FAF">
      <w:r w:rsidRPr="00A244B5">
        <w:rPr>
          <w:b/>
          <w:bCs/>
          <w:lang w:val="fr-FR"/>
        </w:rPr>
        <w:t xml:space="preserve">Renforcement des mesures de facilitation du franchissement </w:t>
      </w:r>
      <w:r w:rsidR="00A244B5">
        <w:rPr>
          <w:b/>
          <w:bCs/>
          <w:lang w:val="fr-FR"/>
        </w:rPr>
        <w:br/>
      </w:r>
      <w:r w:rsidRPr="00A244B5">
        <w:rPr>
          <w:b/>
          <w:bCs/>
          <w:lang w:val="fr-FR"/>
        </w:rPr>
        <w:t xml:space="preserve">des frontières (Convention TIR, projet eTIR, Convention </w:t>
      </w:r>
      <w:r w:rsidR="00A244B5">
        <w:rPr>
          <w:b/>
          <w:bCs/>
          <w:lang w:val="fr-FR"/>
        </w:rPr>
        <w:br/>
      </w:r>
      <w:r w:rsidRPr="00A244B5">
        <w:rPr>
          <w:b/>
          <w:bCs/>
          <w:lang w:val="fr-FR"/>
        </w:rPr>
        <w:t>sur l</w:t>
      </w:r>
      <w:r w:rsidR="00533FC3">
        <w:rPr>
          <w:b/>
          <w:bCs/>
          <w:lang w:val="fr-FR"/>
        </w:rPr>
        <w:t>’</w:t>
      </w:r>
      <w:r w:rsidRPr="00A244B5">
        <w:rPr>
          <w:b/>
          <w:bCs/>
          <w:lang w:val="fr-FR"/>
        </w:rPr>
        <w:t xml:space="preserve">harmonisation et autres mesures de facilitation </w:t>
      </w:r>
      <w:r w:rsidR="00A244B5">
        <w:rPr>
          <w:b/>
          <w:bCs/>
          <w:lang w:val="fr-FR"/>
        </w:rPr>
        <w:br/>
      </w:r>
      <w:r w:rsidRPr="00A244B5">
        <w:rPr>
          <w:b/>
          <w:bCs/>
          <w:lang w:val="fr-FR"/>
        </w:rPr>
        <w:t>du franchissement des frontières et du transit douanier)</w:t>
      </w:r>
    </w:p>
    <w:p w14:paraId="341B6ED9" w14:textId="46D8CA5B" w:rsidR="00DF5FAF" w:rsidRPr="00F07818" w:rsidRDefault="00DF5FAF" w:rsidP="00A244B5">
      <w:pPr>
        <w:pStyle w:val="HChG"/>
        <w:rPr>
          <w:spacing w:val="-2"/>
        </w:rPr>
      </w:pPr>
      <w:r w:rsidRPr="00F07818">
        <w:rPr>
          <w:lang w:val="fr-FR"/>
        </w:rPr>
        <w:tab/>
      </w:r>
      <w:r w:rsidRPr="00F07818">
        <w:rPr>
          <w:lang w:val="fr-FR"/>
        </w:rPr>
        <w:tab/>
        <w:t>Renforcement des mesures de facilitation du franchissement des frontières (Convention TIR, procédure eTIR, Convention sur l</w:t>
      </w:r>
      <w:r w:rsidR="00533FC3">
        <w:rPr>
          <w:lang w:val="fr-FR"/>
        </w:rPr>
        <w:t>’</w:t>
      </w:r>
      <w:r w:rsidRPr="00F07818">
        <w:rPr>
          <w:lang w:val="fr-FR"/>
        </w:rPr>
        <w:t xml:space="preserve">harmonisation et autres </w:t>
      </w:r>
      <w:r>
        <w:rPr>
          <w:lang w:val="fr-FR"/>
        </w:rPr>
        <w:t>c</w:t>
      </w:r>
      <w:r w:rsidRPr="00F07818">
        <w:rPr>
          <w:lang w:val="fr-FR"/>
        </w:rPr>
        <w:t xml:space="preserve">onventions relatives </w:t>
      </w:r>
      <w:r w:rsidR="00A244B5">
        <w:rPr>
          <w:lang w:val="fr-FR"/>
        </w:rPr>
        <w:br/>
      </w:r>
      <w:r w:rsidRPr="00F07818">
        <w:rPr>
          <w:lang w:val="fr-FR"/>
        </w:rPr>
        <w:t>à la facilitation du transit douanier)</w:t>
      </w:r>
    </w:p>
    <w:p w14:paraId="5CFE54C2" w14:textId="1B784E9B" w:rsidR="00F9573C" w:rsidRDefault="00DF5FAF" w:rsidP="00A244B5">
      <w:pPr>
        <w:pStyle w:val="H1G"/>
        <w:rPr>
          <w:lang w:val="fr-FR"/>
        </w:rPr>
      </w:pPr>
      <w:r w:rsidRPr="00F07818">
        <w:rPr>
          <w:lang w:val="fr-FR"/>
        </w:rPr>
        <w:tab/>
      </w:r>
      <w:r w:rsidRPr="00F07818">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F5FAF" w14:paraId="4F38C987" w14:textId="77777777" w:rsidTr="00DF5FAF">
        <w:trPr>
          <w:jc w:val="center"/>
        </w:trPr>
        <w:tc>
          <w:tcPr>
            <w:tcW w:w="9628" w:type="dxa"/>
            <w:shd w:val="clear" w:color="auto" w:fill="auto"/>
          </w:tcPr>
          <w:p w14:paraId="21F1AAF9" w14:textId="77777777" w:rsidR="00DF5FAF" w:rsidRDefault="00DF5FAF">
            <w:pPr>
              <w:spacing w:before="240" w:after="120"/>
              <w:ind w:left="255"/>
              <w:rPr>
                <w:i/>
                <w:sz w:val="24"/>
              </w:rPr>
            </w:pPr>
            <w:r>
              <w:rPr>
                <w:i/>
                <w:sz w:val="24"/>
              </w:rPr>
              <w:t>Résumé</w:t>
            </w:r>
          </w:p>
        </w:tc>
      </w:tr>
      <w:tr w:rsidR="00DF5FAF" w14:paraId="790E4346" w14:textId="77777777" w:rsidTr="00DF5FAF">
        <w:trPr>
          <w:jc w:val="center"/>
        </w:trPr>
        <w:tc>
          <w:tcPr>
            <w:tcW w:w="9628" w:type="dxa"/>
            <w:shd w:val="clear" w:color="auto" w:fill="auto"/>
          </w:tcPr>
          <w:p w14:paraId="50982D4A" w14:textId="0118C3FD" w:rsidR="00DF5FAF" w:rsidRDefault="00DF5FAF" w:rsidP="00A244B5">
            <w:pPr>
              <w:pStyle w:val="SingleTxtG"/>
              <w:ind w:firstLine="567"/>
            </w:pPr>
            <w:r w:rsidRPr="00F07818">
              <w:rPr>
                <w:lang w:val="fr-FR"/>
              </w:rPr>
              <w:t>On trouvera résumées dans le présent document les activités menées en 2023 par le Groupe de travail des problèmes douaniers intéressant les transports (WP.30), le Comité de gestion de la Convention TIR de 1975 (AC.2), l</w:t>
            </w:r>
            <w:r w:rsidR="00533FC3">
              <w:rPr>
                <w:lang w:val="fr-FR"/>
              </w:rPr>
              <w:t>’</w:t>
            </w:r>
            <w:r w:rsidRPr="00F07818">
              <w:rPr>
                <w:lang w:val="fr-FR"/>
              </w:rPr>
              <w:t>Organe de mise en œuvre technique (TIB) (pour les Parties contractantes liées par l</w:t>
            </w:r>
            <w:r w:rsidR="00533FC3">
              <w:rPr>
                <w:lang w:val="fr-FR"/>
              </w:rPr>
              <w:t>’</w:t>
            </w:r>
            <w:r w:rsidRPr="00F07818">
              <w:rPr>
                <w:lang w:val="fr-FR"/>
              </w:rPr>
              <w:t>annexe</w:t>
            </w:r>
            <w:r>
              <w:rPr>
                <w:lang w:val="fr-FR"/>
              </w:rPr>
              <w:t> </w:t>
            </w:r>
            <w:r w:rsidRPr="00F07818">
              <w:rPr>
                <w:lang w:val="fr-FR"/>
              </w:rPr>
              <w:t xml:space="preserve">11 </w:t>
            </w:r>
            <w:r>
              <w:rPr>
                <w:lang w:val="fr-FR"/>
              </w:rPr>
              <w:t>de</w:t>
            </w:r>
            <w:r w:rsidRPr="00F07818">
              <w:rPr>
                <w:lang w:val="fr-FR"/>
              </w:rPr>
              <w:t xml:space="preserve"> la Convention TIR), le Comité de gestion de la Convention internationale de 1982 sur l</w:t>
            </w:r>
            <w:r w:rsidR="00533FC3">
              <w:rPr>
                <w:lang w:val="fr-FR"/>
              </w:rPr>
              <w:t>’</w:t>
            </w:r>
            <w:r w:rsidRPr="00F07818">
              <w:rPr>
                <w:lang w:val="fr-FR"/>
              </w:rPr>
              <w:t xml:space="preserve">harmonisation des contrôles des marchandises aux frontières (AC.3) et le secrétariat de la Convention TIR dans le domaine du </w:t>
            </w:r>
            <w:r>
              <w:rPr>
                <w:lang w:val="fr-FR"/>
              </w:rPr>
              <w:t>franchissement</w:t>
            </w:r>
            <w:r w:rsidRPr="00F07818">
              <w:rPr>
                <w:lang w:val="fr-FR"/>
              </w:rPr>
              <w:t xml:space="preserve"> des frontières.</w:t>
            </w:r>
          </w:p>
        </w:tc>
      </w:tr>
      <w:tr w:rsidR="00DF5FAF" w14:paraId="68D4D80F" w14:textId="77777777" w:rsidTr="00DF5FAF">
        <w:trPr>
          <w:jc w:val="center"/>
        </w:trPr>
        <w:tc>
          <w:tcPr>
            <w:tcW w:w="9628" w:type="dxa"/>
            <w:shd w:val="clear" w:color="auto" w:fill="auto"/>
          </w:tcPr>
          <w:p w14:paraId="53AE8298" w14:textId="21DE6403" w:rsidR="00DF5FAF" w:rsidRPr="00533FC3" w:rsidRDefault="00DF5FAF" w:rsidP="00A244B5">
            <w:pPr>
              <w:pStyle w:val="SingleTxtG"/>
              <w:ind w:firstLine="567"/>
            </w:pPr>
            <w:r w:rsidRPr="00533FC3">
              <w:rPr>
                <w:lang w:val="fr-FR"/>
              </w:rPr>
              <w:t>Le Comité des transports intérieurs (CTI) sera informé des principaux résultats des 162</w:t>
            </w:r>
            <w:r w:rsidRPr="00533FC3">
              <w:rPr>
                <w:vertAlign w:val="superscript"/>
                <w:lang w:val="fr-FR"/>
              </w:rPr>
              <w:t>e</w:t>
            </w:r>
            <w:r w:rsidRPr="00533FC3">
              <w:rPr>
                <w:lang w:val="fr-FR"/>
              </w:rPr>
              <w:t>, 163</w:t>
            </w:r>
            <w:r w:rsidRPr="00533FC3">
              <w:rPr>
                <w:vertAlign w:val="superscript"/>
                <w:lang w:val="fr-FR"/>
              </w:rPr>
              <w:t>e</w:t>
            </w:r>
            <w:r w:rsidRPr="00533FC3">
              <w:rPr>
                <w:lang w:val="fr-FR"/>
              </w:rPr>
              <w:t xml:space="preserve"> et 164</w:t>
            </w:r>
            <w:r w:rsidRPr="00533FC3">
              <w:rPr>
                <w:vertAlign w:val="superscript"/>
                <w:lang w:val="fr-FR"/>
              </w:rPr>
              <w:t>e</w:t>
            </w:r>
            <w:r w:rsidRPr="00533FC3">
              <w:rPr>
                <w:lang w:val="fr-FR"/>
              </w:rPr>
              <w:t xml:space="preserve"> sessions du WP.30 (ECE/TRANS/WP.30/324, ECE/TRANS/WP.30/326 et ECE/TRANS/WP.30/328) et sera invité à </w:t>
            </w:r>
            <w:r w:rsidRPr="00533FC3">
              <w:rPr>
                <w:b/>
                <w:bCs/>
                <w:lang w:val="fr-FR"/>
              </w:rPr>
              <w:t>prendre note</w:t>
            </w:r>
            <w:r w:rsidRPr="00533FC3">
              <w:rPr>
                <w:lang w:val="fr-FR"/>
              </w:rPr>
              <w:t xml:space="preserve"> des activités de l</w:t>
            </w:r>
            <w:r w:rsidR="00533FC3">
              <w:rPr>
                <w:lang w:val="fr-FR"/>
              </w:rPr>
              <w:t>’</w:t>
            </w:r>
            <w:r w:rsidRPr="00533FC3">
              <w:rPr>
                <w:lang w:val="fr-FR"/>
              </w:rPr>
              <w:t>AC.2 en 2023, y compris des amendements adoptés (ECE/TRANS/WP.30/AC.2/161 et ECE/TRANS/</w:t>
            </w:r>
            <w:r w:rsidR="00533FC3">
              <w:rPr>
                <w:lang w:val="fr-FR"/>
              </w:rPr>
              <w:br/>
            </w:r>
            <w:r w:rsidRPr="00533FC3">
              <w:rPr>
                <w:lang w:val="fr-FR"/>
              </w:rPr>
              <w:t>WP.30/AC.2/164).</w:t>
            </w:r>
          </w:p>
        </w:tc>
      </w:tr>
      <w:tr w:rsidR="00DF5FAF" w14:paraId="5BF35015" w14:textId="77777777" w:rsidTr="00DF5FAF">
        <w:trPr>
          <w:jc w:val="center"/>
        </w:trPr>
        <w:tc>
          <w:tcPr>
            <w:tcW w:w="9628" w:type="dxa"/>
            <w:shd w:val="clear" w:color="auto" w:fill="auto"/>
          </w:tcPr>
          <w:p w14:paraId="1709544A" w14:textId="4CD46E97" w:rsidR="00DF5FAF" w:rsidRDefault="00DF5FAF" w:rsidP="00A244B5">
            <w:pPr>
              <w:pStyle w:val="SingleTxtG"/>
              <w:ind w:firstLine="567"/>
            </w:pPr>
            <w:r>
              <w:rPr>
                <w:lang w:val="fr-FR"/>
              </w:rPr>
              <w:t>L</w:t>
            </w:r>
            <w:r w:rsidRPr="00F07818">
              <w:rPr>
                <w:lang w:val="fr-FR"/>
              </w:rPr>
              <w:t xml:space="preserve">e </w:t>
            </w:r>
            <w:r>
              <w:rPr>
                <w:lang w:val="fr-FR"/>
              </w:rPr>
              <w:t>CTI</w:t>
            </w:r>
            <w:r w:rsidRPr="00F07818">
              <w:rPr>
                <w:lang w:val="fr-FR"/>
              </w:rPr>
              <w:t xml:space="preserve"> sera </w:t>
            </w:r>
            <w:r>
              <w:rPr>
                <w:lang w:val="fr-FR"/>
              </w:rPr>
              <w:t xml:space="preserve">notamment </w:t>
            </w:r>
            <w:r w:rsidRPr="00F07818">
              <w:rPr>
                <w:lang w:val="fr-FR"/>
              </w:rPr>
              <w:t>informé des éléments suivants</w:t>
            </w:r>
            <w:r w:rsidR="00CE67D3">
              <w:rPr>
                <w:lang w:val="fr-FR"/>
              </w:rPr>
              <w:t> </w:t>
            </w:r>
            <w:r w:rsidRPr="00F07818">
              <w:rPr>
                <w:lang w:val="fr-FR"/>
              </w:rPr>
              <w:t>:</w:t>
            </w:r>
          </w:p>
        </w:tc>
      </w:tr>
      <w:tr w:rsidR="00DF5FAF" w14:paraId="4EA968D7" w14:textId="77777777" w:rsidTr="00DF5FAF">
        <w:trPr>
          <w:jc w:val="center"/>
        </w:trPr>
        <w:tc>
          <w:tcPr>
            <w:tcW w:w="9628" w:type="dxa"/>
            <w:shd w:val="clear" w:color="auto" w:fill="auto"/>
          </w:tcPr>
          <w:p w14:paraId="66D9DABD" w14:textId="45B491A5" w:rsidR="00DF5FAF" w:rsidRDefault="00DF5FAF" w:rsidP="00A244B5">
            <w:pPr>
              <w:pStyle w:val="SingleTxtG"/>
              <w:ind w:firstLine="567"/>
            </w:pPr>
            <w:r w:rsidRPr="00F07818">
              <w:rPr>
                <w:lang w:val="fr-FR"/>
              </w:rPr>
              <w:t>a)</w:t>
            </w:r>
            <w:r w:rsidRPr="00F07818">
              <w:rPr>
                <w:lang w:val="fr-FR"/>
              </w:rPr>
              <w:tab/>
            </w:r>
            <w:r>
              <w:rPr>
                <w:lang w:val="fr-FR"/>
              </w:rPr>
              <w:t>F</w:t>
            </w:r>
            <w:r w:rsidRPr="00F07818">
              <w:rPr>
                <w:lang w:val="fr-FR"/>
              </w:rPr>
              <w:t>aits nouveaux concernant le système international eTIR et les projets d</w:t>
            </w:r>
            <w:r w:rsidR="00533FC3">
              <w:rPr>
                <w:lang w:val="fr-FR"/>
              </w:rPr>
              <w:t>’</w:t>
            </w:r>
            <w:r w:rsidRPr="00F07818">
              <w:rPr>
                <w:lang w:val="fr-FR"/>
              </w:rPr>
              <w:t>interconnexion eTIR en cours en vue du premier transport eTIR</w:t>
            </w:r>
            <w:r>
              <w:rPr>
                <w:lang w:val="fr-FR"/>
              </w:rPr>
              <w:t> </w:t>
            </w:r>
            <w:r w:rsidRPr="00F07818">
              <w:rPr>
                <w:lang w:val="fr-FR"/>
              </w:rPr>
              <w:t>;</w:t>
            </w:r>
          </w:p>
        </w:tc>
      </w:tr>
      <w:tr w:rsidR="00DF5FAF" w14:paraId="0CAC71C9" w14:textId="77777777" w:rsidTr="00A244B5">
        <w:trPr>
          <w:jc w:val="center"/>
        </w:trPr>
        <w:tc>
          <w:tcPr>
            <w:tcW w:w="9628" w:type="dxa"/>
            <w:tcBorders>
              <w:bottom w:val="nil"/>
            </w:tcBorders>
            <w:shd w:val="clear" w:color="auto" w:fill="auto"/>
          </w:tcPr>
          <w:p w14:paraId="5D331B55" w14:textId="45C93B11" w:rsidR="00DF5FAF" w:rsidRDefault="00DF5FAF" w:rsidP="00A244B5">
            <w:pPr>
              <w:pStyle w:val="SingleTxtG"/>
              <w:ind w:firstLine="567"/>
            </w:pPr>
            <w:r w:rsidRPr="00F07818">
              <w:rPr>
                <w:lang w:val="fr-FR"/>
              </w:rPr>
              <w:t>b)</w:t>
            </w:r>
            <w:r w:rsidRPr="00F07818">
              <w:rPr>
                <w:lang w:val="fr-FR"/>
              </w:rPr>
              <w:tab/>
            </w:r>
            <w:r>
              <w:rPr>
                <w:lang w:val="fr-FR"/>
              </w:rPr>
              <w:t>R</w:t>
            </w:r>
            <w:r w:rsidRPr="00F07818">
              <w:rPr>
                <w:lang w:val="fr-FR"/>
              </w:rPr>
              <w:t>ésultats des quatrième et cinquième sessions de l</w:t>
            </w:r>
            <w:r w:rsidR="00533FC3">
              <w:rPr>
                <w:lang w:val="fr-FR"/>
              </w:rPr>
              <w:t>’</w:t>
            </w:r>
            <w:r w:rsidRPr="00F07818">
              <w:rPr>
                <w:lang w:val="fr-FR"/>
              </w:rPr>
              <w:t>Organe de mise en œuvre technique (TIB)</w:t>
            </w:r>
            <w:r>
              <w:rPr>
                <w:lang w:val="fr-FR"/>
              </w:rPr>
              <w:t>,</w:t>
            </w:r>
            <w:r w:rsidRPr="00F07818">
              <w:rPr>
                <w:lang w:val="fr-FR"/>
              </w:rPr>
              <w:t xml:space="preserve"> </w:t>
            </w:r>
            <w:r>
              <w:rPr>
                <w:lang w:val="fr-FR"/>
              </w:rPr>
              <w:t xml:space="preserve">tenues en 2023 </w:t>
            </w:r>
            <w:r w:rsidRPr="00F07818">
              <w:rPr>
                <w:lang w:val="fr-FR"/>
              </w:rPr>
              <w:t>(ECE/TRANS/WP.30/AC.2/TIB/8 et ECE/TRANS/WP.30/</w:t>
            </w:r>
            <w:r w:rsidR="00533FC3">
              <w:rPr>
                <w:lang w:val="fr-FR"/>
              </w:rPr>
              <w:br/>
            </w:r>
            <w:r w:rsidRPr="00F07818">
              <w:rPr>
                <w:lang w:val="fr-FR"/>
              </w:rPr>
              <w:t>AC.2/TIB/10)</w:t>
            </w:r>
            <w:r w:rsidR="00A244B5">
              <w:rPr>
                <w:lang w:val="fr-FR"/>
              </w:rPr>
              <w:t> </w:t>
            </w:r>
            <w:r w:rsidRPr="00F07818">
              <w:rPr>
                <w:lang w:val="fr-FR"/>
              </w:rPr>
              <w:t>;</w:t>
            </w:r>
          </w:p>
        </w:tc>
      </w:tr>
      <w:tr w:rsidR="00DF5FAF" w14:paraId="2CC9CF40" w14:textId="77777777" w:rsidTr="00A244B5">
        <w:trPr>
          <w:jc w:val="center"/>
        </w:trPr>
        <w:tc>
          <w:tcPr>
            <w:tcW w:w="9628" w:type="dxa"/>
            <w:tcBorders>
              <w:top w:val="nil"/>
              <w:bottom w:val="nil"/>
            </w:tcBorders>
            <w:shd w:val="clear" w:color="auto" w:fill="auto"/>
          </w:tcPr>
          <w:p w14:paraId="4F1D2964" w14:textId="21CBF3EC" w:rsidR="00DF5FAF" w:rsidRDefault="00DF5FAF" w:rsidP="00A244B5">
            <w:pPr>
              <w:pStyle w:val="SingleTxtG"/>
              <w:ind w:firstLine="567"/>
            </w:pPr>
            <w:r w:rsidRPr="00F07818">
              <w:rPr>
                <w:lang w:val="fr-FR"/>
              </w:rPr>
              <w:lastRenderedPageBreak/>
              <w:t>c)</w:t>
            </w:r>
            <w:r w:rsidRPr="00F07818">
              <w:rPr>
                <w:lang w:val="fr-FR"/>
              </w:rPr>
              <w:tab/>
            </w:r>
            <w:r>
              <w:rPr>
                <w:lang w:val="fr-FR"/>
              </w:rPr>
              <w:t>F</w:t>
            </w:r>
            <w:r w:rsidRPr="00F07818">
              <w:rPr>
                <w:lang w:val="fr-FR"/>
              </w:rPr>
              <w:t xml:space="preserve">aits nouveaux concernant la Banque de données internationale TIR (ITDB) et </w:t>
            </w:r>
            <w:r>
              <w:rPr>
                <w:lang w:val="fr-FR"/>
              </w:rPr>
              <w:t>l</w:t>
            </w:r>
            <w:r w:rsidRPr="00F07818">
              <w:rPr>
                <w:lang w:val="fr-FR"/>
              </w:rPr>
              <w:t>es outils électroniques</w:t>
            </w:r>
            <w:r>
              <w:rPr>
                <w:lang w:val="fr-FR"/>
              </w:rPr>
              <w:t xml:space="preserve"> </w:t>
            </w:r>
            <w:r w:rsidRPr="00F07818">
              <w:rPr>
                <w:lang w:val="fr-FR"/>
              </w:rPr>
              <w:t>TIR ;</w:t>
            </w:r>
          </w:p>
        </w:tc>
      </w:tr>
      <w:tr w:rsidR="00DF5FAF" w14:paraId="118268C3" w14:textId="77777777" w:rsidTr="00A244B5">
        <w:trPr>
          <w:jc w:val="center"/>
        </w:trPr>
        <w:tc>
          <w:tcPr>
            <w:tcW w:w="9628" w:type="dxa"/>
            <w:tcBorders>
              <w:top w:val="nil"/>
            </w:tcBorders>
            <w:shd w:val="clear" w:color="auto" w:fill="auto"/>
          </w:tcPr>
          <w:p w14:paraId="52A4A608" w14:textId="4BC0EABD" w:rsidR="00DF5FAF" w:rsidRDefault="00DF5FAF" w:rsidP="00A244B5">
            <w:pPr>
              <w:pStyle w:val="SingleTxtG"/>
              <w:ind w:firstLine="567"/>
            </w:pPr>
            <w:r w:rsidRPr="00F07818">
              <w:rPr>
                <w:lang w:val="fr-FR"/>
              </w:rPr>
              <w:t>d)</w:t>
            </w:r>
            <w:r w:rsidRPr="00F07818">
              <w:rPr>
                <w:lang w:val="fr-FR"/>
              </w:rPr>
              <w:tab/>
            </w:r>
            <w:r>
              <w:rPr>
                <w:lang w:val="fr-FR"/>
              </w:rPr>
              <w:t>A</w:t>
            </w:r>
            <w:r w:rsidRPr="00F07818">
              <w:rPr>
                <w:lang w:val="fr-FR"/>
              </w:rPr>
              <w:t>teliers organisés afin de promouvoir l</w:t>
            </w:r>
            <w:r w:rsidR="00533FC3">
              <w:rPr>
                <w:lang w:val="fr-FR"/>
              </w:rPr>
              <w:t>’</w:t>
            </w:r>
            <w:r w:rsidRPr="00F07818">
              <w:rPr>
                <w:lang w:val="fr-FR"/>
              </w:rPr>
              <w:t>adhésion à la Convention TIR dans d</w:t>
            </w:r>
            <w:r w:rsidR="00533FC3">
              <w:rPr>
                <w:lang w:val="fr-FR"/>
              </w:rPr>
              <w:t>’</w:t>
            </w:r>
            <w:r w:rsidRPr="00F07818">
              <w:rPr>
                <w:lang w:val="fr-FR"/>
              </w:rPr>
              <w:t>autres régions, notamment en Asie centrale et en Afrique,</w:t>
            </w:r>
            <w:r>
              <w:rPr>
                <w:lang w:val="fr-FR"/>
              </w:rPr>
              <w:t xml:space="preserve"> et</w:t>
            </w:r>
            <w:r w:rsidRPr="00F07818">
              <w:rPr>
                <w:lang w:val="fr-FR"/>
              </w:rPr>
              <w:t xml:space="preserve"> d</w:t>
            </w:r>
            <w:r w:rsidR="00533FC3">
              <w:rPr>
                <w:lang w:val="fr-FR"/>
              </w:rPr>
              <w:t>’</w:t>
            </w:r>
            <w:r w:rsidRPr="00F07818">
              <w:rPr>
                <w:lang w:val="fr-FR"/>
              </w:rPr>
              <w:t>informer les autorités douanières au sujet du système international eTIR et de les encourager à interconnecter leurs systèmes douaniers nationaux avec ce système</w:t>
            </w:r>
            <w:r w:rsidR="00A244B5">
              <w:rPr>
                <w:lang w:val="fr-FR"/>
              </w:rPr>
              <w:t> </w:t>
            </w:r>
            <w:r w:rsidRPr="00F07818">
              <w:rPr>
                <w:lang w:val="fr-FR"/>
              </w:rPr>
              <w:t>;</w:t>
            </w:r>
          </w:p>
        </w:tc>
      </w:tr>
      <w:tr w:rsidR="00DF5FAF" w14:paraId="3F48321C" w14:textId="77777777" w:rsidTr="00DF5FAF">
        <w:trPr>
          <w:jc w:val="center"/>
        </w:trPr>
        <w:tc>
          <w:tcPr>
            <w:tcW w:w="9628" w:type="dxa"/>
            <w:shd w:val="clear" w:color="auto" w:fill="auto"/>
          </w:tcPr>
          <w:p w14:paraId="4C0036EE" w14:textId="5707EF05" w:rsidR="00DF5FAF" w:rsidRPr="00F07818" w:rsidRDefault="00DF5FAF" w:rsidP="00A244B5">
            <w:pPr>
              <w:pStyle w:val="SingleTxtG"/>
              <w:ind w:firstLine="567"/>
              <w:rPr>
                <w:lang w:val="fr-FR"/>
              </w:rPr>
            </w:pPr>
            <w:r w:rsidRPr="00F07818">
              <w:rPr>
                <w:lang w:val="fr-FR"/>
              </w:rPr>
              <w:t>e)</w:t>
            </w:r>
            <w:r w:rsidRPr="00F07818">
              <w:rPr>
                <w:lang w:val="fr-FR"/>
              </w:rPr>
              <w:tab/>
            </w:r>
            <w:r>
              <w:rPr>
                <w:lang w:val="fr-FR"/>
              </w:rPr>
              <w:t>D</w:t>
            </w:r>
            <w:r w:rsidRPr="00F07818">
              <w:rPr>
                <w:lang w:val="fr-FR"/>
              </w:rPr>
              <w:t xml:space="preserve">ouzième </w:t>
            </w:r>
            <w:r>
              <w:rPr>
                <w:lang w:val="fr-FR"/>
              </w:rPr>
              <w:t>édition</w:t>
            </w:r>
            <w:r w:rsidRPr="00F07818">
              <w:rPr>
                <w:lang w:val="fr-FR"/>
              </w:rPr>
              <w:t xml:space="preserve"> révisée du Manuel TIR</w:t>
            </w:r>
            <w:r w:rsidR="00A244B5">
              <w:rPr>
                <w:lang w:val="fr-FR"/>
              </w:rPr>
              <w:t> </w:t>
            </w:r>
            <w:r w:rsidRPr="00F07818">
              <w:rPr>
                <w:lang w:val="fr-FR"/>
              </w:rPr>
              <w:t>;</w:t>
            </w:r>
          </w:p>
        </w:tc>
      </w:tr>
      <w:tr w:rsidR="00DF5FAF" w14:paraId="7DFE96B8" w14:textId="77777777" w:rsidTr="00DF5FAF">
        <w:trPr>
          <w:jc w:val="center"/>
        </w:trPr>
        <w:tc>
          <w:tcPr>
            <w:tcW w:w="9628" w:type="dxa"/>
            <w:shd w:val="clear" w:color="auto" w:fill="auto"/>
          </w:tcPr>
          <w:p w14:paraId="107545AC" w14:textId="12D0F66F" w:rsidR="00DF5FAF" w:rsidRPr="00F07818" w:rsidRDefault="00DF5FAF" w:rsidP="00A244B5">
            <w:pPr>
              <w:pStyle w:val="SingleTxtG"/>
              <w:ind w:firstLine="567"/>
              <w:rPr>
                <w:lang w:val="fr-FR"/>
              </w:rPr>
            </w:pPr>
            <w:r w:rsidRPr="00F07818">
              <w:rPr>
                <w:lang w:val="fr-FR"/>
              </w:rPr>
              <w:t>f)</w:t>
            </w:r>
            <w:r w:rsidRPr="00F07818">
              <w:rPr>
                <w:lang w:val="fr-FR"/>
              </w:rPr>
              <w:tab/>
            </w:r>
            <w:r>
              <w:rPr>
                <w:lang w:val="fr-FR"/>
              </w:rPr>
              <w:t>F</w:t>
            </w:r>
            <w:r w:rsidRPr="00F07818">
              <w:rPr>
                <w:lang w:val="fr-FR"/>
              </w:rPr>
              <w:t>aits nouveaux concernant la Convention internationale de 1982 sur l</w:t>
            </w:r>
            <w:r w:rsidR="00533FC3">
              <w:rPr>
                <w:lang w:val="fr-FR"/>
              </w:rPr>
              <w:t>’</w:t>
            </w:r>
            <w:r w:rsidRPr="00F07818">
              <w:rPr>
                <w:lang w:val="fr-FR"/>
              </w:rPr>
              <w:t>harmonisation des contrôles des marchandises aux frontières</w:t>
            </w:r>
            <w:r w:rsidR="00A244B5">
              <w:rPr>
                <w:lang w:val="fr-FR"/>
              </w:rPr>
              <w:t> </w:t>
            </w:r>
            <w:r w:rsidRPr="00F07818">
              <w:rPr>
                <w:lang w:val="fr-FR"/>
              </w:rPr>
              <w:t>;</w:t>
            </w:r>
          </w:p>
        </w:tc>
      </w:tr>
      <w:tr w:rsidR="00DF5FAF" w14:paraId="2B44E40D" w14:textId="77777777" w:rsidTr="00DF5FAF">
        <w:trPr>
          <w:jc w:val="center"/>
        </w:trPr>
        <w:tc>
          <w:tcPr>
            <w:tcW w:w="9628" w:type="dxa"/>
            <w:shd w:val="clear" w:color="auto" w:fill="auto"/>
          </w:tcPr>
          <w:p w14:paraId="33A064B9" w14:textId="23583B6F" w:rsidR="00DF5FAF" w:rsidRPr="00F07818" w:rsidRDefault="00DF5FAF" w:rsidP="00A244B5">
            <w:pPr>
              <w:pStyle w:val="SingleTxtG"/>
              <w:ind w:firstLine="567"/>
              <w:rPr>
                <w:lang w:val="fr-FR"/>
              </w:rPr>
            </w:pPr>
            <w:r w:rsidRPr="00F07818">
              <w:rPr>
                <w:lang w:val="fr-FR"/>
              </w:rPr>
              <w:t>g)</w:t>
            </w:r>
            <w:r w:rsidRPr="00F07818">
              <w:rPr>
                <w:lang w:val="fr-FR"/>
              </w:rPr>
              <w:tab/>
            </w:r>
            <w:r>
              <w:rPr>
                <w:lang w:val="fr-FR"/>
              </w:rPr>
              <w:t>É</w:t>
            </w:r>
            <w:r w:rsidRPr="00F07818">
              <w:rPr>
                <w:lang w:val="fr-FR"/>
              </w:rPr>
              <w:t>laboration d</w:t>
            </w:r>
            <w:r w:rsidR="00533FC3">
              <w:rPr>
                <w:lang w:val="fr-FR"/>
              </w:rPr>
              <w:t>’</w:t>
            </w:r>
            <w:r w:rsidRPr="00F07818">
              <w:rPr>
                <w:lang w:val="fr-FR"/>
              </w:rPr>
              <w:t xml:space="preserve">un guide pratique sur la facilitation du </w:t>
            </w:r>
            <w:r>
              <w:rPr>
                <w:lang w:val="fr-FR"/>
              </w:rPr>
              <w:t>franchissement</w:t>
            </w:r>
            <w:r w:rsidRPr="00F07818">
              <w:rPr>
                <w:lang w:val="fr-FR"/>
              </w:rPr>
              <w:t xml:space="preserve"> des frontières (en collaboration avec l</w:t>
            </w:r>
            <w:r w:rsidR="00533FC3">
              <w:rPr>
                <w:lang w:val="fr-FR"/>
              </w:rPr>
              <w:t>’</w:t>
            </w:r>
            <w:r w:rsidRPr="00F07818">
              <w:rPr>
                <w:lang w:val="fr-FR"/>
              </w:rPr>
              <w:t>OSCE)</w:t>
            </w:r>
            <w:r w:rsidR="00A244B5">
              <w:rPr>
                <w:lang w:val="fr-FR"/>
              </w:rPr>
              <w:t> </w:t>
            </w:r>
            <w:r w:rsidRPr="00F07818">
              <w:rPr>
                <w:lang w:val="fr-FR"/>
              </w:rPr>
              <w:t>;</w:t>
            </w:r>
          </w:p>
        </w:tc>
      </w:tr>
      <w:tr w:rsidR="00DF5FAF" w14:paraId="109BBFDD" w14:textId="77777777" w:rsidTr="00DF5FAF">
        <w:trPr>
          <w:jc w:val="center"/>
        </w:trPr>
        <w:tc>
          <w:tcPr>
            <w:tcW w:w="9628" w:type="dxa"/>
            <w:shd w:val="clear" w:color="auto" w:fill="auto"/>
          </w:tcPr>
          <w:p w14:paraId="1EDC9DBB" w14:textId="3718989C" w:rsidR="00DF5FAF" w:rsidRDefault="00DF5FAF" w:rsidP="00A244B5">
            <w:pPr>
              <w:pStyle w:val="SingleTxtG"/>
              <w:ind w:firstLine="567"/>
            </w:pPr>
            <w:r w:rsidRPr="00F07818">
              <w:rPr>
                <w:lang w:val="fr-FR"/>
              </w:rPr>
              <w:t>h)</w:t>
            </w:r>
            <w:r w:rsidRPr="00F07818">
              <w:rPr>
                <w:lang w:val="fr-FR"/>
              </w:rPr>
              <w:tab/>
            </w:r>
            <w:r>
              <w:rPr>
                <w:lang w:val="fr-FR"/>
              </w:rPr>
              <w:t>F</w:t>
            </w:r>
            <w:r w:rsidRPr="00F07818">
              <w:rPr>
                <w:lang w:val="fr-FR"/>
              </w:rPr>
              <w:t>aits nouveaux concernant la Convention relative à la facilitation du franchissement des frontières pour les voyageurs, les bagages et les bagages non accompagnés dans le cadre du transport ferroviaire international</w:t>
            </w:r>
            <w:r>
              <w:rPr>
                <w:lang w:val="fr-FR"/>
              </w:rPr>
              <w:t> </w:t>
            </w:r>
            <w:r w:rsidRPr="00F07818">
              <w:rPr>
                <w:lang w:val="fr-FR"/>
              </w:rPr>
              <w:t>;</w:t>
            </w:r>
          </w:p>
        </w:tc>
      </w:tr>
      <w:tr w:rsidR="00DF5FAF" w14:paraId="278ACBED" w14:textId="77777777" w:rsidTr="00DF5FAF">
        <w:trPr>
          <w:jc w:val="center"/>
        </w:trPr>
        <w:tc>
          <w:tcPr>
            <w:tcW w:w="9628" w:type="dxa"/>
            <w:shd w:val="clear" w:color="auto" w:fill="auto"/>
          </w:tcPr>
          <w:p w14:paraId="26F1DBD2" w14:textId="3D4E8435" w:rsidR="00DF5FAF" w:rsidRDefault="00DF5FAF" w:rsidP="00A244B5">
            <w:pPr>
              <w:pStyle w:val="SingleTxtG"/>
              <w:ind w:firstLine="567"/>
            </w:pPr>
            <w:r w:rsidRPr="00F07818">
              <w:rPr>
                <w:lang w:val="fr-FR"/>
              </w:rPr>
              <w:t>i)</w:t>
            </w:r>
            <w:r w:rsidRPr="00F07818">
              <w:rPr>
                <w:lang w:val="fr-FR"/>
              </w:rPr>
              <w:tab/>
            </w:r>
            <w:r>
              <w:rPr>
                <w:lang w:val="fr-FR"/>
              </w:rPr>
              <w:t>A</w:t>
            </w:r>
            <w:r w:rsidRPr="00F07818">
              <w:rPr>
                <w:lang w:val="fr-FR"/>
              </w:rPr>
              <w:t>ctivités entreprises en 2023 par la Commission économique pour l</w:t>
            </w:r>
            <w:r w:rsidR="00533FC3">
              <w:rPr>
                <w:lang w:val="fr-FR"/>
              </w:rPr>
              <w:t>’</w:t>
            </w:r>
            <w:r w:rsidRPr="00F07818">
              <w:rPr>
                <w:lang w:val="fr-FR"/>
              </w:rPr>
              <w:t>Europe (CEE) et l</w:t>
            </w:r>
            <w:r w:rsidR="00533FC3">
              <w:rPr>
                <w:lang w:val="fr-FR"/>
              </w:rPr>
              <w:t>’</w:t>
            </w:r>
            <w:r w:rsidRPr="00F07818">
              <w:rPr>
                <w:lang w:val="fr-FR"/>
              </w:rPr>
              <w:t>Alliance internationale de tourisme/Fédération internationale de l</w:t>
            </w:r>
            <w:r w:rsidR="00533FC3">
              <w:rPr>
                <w:lang w:val="fr-FR"/>
              </w:rPr>
              <w:t>’</w:t>
            </w:r>
            <w:r w:rsidRPr="00F07818">
              <w:rPr>
                <w:lang w:val="fr-FR"/>
              </w:rPr>
              <w:t>automobile (AIT/FIA) dans le cadre d</w:t>
            </w:r>
            <w:r w:rsidR="00533FC3">
              <w:rPr>
                <w:lang w:val="fr-FR"/>
              </w:rPr>
              <w:t>’</w:t>
            </w:r>
            <w:r w:rsidRPr="00F07818">
              <w:rPr>
                <w:lang w:val="fr-FR"/>
              </w:rPr>
              <w:t>un mémorandum d</w:t>
            </w:r>
            <w:r w:rsidR="00533FC3">
              <w:rPr>
                <w:lang w:val="fr-FR"/>
              </w:rPr>
              <w:t>’</w:t>
            </w:r>
            <w:r w:rsidRPr="00F07818">
              <w:rPr>
                <w:lang w:val="fr-FR"/>
              </w:rPr>
              <w:t xml:space="preserve">accord sur la revitalisation et la </w:t>
            </w:r>
            <w:r>
              <w:rPr>
                <w:lang w:val="fr-FR"/>
              </w:rPr>
              <w:t>dématérialisation</w:t>
            </w:r>
            <w:r w:rsidRPr="00F07818">
              <w:rPr>
                <w:lang w:val="fr-FR"/>
              </w:rPr>
              <w:t xml:space="preserve"> des conventions pertinentes des Nations Unies en matière de transports intérieurs et, en particulier, l</w:t>
            </w:r>
            <w:r w:rsidR="00533FC3">
              <w:rPr>
                <w:lang w:val="fr-FR"/>
              </w:rPr>
              <w:t>’</w:t>
            </w:r>
            <w:r w:rsidRPr="00F07818">
              <w:rPr>
                <w:lang w:val="fr-FR"/>
              </w:rPr>
              <w:t>élaboration d</w:t>
            </w:r>
            <w:r w:rsidR="00533FC3">
              <w:rPr>
                <w:lang w:val="fr-FR"/>
              </w:rPr>
              <w:t>’</w:t>
            </w:r>
            <w:r w:rsidRPr="00F07818">
              <w:rPr>
                <w:lang w:val="fr-FR"/>
              </w:rPr>
              <w:t>un système de carnet de passage</w:t>
            </w:r>
            <w:r>
              <w:rPr>
                <w:lang w:val="fr-FR"/>
              </w:rPr>
              <w:t>s</w:t>
            </w:r>
            <w:r w:rsidRPr="00F07818">
              <w:rPr>
                <w:lang w:val="fr-FR"/>
              </w:rPr>
              <w:t xml:space="preserve"> en douane électronique (eCPD)</w:t>
            </w:r>
            <w:r w:rsidR="00A244B5">
              <w:rPr>
                <w:lang w:val="fr-FR"/>
              </w:rPr>
              <w:t> </w:t>
            </w:r>
            <w:r w:rsidRPr="00F07818">
              <w:rPr>
                <w:lang w:val="fr-FR"/>
              </w:rPr>
              <w:t>;</w:t>
            </w:r>
          </w:p>
        </w:tc>
      </w:tr>
      <w:tr w:rsidR="00DF5FAF" w14:paraId="6CF9FA07" w14:textId="77777777" w:rsidTr="00DF5FAF">
        <w:trPr>
          <w:jc w:val="center"/>
        </w:trPr>
        <w:tc>
          <w:tcPr>
            <w:tcW w:w="9628" w:type="dxa"/>
            <w:shd w:val="clear" w:color="auto" w:fill="auto"/>
          </w:tcPr>
          <w:p w14:paraId="004EE027" w14:textId="476CEF58" w:rsidR="00DF5FAF" w:rsidRDefault="00DF5FAF" w:rsidP="00A244B5">
            <w:pPr>
              <w:pStyle w:val="SingleTxtG"/>
              <w:ind w:firstLine="567"/>
            </w:pPr>
            <w:r w:rsidRPr="00F07818">
              <w:rPr>
                <w:lang w:val="fr-FR"/>
              </w:rPr>
              <w:t>j)</w:t>
            </w:r>
            <w:r w:rsidRPr="00F07818">
              <w:rPr>
                <w:lang w:val="fr-FR"/>
              </w:rPr>
              <w:tab/>
            </w:r>
            <w:r>
              <w:rPr>
                <w:lang w:val="fr-FR"/>
              </w:rPr>
              <w:t>M</w:t>
            </w:r>
            <w:r w:rsidRPr="00F07818">
              <w:rPr>
                <w:lang w:val="fr-FR"/>
              </w:rPr>
              <w:t xml:space="preserve">esures de suivi prises en 2023 par le </w:t>
            </w:r>
            <w:r>
              <w:rPr>
                <w:lang w:val="fr-FR"/>
              </w:rPr>
              <w:t>WP.30</w:t>
            </w:r>
            <w:r w:rsidRPr="00F07818">
              <w:rPr>
                <w:lang w:val="fr-FR"/>
              </w:rPr>
              <w:t xml:space="preserve"> pour aligner ses travaux sur la Stratégie du </w:t>
            </w:r>
            <w:r>
              <w:rPr>
                <w:lang w:val="fr-FR"/>
              </w:rPr>
              <w:t>CTI</w:t>
            </w:r>
            <w:r w:rsidRPr="00F07818">
              <w:rPr>
                <w:lang w:val="fr-FR"/>
              </w:rPr>
              <w:t xml:space="preserve"> à l</w:t>
            </w:r>
            <w:r w:rsidR="00533FC3">
              <w:rPr>
                <w:lang w:val="fr-FR"/>
              </w:rPr>
              <w:t>’</w:t>
            </w:r>
            <w:r w:rsidRPr="00F07818">
              <w:rPr>
                <w:lang w:val="fr-FR"/>
              </w:rPr>
              <w:t>horizon</w:t>
            </w:r>
            <w:r>
              <w:rPr>
                <w:lang w:val="fr-FR"/>
              </w:rPr>
              <w:t> </w:t>
            </w:r>
            <w:r w:rsidRPr="00F07818">
              <w:rPr>
                <w:lang w:val="fr-FR"/>
              </w:rPr>
              <w:t>2030.</w:t>
            </w:r>
          </w:p>
        </w:tc>
      </w:tr>
      <w:tr w:rsidR="00DF5FAF" w14:paraId="00D97189" w14:textId="77777777" w:rsidTr="00DF5FAF">
        <w:trPr>
          <w:jc w:val="center"/>
        </w:trPr>
        <w:tc>
          <w:tcPr>
            <w:tcW w:w="9628" w:type="dxa"/>
            <w:shd w:val="clear" w:color="auto" w:fill="auto"/>
          </w:tcPr>
          <w:p w14:paraId="3337DB01" w14:textId="77777777" w:rsidR="00DF5FAF" w:rsidRDefault="00DF5FAF"/>
        </w:tc>
      </w:tr>
    </w:tbl>
    <w:p w14:paraId="7106BF5F" w14:textId="77777777" w:rsidR="00DF5FAF" w:rsidRPr="00F07818" w:rsidRDefault="00DF5FAF" w:rsidP="00A244B5">
      <w:pPr>
        <w:pStyle w:val="HChG"/>
      </w:pPr>
      <w:r>
        <w:rPr>
          <w:lang w:val="fr-FR"/>
        </w:rPr>
        <w:tab/>
      </w:r>
      <w:r w:rsidRPr="00F07818">
        <w:rPr>
          <w:lang w:val="fr-FR"/>
        </w:rPr>
        <w:t>I.</w:t>
      </w:r>
      <w:r w:rsidRPr="00F07818">
        <w:rPr>
          <w:lang w:val="fr-FR"/>
        </w:rPr>
        <w:tab/>
        <w:t>Contexte et mandat</w:t>
      </w:r>
    </w:p>
    <w:p w14:paraId="2AE88651" w14:textId="3C96A78C" w:rsidR="00DF5FAF" w:rsidRPr="00F07818" w:rsidRDefault="00DF5FAF" w:rsidP="00A244B5">
      <w:pPr>
        <w:pStyle w:val="SingleTxtG"/>
      </w:pPr>
      <w:r w:rsidRPr="00F07818">
        <w:rPr>
          <w:lang w:val="fr-FR"/>
        </w:rPr>
        <w:t>1.</w:t>
      </w:r>
      <w:r w:rsidRPr="00F07818">
        <w:rPr>
          <w:lang w:val="fr-FR"/>
        </w:rPr>
        <w:tab/>
        <w:t xml:space="preserve">Le présent document a été élaboré conformément au programme de travail du </w:t>
      </w:r>
      <w:r>
        <w:rPr>
          <w:lang w:val="fr-FR"/>
        </w:rPr>
        <w:t>CTI</w:t>
      </w:r>
      <w:r w:rsidRPr="00F07818">
        <w:rPr>
          <w:lang w:val="fr-FR"/>
        </w:rPr>
        <w:t xml:space="preserve"> pour 2023 (documents ECE/TRANS/328, par. 33, et ECE/TRANS/2023/11, activité 4</w:t>
      </w:r>
      <w:r>
        <w:rPr>
          <w:lang w:val="fr-FR"/>
        </w:rPr>
        <w:t>.</w:t>
      </w:r>
      <w:r w:rsidRPr="00F07818">
        <w:rPr>
          <w:lang w:val="fr-FR"/>
        </w:rPr>
        <w:t>l)</w:t>
      </w:r>
      <w:r w:rsidR="00CE67D3">
        <w:rPr>
          <w:lang w:val="fr-FR"/>
        </w:rPr>
        <w:t> </w:t>
      </w:r>
      <w:r w:rsidRPr="00F07818">
        <w:rPr>
          <w:lang w:val="fr-FR"/>
        </w:rPr>
        <w:t xml:space="preserve">: problèmes douaniers intéressant les transports). Il y est rendu compte des progrès réalisés en 2023 par les </w:t>
      </w:r>
      <w:r>
        <w:rPr>
          <w:lang w:val="fr-FR"/>
        </w:rPr>
        <w:t>p</w:t>
      </w:r>
      <w:r w:rsidRPr="00F07818">
        <w:rPr>
          <w:lang w:val="fr-FR"/>
        </w:rPr>
        <w:t>arties contractantes, par le Groupe de travail des problèmes douaniers intéressant les transports</w:t>
      </w:r>
      <w:r>
        <w:rPr>
          <w:lang w:val="fr-FR"/>
        </w:rPr>
        <w:t xml:space="preserve"> (WP.30)</w:t>
      </w:r>
      <w:r w:rsidRPr="00F07818">
        <w:rPr>
          <w:lang w:val="fr-FR"/>
        </w:rPr>
        <w:t>, par le Comité de gestion de la Convention TIR de 1975 (AC.2), par l</w:t>
      </w:r>
      <w:r w:rsidR="00533FC3">
        <w:rPr>
          <w:lang w:val="fr-FR"/>
        </w:rPr>
        <w:t>’</w:t>
      </w:r>
      <w:r w:rsidRPr="00F07818">
        <w:rPr>
          <w:lang w:val="fr-FR"/>
        </w:rPr>
        <w:t>Organe de mise en œuvre technique (TIB) (pour les Parties contractantes liées par l</w:t>
      </w:r>
      <w:r w:rsidR="00533FC3">
        <w:rPr>
          <w:lang w:val="fr-FR"/>
        </w:rPr>
        <w:t>’</w:t>
      </w:r>
      <w:r w:rsidRPr="00F07818">
        <w:rPr>
          <w:lang w:val="fr-FR"/>
        </w:rPr>
        <w:t>annexe</w:t>
      </w:r>
      <w:r>
        <w:rPr>
          <w:lang w:val="fr-FR"/>
        </w:rPr>
        <w:t> </w:t>
      </w:r>
      <w:r w:rsidRPr="00F07818">
        <w:rPr>
          <w:lang w:val="fr-FR"/>
        </w:rPr>
        <w:t xml:space="preserve">11 </w:t>
      </w:r>
      <w:r>
        <w:rPr>
          <w:lang w:val="fr-FR"/>
        </w:rPr>
        <w:t>de</w:t>
      </w:r>
      <w:r w:rsidRPr="00F07818">
        <w:rPr>
          <w:lang w:val="fr-FR"/>
        </w:rPr>
        <w:t xml:space="preserve"> la Convention TIR), par le Comité de gestion de la Convention de 1982 sur l</w:t>
      </w:r>
      <w:r w:rsidR="00533FC3">
        <w:rPr>
          <w:lang w:val="fr-FR"/>
        </w:rPr>
        <w:t>’</w:t>
      </w:r>
      <w:r w:rsidRPr="00F07818">
        <w:rPr>
          <w:lang w:val="fr-FR"/>
        </w:rPr>
        <w:t xml:space="preserve">harmonisation (AC.3) et par les secrétariats de la CEE et de la Convention TIR dans le domaine du </w:t>
      </w:r>
      <w:r>
        <w:rPr>
          <w:lang w:val="fr-FR"/>
        </w:rPr>
        <w:t>franchissement</w:t>
      </w:r>
      <w:r w:rsidRPr="00F07818">
        <w:rPr>
          <w:lang w:val="fr-FR"/>
        </w:rPr>
        <w:t xml:space="preserve"> des frontières, notamment</w:t>
      </w:r>
      <w:r w:rsidR="00CE67D3">
        <w:rPr>
          <w:lang w:val="fr-FR"/>
        </w:rPr>
        <w:t> </w:t>
      </w:r>
      <w:r w:rsidRPr="00F07818">
        <w:rPr>
          <w:lang w:val="fr-FR"/>
        </w:rPr>
        <w:t>:</w:t>
      </w:r>
    </w:p>
    <w:p w14:paraId="35758CFF" w14:textId="2BA64A54" w:rsidR="00DF5FAF" w:rsidRPr="00F07818" w:rsidRDefault="00DF5FAF" w:rsidP="00A244B5">
      <w:pPr>
        <w:pStyle w:val="Bullet1G"/>
      </w:pPr>
      <w:r>
        <w:rPr>
          <w:lang w:val="fr-FR"/>
        </w:rPr>
        <w:t>D</w:t>
      </w:r>
      <w:r w:rsidRPr="00F07818">
        <w:rPr>
          <w:lang w:val="fr-FR"/>
        </w:rPr>
        <w:t>es activités et faits nouveaux ayant trait à la Convention TIR et au fonctionnement du système TIR</w:t>
      </w:r>
      <w:r>
        <w:rPr>
          <w:lang w:val="fr-FR"/>
        </w:rPr>
        <w:t> ;</w:t>
      </w:r>
    </w:p>
    <w:p w14:paraId="79AED59F" w14:textId="61D3D84F" w:rsidR="00DF5FAF" w:rsidRPr="00F07818" w:rsidRDefault="00DF5FAF" w:rsidP="00A244B5">
      <w:pPr>
        <w:pStyle w:val="Bullet1G"/>
      </w:pPr>
      <w:r>
        <w:rPr>
          <w:lang w:val="fr-FR"/>
        </w:rPr>
        <w:t>Des p</w:t>
      </w:r>
      <w:r w:rsidRPr="00F07818">
        <w:rPr>
          <w:lang w:val="fr-FR"/>
        </w:rPr>
        <w:t>rogrès réalisés dans le</w:t>
      </w:r>
      <w:r>
        <w:rPr>
          <w:lang w:val="fr-FR"/>
        </w:rPr>
        <w:t xml:space="preserve"> cadre de</w:t>
      </w:r>
      <w:r w:rsidRPr="00F07818">
        <w:rPr>
          <w:lang w:val="fr-FR"/>
        </w:rPr>
        <w:t>s projets d</w:t>
      </w:r>
      <w:r w:rsidR="00533FC3">
        <w:rPr>
          <w:lang w:val="fr-FR"/>
        </w:rPr>
        <w:t>’</w:t>
      </w:r>
      <w:r w:rsidRPr="00F07818">
        <w:rPr>
          <w:lang w:val="fr-FR"/>
        </w:rPr>
        <w:t>interconnexion eTIR</w:t>
      </w:r>
      <w:r>
        <w:rPr>
          <w:lang w:val="fr-FR"/>
        </w:rPr>
        <w:t> ;</w:t>
      </w:r>
    </w:p>
    <w:p w14:paraId="43461D70" w14:textId="18C70BDE" w:rsidR="00DF5FAF" w:rsidRPr="00F07818" w:rsidRDefault="00DF5FAF" w:rsidP="00A244B5">
      <w:pPr>
        <w:pStyle w:val="Bullet1G"/>
      </w:pPr>
      <w:r>
        <w:rPr>
          <w:lang w:val="fr-FR"/>
        </w:rPr>
        <w:t>D</w:t>
      </w:r>
      <w:r w:rsidRPr="00F07818">
        <w:rPr>
          <w:lang w:val="fr-FR"/>
        </w:rPr>
        <w:t>es faits nouveaux concernant la Convention internationale de 1982 sur l</w:t>
      </w:r>
      <w:r w:rsidR="00533FC3">
        <w:rPr>
          <w:lang w:val="fr-FR"/>
        </w:rPr>
        <w:t>’</w:t>
      </w:r>
      <w:r w:rsidRPr="00F07818">
        <w:rPr>
          <w:lang w:val="fr-FR"/>
        </w:rPr>
        <w:t>harmonisation des contrôles des marchandises aux frontières (Convention sur l</w:t>
      </w:r>
      <w:r w:rsidR="00533FC3">
        <w:rPr>
          <w:lang w:val="fr-FR"/>
        </w:rPr>
        <w:t>’</w:t>
      </w:r>
      <w:r w:rsidRPr="00F07818">
        <w:rPr>
          <w:lang w:val="fr-FR"/>
        </w:rPr>
        <w:t>harmonisation)</w:t>
      </w:r>
      <w:r>
        <w:rPr>
          <w:lang w:val="fr-FR"/>
        </w:rPr>
        <w:t> ;</w:t>
      </w:r>
    </w:p>
    <w:p w14:paraId="73E42215" w14:textId="2430AE04" w:rsidR="00DF5FAF" w:rsidRPr="00F07818" w:rsidRDefault="00DF5FAF" w:rsidP="00A244B5">
      <w:pPr>
        <w:pStyle w:val="Bullet1G"/>
      </w:pPr>
      <w:r>
        <w:rPr>
          <w:lang w:val="fr-FR"/>
        </w:rPr>
        <w:t>D</w:t>
      </w:r>
      <w:r w:rsidRPr="00F07818">
        <w:rPr>
          <w:lang w:val="fr-FR"/>
        </w:rPr>
        <w:t>es faits nouveaux concernant la Convention relative à la facilitation du franchissement des frontières pour les voyageurs, les bagages et les bagages non accompagnés dans le cadre du transport ferroviaire international</w:t>
      </w:r>
      <w:r>
        <w:rPr>
          <w:lang w:val="fr-FR"/>
        </w:rPr>
        <w:t> ;</w:t>
      </w:r>
    </w:p>
    <w:p w14:paraId="11FC7C03" w14:textId="080A87F3" w:rsidR="00DF5FAF" w:rsidRPr="00F07818" w:rsidRDefault="00DF5FAF" w:rsidP="00A244B5">
      <w:pPr>
        <w:pStyle w:val="Bullet1G"/>
      </w:pPr>
      <w:r>
        <w:rPr>
          <w:lang w:val="fr-FR"/>
        </w:rPr>
        <w:t>D</w:t>
      </w:r>
      <w:r w:rsidRPr="00F07818">
        <w:rPr>
          <w:lang w:val="fr-FR"/>
        </w:rPr>
        <w:t>es faits nouveaux concernant la Convention douanière de 1954 relative à l</w:t>
      </w:r>
      <w:r w:rsidR="00533FC3">
        <w:rPr>
          <w:lang w:val="fr-FR"/>
        </w:rPr>
        <w:t>’</w:t>
      </w:r>
      <w:r w:rsidRPr="00F07818">
        <w:rPr>
          <w:lang w:val="fr-FR"/>
        </w:rPr>
        <w:t>importation temporaire des véhicules routiers privés et la Convention douanière de 1956 relative à l</w:t>
      </w:r>
      <w:r w:rsidR="00533FC3">
        <w:rPr>
          <w:lang w:val="fr-FR"/>
        </w:rPr>
        <w:t>’</w:t>
      </w:r>
      <w:r w:rsidRPr="00F07818">
        <w:rPr>
          <w:lang w:val="fr-FR"/>
        </w:rPr>
        <w:t>importation temporaire des véhicules routiers commerciaux</w:t>
      </w:r>
      <w:r>
        <w:rPr>
          <w:lang w:val="fr-FR"/>
        </w:rPr>
        <w:t> ;</w:t>
      </w:r>
    </w:p>
    <w:p w14:paraId="1E2E46A6" w14:textId="13725A7B" w:rsidR="00DF5FAF" w:rsidRPr="00F07818" w:rsidRDefault="00DF5FAF" w:rsidP="00A244B5">
      <w:pPr>
        <w:pStyle w:val="Bullet1G"/>
      </w:pPr>
      <w:r>
        <w:rPr>
          <w:lang w:val="fr-FR"/>
        </w:rPr>
        <w:t>De l</w:t>
      </w:r>
      <w:r w:rsidRPr="00F07818">
        <w:rPr>
          <w:lang w:val="fr-FR"/>
        </w:rPr>
        <w:t xml:space="preserve">a demande </w:t>
      </w:r>
      <w:r>
        <w:rPr>
          <w:lang w:val="fr-FR"/>
        </w:rPr>
        <w:t>que</w:t>
      </w:r>
      <w:r w:rsidRPr="00F07818">
        <w:rPr>
          <w:lang w:val="fr-FR"/>
        </w:rPr>
        <w:t xml:space="preserve"> le </w:t>
      </w:r>
      <w:r>
        <w:rPr>
          <w:lang w:val="fr-FR"/>
        </w:rPr>
        <w:t>CTI a adressée au WP.30</w:t>
      </w:r>
      <w:r w:rsidRPr="00F07818">
        <w:rPr>
          <w:lang w:val="fr-FR"/>
        </w:rPr>
        <w:t xml:space="preserve"> </w:t>
      </w:r>
      <w:r>
        <w:rPr>
          <w:lang w:val="fr-FR"/>
        </w:rPr>
        <w:t xml:space="preserve">afin que celui-ci </w:t>
      </w:r>
      <w:r w:rsidRPr="00F07818">
        <w:rPr>
          <w:lang w:val="fr-FR"/>
        </w:rPr>
        <w:t xml:space="preserve">aligne </w:t>
      </w:r>
      <w:r>
        <w:rPr>
          <w:lang w:val="fr-FR"/>
        </w:rPr>
        <w:t>s</w:t>
      </w:r>
      <w:r w:rsidRPr="00F07818">
        <w:rPr>
          <w:lang w:val="fr-FR"/>
        </w:rPr>
        <w:t xml:space="preserve">es activités sur la </w:t>
      </w:r>
      <w:r>
        <w:rPr>
          <w:lang w:val="fr-FR"/>
        </w:rPr>
        <w:t>S</w:t>
      </w:r>
      <w:r w:rsidRPr="00F07818">
        <w:rPr>
          <w:lang w:val="fr-FR"/>
        </w:rPr>
        <w:t xml:space="preserve">tratégie du </w:t>
      </w:r>
      <w:r>
        <w:rPr>
          <w:lang w:val="fr-FR"/>
        </w:rPr>
        <w:t>CTI</w:t>
      </w:r>
      <w:r w:rsidRPr="00F07818">
        <w:rPr>
          <w:lang w:val="fr-FR"/>
        </w:rPr>
        <w:t xml:space="preserve"> à l</w:t>
      </w:r>
      <w:r w:rsidR="00533FC3">
        <w:rPr>
          <w:lang w:val="fr-FR"/>
        </w:rPr>
        <w:t>’</w:t>
      </w:r>
      <w:r w:rsidRPr="00F07818">
        <w:rPr>
          <w:lang w:val="fr-FR"/>
        </w:rPr>
        <w:t>horizon</w:t>
      </w:r>
      <w:r>
        <w:rPr>
          <w:lang w:val="fr-FR"/>
        </w:rPr>
        <w:t> </w:t>
      </w:r>
      <w:r w:rsidRPr="00F07818">
        <w:rPr>
          <w:lang w:val="fr-FR"/>
        </w:rPr>
        <w:t>2030.</w:t>
      </w:r>
    </w:p>
    <w:p w14:paraId="705913B0" w14:textId="7C7E6E3E" w:rsidR="00DF5FAF" w:rsidRPr="00F07818" w:rsidRDefault="00DF5FAF" w:rsidP="00A244B5">
      <w:pPr>
        <w:pStyle w:val="HChG"/>
      </w:pPr>
      <w:r>
        <w:rPr>
          <w:lang w:val="fr-FR"/>
        </w:rPr>
        <w:lastRenderedPageBreak/>
        <w:tab/>
      </w:r>
      <w:r w:rsidRPr="00F07818">
        <w:rPr>
          <w:lang w:val="fr-FR"/>
        </w:rPr>
        <w:t>II.</w:t>
      </w:r>
      <w:r w:rsidRPr="00F07818">
        <w:rPr>
          <w:lang w:val="fr-FR"/>
        </w:rPr>
        <w:tab/>
        <w:t xml:space="preserve">Convention douanière de 1975 relative au transport international de marchandises sous le couvert </w:t>
      </w:r>
      <w:r w:rsidR="00A244B5">
        <w:rPr>
          <w:lang w:val="fr-FR"/>
        </w:rPr>
        <w:br/>
      </w:r>
      <w:r w:rsidRPr="00F07818">
        <w:rPr>
          <w:lang w:val="fr-FR"/>
        </w:rPr>
        <w:t>de carnets TIR (Convention TIR)</w:t>
      </w:r>
    </w:p>
    <w:p w14:paraId="2455286C" w14:textId="6CABAEED" w:rsidR="00DF5FAF" w:rsidRPr="00F07818" w:rsidRDefault="00DF5FAF" w:rsidP="00A244B5">
      <w:pPr>
        <w:pStyle w:val="H1G"/>
      </w:pPr>
      <w:r>
        <w:rPr>
          <w:lang w:val="fr-FR"/>
        </w:rPr>
        <w:tab/>
      </w:r>
      <w:r w:rsidRPr="00F07818">
        <w:rPr>
          <w:lang w:val="fr-FR"/>
        </w:rPr>
        <w:t>A.</w:t>
      </w:r>
      <w:r w:rsidRPr="00F07818">
        <w:rPr>
          <w:lang w:val="fr-FR"/>
        </w:rPr>
        <w:tab/>
        <w:t>Propositions d</w:t>
      </w:r>
      <w:r w:rsidR="00533FC3">
        <w:rPr>
          <w:lang w:val="fr-FR"/>
        </w:rPr>
        <w:t>’</w:t>
      </w:r>
      <w:r w:rsidRPr="00F07818">
        <w:rPr>
          <w:lang w:val="fr-FR"/>
        </w:rPr>
        <w:t>amendement</w:t>
      </w:r>
      <w:r>
        <w:rPr>
          <w:lang w:val="fr-FR"/>
        </w:rPr>
        <w:t>s</w:t>
      </w:r>
      <w:r w:rsidRPr="00F07818">
        <w:rPr>
          <w:lang w:val="fr-FR"/>
        </w:rPr>
        <w:t xml:space="preserve"> à la Convention</w:t>
      </w:r>
    </w:p>
    <w:p w14:paraId="71FC76D9" w14:textId="0FA99ABA" w:rsidR="00DF5FAF" w:rsidRPr="00F07818" w:rsidRDefault="00DF5FAF" w:rsidP="00A244B5">
      <w:pPr>
        <w:pStyle w:val="SingleTxtG"/>
      </w:pPr>
      <w:r w:rsidRPr="00F07818">
        <w:rPr>
          <w:lang w:val="fr-FR"/>
        </w:rPr>
        <w:t>2.</w:t>
      </w:r>
      <w:r w:rsidRPr="00F07818">
        <w:rPr>
          <w:lang w:val="fr-FR"/>
        </w:rPr>
        <w:tab/>
      </w:r>
      <w:r>
        <w:rPr>
          <w:lang w:val="fr-FR"/>
        </w:rPr>
        <w:t>L</w:t>
      </w:r>
      <w:r w:rsidRPr="00F07818">
        <w:rPr>
          <w:lang w:val="fr-FR"/>
        </w:rPr>
        <w:t>e 27</w:t>
      </w:r>
      <w:r>
        <w:rPr>
          <w:lang w:val="fr-FR"/>
        </w:rPr>
        <w:t> </w:t>
      </w:r>
      <w:r w:rsidRPr="00F07818">
        <w:rPr>
          <w:lang w:val="fr-FR"/>
        </w:rPr>
        <w:t>septembre 2023, la Convention TIR de 1975 est entrée en vigueur pour l</w:t>
      </w:r>
      <w:r w:rsidR="00533FC3">
        <w:rPr>
          <w:lang w:val="fr-FR"/>
        </w:rPr>
        <w:t>’</w:t>
      </w:r>
      <w:r w:rsidRPr="00F07818">
        <w:rPr>
          <w:lang w:val="fr-FR"/>
        </w:rPr>
        <w:t>Iraq. Elle compte désormais 78</w:t>
      </w:r>
      <w:r>
        <w:rPr>
          <w:lang w:val="fr-FR"/>
        </w:rPr>
        <w:t> </w:t>
      </w:r>
      <w:r w:rsidRPr="00F07818">
        <w:rPr>
          <w:lang w:val="fr-FR"/>
        </w:rPr>
        <w:t>Parties contractantes et</w:t>
      </w:r>
      <w:r>
        <w:rPr>
          <w:lang w:val="fr-FR"/>
        </w:rPr>
        <w:t>,</w:t>
      </w:r>
      <w:r w:rsidRPr="00F07818">
        <w:rPr>
          <w:lang w:val="fr-FR"/>
        </w:rPr>
        <w:t xml:space="preserve"> depuis la mise en service du système pour le Qatar, des opérations TIR peuvent être </w:t>
      </w:r>
      <w:r>
        <w:rPr>
          <w:lang w:val="fr-FR"/>
        </w:rPr>
        <w:t>menées</w:t>
      </w:r>
      <w:r w:rsidRPr="00F07818">
        <w:rPr>
          <w:lang w:val="fr-FR"/>
        </w:rPr>
        <w:t xml:space="preserve"> dans 65</w:t>
      </w:r>
      <w:r>
        <w:rPr>
          <w:lang w:val="fr-FR"/>
        </w:rPr>
        <w:t> </w:t>
      </w:r>
      <w:r w:rsidRPr="00F07818">
        <w:rPr>
          <w:lang w:val="fr-FR"/>
        </w:rPr>
        <w:t xml:space="preserve">pays. </w:t>
      </w:r>
    </w:p>
    <w:p w14:paraId="7D6844D6" w14:textId="5E5FC8E0" w:rsidR="00DF5FAF" w:rsidRPr="00F07818" w:rsidRDefault="00DF5FAF" w:rsidP="00A244B5">
      <w:pPr>
        <w:pStyle w:val="SingleTxtG"/>
      </w:pPr>
      <w:r w:rsidRPr="00F07818">
        <w:rPr>
          <w:lang w:val="fr-FR"/>
        </w:rPr>
        <w:t>3.</w:t>
      </w:r>
      <w:r w:rsidRPr="00F07818">
        <w:rPr>
          <w:lang w:val="fr-FR"/>
        </w:rPr>
        <w:tab/>
        <w:t>En 2023, aucun amendement n</w:t>
      </w:r>
      <w:r w:rsidR="00533FC3">
        <w:rPr>
          <w:lang w:val="fr-FR"/>
        </w:rPr>
        <w:t>’</w:t>
      </w:r>
      <w:r w:rsidRPr="00F07818">
        <w:rPr>
          <w:lang w:val="fr-FR"/>
        </w:rPr>
        <w:t>est entré en vigueur pour toutes les Parties contractantes à la Convention</w:t>
      </w:r>
      <w:r w:rsidR="00533FC3">
        <w:rPr>
          <w:lang w:val="fr-FR"/>
        </w:rPr>
        <w:t>.</w:t>
      </w:r>
    </w:p>
    <w:p w14:paraId="2425B610" w14:textId="77777777" w:rsidR="00DF5FAF" w:rsidRPr="00F07818" w:rsidRDefault="00DF5FAF" w:rsidP="00A244B5">
      <w:pPr>
        <w:pStyle w:val="SingleTxtG"/>
      </w:pPr>
      <w:r w:rsidRPr="00F07818">
        <w:rPr>
          <w:lang w:val="fr-FR"/>
        </w:rPr>
        <w:t>4.</w:t>
      </w:r>
      <w:r w:rsidRPr="00F07818">
        <w:rPr>
          <w:lang w:val="fr-FR"/>
        </w:rPr>
        <w:tab/>
        <w:t>De plus amples informations sur les notifications dépositaires sont disponibles sur le site Web de la Convention TIR</w:t>
      </w:r>
      <w:r w:rsidRPr="002C7228">
        <w:rPr>
          <w:rStyle w:val="Appelnotedebasdep"/>
        </w:rPr>
        <w:footnoteReference w:id="2"/>
      </w:r>
      <w:r w:rsidRPr="00F07818">
        <w:rPr>
          <w:lang w:val="fr-FR"/>
        </w:rPr>
        <w:t>.</w:t>
      </w:r>
    </w:p>
    <w:p w14:paraId="55C64214" w14:textId="4F17498E" w:rsidR="00DF5FAF" w:rsidRPr="00F07818" w:rsidRDefault="00DF5FAF" w:rsidP="00A244B5">
      <w:pPr>
        <w:pStyle w:val="H1G"/>
      </w:pPr>
      <w:r>
        <w:rPr>
          <w:lang w:val="fr-FR"/>
        </w:rPr>
        <w:tab/>
      </w:r>
      <w:r w:rsidRPr="00F07818">
        <w:rPr>
          <w:lang w:val="fr-FR"/>
        </w:rPr>
        <w:t>B.</w:t>
      </w:r>
      <w:r w:rsidRPr="00F07818">
        <w:rPr>
          <w:lang w:val="fr-FR"/>
        </w:rPr>
        <w:tab/>
        <w:t xml:space="preserve">Banque de données internationale TIR et outils électroniques </w:t>
      </w:r>
      <w:r>
        <w:rPr>
          <w:lang w:val="fr-FR"/>
        </w:rPr>
        <w:t>gérés par</w:t>
      </w:r>
      <w:r w:rsidR="00A244B5">
        <w:rPr>
          <w:lang w:val="fr-FR"/>
        </w:rPr>
        <w:t> </w:t>
      </w:r>
      <w:r>
        <w:rPr>
          <w:lang w:val="fr-FR"/>
        </w:rPr>
        <w:t>le</w:t>
      </w:r>
      <w:r w:rsidRPr="00F07818">
        <w:rPr>
          <w:lang w:val="fr-FR"/>
        </w:rPr>
        <w:t xml:space="preserve"> secrétariat TIR</w:t>
      </w:r>
    </w:p>
    <w:p w14:paraId="31E1D0EF" w14:textId="292C5471" w:rsidR="00DF5FAF" w:rsidRPr="00F07818" w:rsidRDefault="00DF5FAF" w:rsidP="00A244B5">
      <w:pPr>
        <w:pStyle w:val="SingleTxtG"/>
        <w:rPr>
          <w:i/>
          <w:iCs/>
        </w:rPr>
      </w:pPr>
      <w:r w:rsidRPr="00F07818">
        <w:rPr>
          <w:lang w:val="fr-FR"/>
        </w:rPr>
        <w:t>5.</w:t>
      </w:r>
      <w:r w:rsidRPr="00F07818">
        <w:rPr>
          <w:lang w:val="fr-FR"/>
        </w:rPr>
        <w:tab/>
        <w:t>À sa quatre-vingt-unième session (octobre 2023), l</w:t>
      </w:r>
      <w:r w:rsidR="00533FC3">
        <w:rPr>
          <w:lang w:val="fr-FR"/>
        </w:rPr>
        <w:t>’</w:t>
      </w:r>
      <w:r>
        <w:rPr>
          <w:lang w:val="fr-FR"/>
        </w:rPr>
        <w:t>AC.2</w:t>
      </w:r>
      <w:r w:rsidRPr="00F07818">
        <w:rPr>
          <w:lang w:val="fr-FR"/>
        </w:rPr>
        <w:t xml:space="preserve"> a été informé des faits nouveaux concernant l</w:t>
      </w:r>
      <w:r w:rsidR="00533FC3">
        <w:rPr>
          <w:lang w:val="fr-FR"/>
        </w:rPr>
        <w:t>’</w:t>
      </w:r>
      <w:r w:rsidRPr="00F07818">
        <w:rPr>
          <w:lang w:val="fr-FR"/>
        </w:rPr>
        <w:t>ITDB et d</w:t>
      </w:r>
      <w:r w:rsidR="00533FC3">
        <w:rPr>
          <w:lang w:val="fr-FR"/>
        </w:rPr>
        <w:t>’</w:t>
      </w:r>
      <w:r w:rsidRPr="00F07818">
        <w:rPr>
          <w:lang w:val="fr-FR"/>
        </w:rPr>
        <w:t xml:space="preserve">autres projets informatiques gérés par le secrétariat TIR. </w:t>
      </w:r>
      <w:r>
        <w:rPr>
          <w:lang w:val="fr-FR"/>
        </w:rPr>
        <w:t>Il</w:t>
      </w:r>
      <w:r w:rsidR="004E2799">
        <w:rPr>
          <w:lang w:val="fr-FR"/>
        </w:rPr>
        <w:t> </w:t>
      </w:r>
      <w:r w:rsidRPr="00F07818">
        <w:rPr>
          <w:lang w:val="fr-FR"/>
        </w:rPr>
        <w:t>a pris note de</w:t>
      </w:r>
      <w:r>
        <w:rPr>
          <w:lang w:val="fr-FR"/>
        </w:rPr>
        <w:t>s chiffres actualisés relatifs aux données enregistrées</w:t>
      </w:r>
      <w:r w:rsidRPr="00F07818">
        <w:rPr>
          <w:lang w:val="fr-FR"/>
        </w:rPr>
        <w:t xml:space="preserve"> dans l</w:t>
      </w:r>
      <w:r w:rsidR="00533FC3">
        <w:rPr>
          <w:lang w:val="fr-FR"/>
        </w:rPr>
        <w:t>’</w:t>
      </w:r>
      <w:r w:rsidRPr="00F07818">
        <w:rPr>
          <w:lang w:val="fr-FR"/>
        </w:rPr>
        <w:t>ITDB (1 156</w:t>
      </w:r>
      <w:r>
        <w:rPr>
          <w:lang w:val="fr-FR"/>
        </w:rPr>
        <w:t> </w:t>
      </w:r>
      <w:r w:rsidRPr="00F07818">
        <w:rPr>
          <w:lang w:val="fr-FR"/>
        </w:rPr>
        <w:t>utilisateurs de l</w:t>
      </w:r>
      <w:r w:rsidR="00533FC3">
        <w:rPr>
          <w:lang w:val="fr-FR"/>
        </w:rPr>
        <w:t>’</w:t>
      </w:r>
      <w:r w:rsidRPr="00F07818">
        <w:rPr>
          <w:lang w:val="fr-FR"/>
        </w:rPr>
        <w:t>application Web, 30 089</w:t>
      </w:r>
      <w:r>
        <w:rPr>
          <w:lang w:val="fr-FR"/>
        </w:rPr>
        <w:t> </w:t>
      </w:r>
      <w:r w:rsidRPr="00F07818">
        <w:rPr>
          <w:lang w:val="fr-FR"/>
        </w:rPr>
        <w:t>titulaires habilités, 282</w:t>
      </w:r>
      <w:r>
        <w:rPr>
          <w:lang w:val="fr-FR"/>
        </w:rPr>
        <w:t> </w:t>
      </w:r>
      <w:r w:rsidRPr="00F07818">
        <w:rPr>
          <w:lang w:val="fr-FR"/>
        </w:rPr>
        <w:t>timbres et sceaux, et 2 991</w:t>
      </w:r>
      <w:r>
        <w:rPr>
          <w:lang w:val="fr-FR"/>
        </w:rPr>
        <w:t> </w:t>
      </w:r>
      <w:r w:rsidRPr="00F07818">
        <w:rPr>
          <w:lang w:val="fr-FR"/>
        </w:rPr>
        <w:t>bureaux de douane), ainsi que d</w:t>
      </w:r>
      <w:r w:rsidR="00533FC3">
        <w:rPr>
          <w:lang w:val="fr-FR"/>
        </w:rPr>
        <w:t>’</w:t>
      </w:r>
      <w:r>
        <w:rPr>
          <w:lang w:val="fr-FR"/>
        </w:rPr>
        <w:t xml:space="preserve">informations sur </w:t>
      </w:r>
      <w:r w:rsidRPr="00F07818">
        <w:rPr>
          <w:lang w:val="fr-FR"/>
        </w:rPr>
        <w:t>l</w:t>
      </w:r>
      <w:r w:rsidR="00533FC3">
        <w:rPr>
          <w:lang w:val="fr-FR"/>
        </w:rPr>
        <w:t>’</w:t>
      </w:r>
      <w:r w:rsidRPr="00F07818">
        <w:rPr>
          <w:lang w:val="fr-FR"/>
        </w:rPr>
        <w:t>utilisation d</w:t>
      </w:r>
      <w:r>
        <w:rPr>
          <w:lang w:val="fr-FR"/>
        </w:rPr>
        <w:t>es</w:t>
      </w:r>
      <w:r w:rsidRPr="00F07818">
        <w:rPr>
          <w:lang w:val="fr-FR"/>
        </w:rPr>
        <w:t xml:space="preserve"> service</w:t>
      </w:r>
      <w:r>
        <w:rPr>
          <w:lang w:val="fr-FR"/>
        </w:rPr>
        <w:t>s</w:t>
      </w:r>
      <w:r w:rsidRPr="00F07818">
        <w:rPr>
          <w:lang w:val="fr-FR"/>
        </w:rPr>
        <w:t xml:space="preserve"> Web au cours des dernières années. Il a également pris note des améliorations prévues, en particulier </w:t>
      </w:r>
      <w:r>
        <w:rPr>
          <w:lang w:val="fr-FR"/>
        </w:rPr>
        <w:t xml:space="preserve">de </w:t>
      </w:r>
      <w:r w:rsidRPr="00F07818">
        <w:rPr>
          <w:lang w:val="fr-FR"/>
        </w:rPr>
        <w:t>l</w:t>
      </w:r>
      <w:r w:rsidR="00533FC3">
        <w:rPr>
          <w:lang w:val="fr-FR"/>
        </w:rPr>
        <w:t>’</w:t>
      </w:r>
      <w:r w:rsidRPr="00F07818">
        <w:rPr>
          <w:lang w:val="fr-FR"/>
        </w:rPr>
        <w:t>augmentation du nombre de langues disponibles pour l</w:t>
      </w:r>
      <w:r w:rsidR="00533FC3">
        <w:rPr>
          <w:lang w:val="fr-FR"/>
        </w:rPr>
        <w:t>’</w:t>
      </w:r>
      <w:r w:rsidRPr="00F07818">
        <w:rPr>
          <w:lang w:val="fr-FR"/>
        </w:rPr>
        <w:t>ITDB et le portail eTIR. Les</w:t>
      </w:r>
      <w:r w:rsidR="004E2799">
        <w:rPr>
          <w:lang w:val="fr-FR"/>
        </w:rPr>
        <w:t> </w:t>
      </w:r>
      <w:r w:rsidRPr="00F07818">
        <w:rPr>
          <w:lang w:val="fr-FR"/>
        </w:rPr>
        <w:t>travaux relatifs à l</w:t>
      </w:r>
      <w:r w:rsidR="00533FC3">
        <w:rPr>
          <w:lang w:val="fr-FR"/>
        </w:rPr>
        <w:t>’</w:t>
      </w:r>
      <w:r w:rsidRPr="00F07818">
        <w:rPr>
          <w:lang w:val="fr-FR"/>
        </w:rPr>
        <w:t>application nationale eTIR se poursuivaient et étaient achevés à 95</w:t>
      </w:r>
      <w:r w:rsidR="004E2799">
        <w:rPr>
          <w:lang w:val="fr-FR"/>
        </w:rPr>
        <w:t> </w:t>
      </w:r>
      <w:r w:rsidRPr="00F07818">
        <w:rPr>
          <w:lang w:val="fr-FR"/>
        </w:rPr>
        <w:t xml:space="preserve">%. Des tests étaient en cours et devaient être terminés sous peu. </w:t>
      </w:r>
      <w:r>
        <w:rPr>
          <w:lang w:val="fr-FR"/>
        </w:rPr>
        <w:t>L</w:t>
      </w:r>
      <w:r w:rsidRPr="00F07818">
        <w:rPr>
          <w:lang w:val="fr-FR"/>
        </w:rPr>
        <w:t xml:space="preserve">e kazakh, le kirghize et le persan </w:t>
      </w:r>
      <w:r>
        <w:rPr>
          <w:lang w:val="fr-FR"/>
        </w:rPr>
        <w:t xml:space="preserve">étaient désormais pris en charge </w:t>
      </w:r>
      <w:r w:rsidRPr="00F07818">
        <w:rPr>
          <w:lang w:val="fr-FR"/>
        </w:rPr>
        <w:t>(ECE/TRANS/WP.30/AC.2/165, par. 18).</w:t>
      </w:r>
    </w:p>
    <w:p w14:paraId="3F19283B" w14:textId="77777777" w:rsidR="00DF5FAF" w:rsidRPr="00F07818" w:rsidRDefault="00DF5FAF" w:rsidP="00A244B5">
      <w:pPr>
        <w:pStyle w:val="H1G"/>
      </w:pPr>
      <w:r>
        <w:rPr>
          <w:lang w:val="fr-FR"/>
        </w:rPr>
        <w:tab/>
      </w:r>
      <w:r w:rsidRPr="00F07818">
        <w:rPr>
          <w:lang w:val="fr-FR"/>
        </w:rPr>
        <w:t>C.</w:t>
      </w:r>
      <w:r w:rsidRPr="00F07818">
        <w:rPr>
          <w:lang w:val="fr-FR"/>
        </w:rPr>
        <w:tab/>
        <w:t>Ateliers et séminaires TIR nationaux et régionaux</w:t>
      </w:r>
    </w:p>
    <w:p w14:paraId="43293D3E" w14:textId="2048DDEC" w:rsidR="00DF5FAF" w:rsidRPr="00F07818" w:rsidRDefault="00DF5FAF" w:rsidP="00A244B5">
      <w:pPr>
        <w:pStyle w:val="SingleTxtG"/>
      </w:pPr>
      <w:r w:rsidRPr="00F07818">
        <w:rPr>
          <w:lang w:val="fr-FR"/>
        </w:rPr>
        <w:t>6.</w:t>
      </w:r>
      <w:r w:rsidRPr="00F07818">
        <w:rPr>
          <w:lang w:val="fr-FR"/>
        </w:rPr>
        <w:tab/>
        <w:t>Les 21 et 22</w:t>
      </w:r>
      <w:r>
        <w:rPr>
          <w:lang w:val="fr-FR"/>
        </w:rPr>
        <w:t> </w:t>
      </w:r>
      <w:r w:rsidRPr="00F07818">
        <w:rPr>
          <w:lang w:val="fr-FR"/>
        </w:rPr>
        <w:t xml:space="preserve">juin 2023, la Commission de contrôle TIR (TIRExB) a </w:t>
      </w:r>
      <w:r>
        <w:rPr>
          <w:lang w:val="fr-FR"/>
        </w:rPr>
        <w:t>tenu</w:t>
      </w:r>
      <w:r w:rsidRPr="00F07818">
        <w:rPr>
          <w:lang w:val="fr-FR"/>
        </w:rPr>
        <w:t xml:space="preserve"> une réunion des Amis de la présidence à Samarcande (Ouzbékistan). </w:t>
      </w:r>
      <w:r>
        <w:rPr>
          <w:lang w:val="fr-FR"/>
        </w:rPr>
        <w:t>A</w:t>
      </w:r>
      <w:r w:rsidRPr="00F07818">
        <w:rPr>
          <w:lang w:val="fr-FR"/>
        </w:rPr>
        <w:t xml:space="preserve">vec </w:t>
      </w:r>
      <w:r>
        <w:rPr>
          <w:lang w:val="fr-FR"/>
        </w:rPr>
        <w:t>l</w:t>
      </w:r>
      <w:r w:rsidR="00533FC3">
        <w:rPr>
          <w:lang w:val="fr-FR"/>
        </w:rPr>
        <w:t>’</w:t>
      </w:r>
      <w:r>
        <w:rPr>
          <w:lang w:val="fr-FR"/>
        </w:rPr>
        <w:t>aide</w:t>
      </w:r>
      <w:r w:rsidRPr="00F07818">
        <w:rPr>
          <w:lang w:val="fr-FR"/>
        </w:rPr>
        <w:t xml:space="preserve"> du secrétariat de la CEE et à l</w:t>
      </w:r>
      <w:r w:rsidR="00533FC3">
        <w:rPr>
          <w:lang w:val="fr-FR"/>
        </w:rPr>
        <w:t>’</w:t>
      </w:r>
      <w:r w:rsidRPr="00F07818">
        <w:rPr>
          <w:lang w:val="fr-FR"/>
        </w:rPr>
        <w:t>aimable invitation de l</w:t>
      </w:r>
      <w:r w:rsidR="00533FC3">
        <w:rPr>
          <w:lang w:val="fr-FR"/>
        </w:rPr>
        <w:t>’</w:t>
      </w:r>
      <w:r w:rsidRPr="00F07818">
        <w:rPr>
          <w:lang w:val="fr-FR"/>
        </w:rPr>
        <w:t>administration douanière de l</w:t>
      </w:r>
      <w:r w:rsidR="00533FC3">
        <w:rPr>
          <w:lang w:val="fr-FR"/>
        </w:rPr>
        <w:t>’</w:t>
      </w:r>
      <w:r w:rsidRPr="00F07818">
        <w:rPr>
          <w:lang w:val="fr-FR"/>
        </w:rPr>
        <w:t xml:space="preserve">Ouzbékistan, </w:t>
      </w:r>
      <w:r>
        <w:rPr>
          <w:lang w:val="fr-FR"/>
        </w:rPr>
        <w:t>l</w:t>
      </w:r>
      <w:r w:rsidRPr="0081289B">
        <w:rPr>
          <w:lang w:val="fr-FR"/>
        </w:rPr>
        <w:t>e Président de la TIRExB</w:t>
      </w:r>
      <w:r>
        <w:rPr>
          <w:lang w:val="fr-FR"/>
        </w:rPr>
        <w:t xml:space="preserve"> </w:t>
      </w:r>
      <w:r w:rsidRPr="00F07818">
        <w:rPr>
          <w:lang w:val="fr-FR"/>
        </w:rPr>
        <w:t>a</w:t>
      </w:r>
      <w:r>
        <w:rPr>
          <w:lang w:val="fr-FR"/>
        </w:rPr>
        <w:t>vait</w:t>
      </w:r>
      <w:r w:rsidRPr="00F07818">
        <w:rPr>
          <w:lang w:val="fr-FR"/>
        </w:rPr>
        <w:t xml:space="preserve"> organisé </w:t>
      </w:r>
      <w:r>
        <w:rPr>
          <w:lang w:val="fr-FR"/>
        </w:rPr>
        <w:t>cette</w:t>
      </w:r>
      <w:r w:rsidRPr="00F07818">
        <w:rPr>
          <w:lang w:val="fr-FR"/>
        </w:rPr>
        <w:t xml:space="preserve"> réunion dans le but de promouvoir l</w:t>
      </w:r>
      <w:r w:rsidR="00533FC3">
        <w:rPr>
          <w:lang w:val="fr-FR"/>
        </w:rPr>
        <w:t>’</w:t>
      </w:r>
      <w:r w:rsidRPr="00F07818">
        <w:rPr>
          <w:lang w:val="fr-FR"/>
        </w:rPr>
        <w:t>application de la procédure eTIR le long du corridor médian. La réunion a reçu l</w:t>
      </w:r>
      <w:r w:rsidR="00533FC3">
        <w:rPr>
          <w:lang w:val="fr-FR"/>
        </w:rPr>
        <w:t>’</w:t>
      </w:r>
      <w:r w:rsidRPr="00F07818">
        <w:rPr>
          <w:lang w:val="fr-FR"/>
        </w:rPr>
        <w:t>appui de la Commission européenne, de l</w:t>
      </w:r>
      <w:r w:rsidR="00533FC3">
        <w:rPr>
          <w:lang w:val="fr-FR"/>
        </w:rPr>
        <w:t>’</w:t>
      </w:r>
      <w:r w:rsidRPr="00F07818">
        <w:rPr>
          <w:lang w:val="fr-FR"/>
        </w:rPr>
        <w:t>Union internationale des transports routiers (IRU), du couloir Europe-Caucase-Asie (TRACECA), de la Banque islamique de développement et de l</w:t>
      </w:r>
      <w:r w:rsidR="00533FC3">
        <w:rPr>
          <w:lang w:val="fr-FR"/>
        </w:rPr>
        <w:t>’</w:t>
      </w:r>
      <w:r w:rsidRPr="00F07818">
        <w:rPr>
          <w:lang w:val="fr-FR"/>
        </w:rPr>
        <w:t>Agence allemande de coopération internationale (GIZ). Des représentant</w:t>
      </w:r>
      <w:r>
        <w:rPr>
          <w:lang w:val="fr-FR"/>
        </w:rPr>
        <w:t>e</w:t>
      </w:r>
      <w:r w:rsidRPr="00F07818">
        <w:rPr>
          <w:lang w:val="fr-FR"/>
        </w:rPr>
        <w:t xml:space="preserve">s </w:t>
      </w:r>
      <w:r>
        <w:rPr>
          <w:lang w:val="fr-FR"/>
        </w:rPr>
        <w:t xml:space="preserve">et représentants </w:t>
      </w:r>
      <w:r w:rsidRPr="00F07818">
        <w:rPr>
          <w:lang w:val="fr-FR"/>
        </w:rPr>
        <w:t>des autorités douanières et des associations nationales d</w:t>
      </w:r>
      <w:r w:rsidR="00533FC3">
        <w:rPr>
          <w:lang w:val="fr-FR"/>
        </w:rPr>
        <w:t>’</w:t>
      </w:r>
      <w:r w:rsidRPr="00F07818">
        <w:rPr>
          <w:lang w:val="fr-FR"/>
        </w:rPr>
        <w:t>Iran (République islamique d</w:t>
      </w:r>
      <w:r w:rsidR="00533FC3">
        <w:rPr>
          <w:lang w:val="fr-FR"/>
        </w:rPr>
        <w:t>’</w:t>
      </w:r>
      <w:r w:rsidRPr="00F07818">
        <w:rPr>
          <w:lang w:val="fr-FR"/>
        </w:rPr>
        <w:t xml:space="preserve">), du Kazakhstan, du Kirghizistan, du Tadjikistan et du Turkménistan avaient été invités à </w:t>
      </w:r>
      <w:r>
        <w:rPr>
          <w:lang w:val="fr-FR"/>
        </w:rPr>
        <w:t xml:space="preserve">y </w:t>
      </w:r>
      <w:r w:rsidRPr="00F07818">
        <w:rPr>
          <w:lang w:val="fr-FR"/>
        </w:rPr>
        <w:t>participer.</w:t>
      </w:r>
    </w:p>
    <w:p w14:paraId="201F5D40" w14:textId="2F9AC435" w:rsidR="00DF5FAF" w:rsidRPr="00F07818" w:rsidRDefault="00DF5FAF" w:rsidP="00A244B5">
      <w:pPr>
        <w:pStyle w:val="SingleTxtG"/>
      </w:pPr>
      <w:r w:rsidRPr="00F07818">
        <w:rPr>
          <w:lang w:val="fr-FR"/>
        </w:rPr>
        <w:t>7.</w:t>
      </w:r>
      <w:r w:rsidRPr="00F07818">
        <w:rPr>
          <w:lang w:val="fr-FR"/>
        </w:rPr>
        <w:tab/>
        <w:t>Un atelier de formation sur la Convention relative au transport international de marchandises sous le couvert de carnets TIR (Convention TIR</w:t>
      </w:r>
      <w:r>
        <w:rPr>
          <w:lang w:val="fr-FR"/>
        </w:rPr>
        <w:t xml:space="preserve"> </w:t>
      </w:r>
      <w:r w:rsidRPr="00F07818">
        <w:rPr>
          <w:lang w:val="fr-FR"/>
        </w:rPr>
        <w:t>(1975)/eTIR) et la Convention relative au contrat de transport international de marchandises par route (CMR/eCMR) dans les États membres de l</w:t>
      </w:r>
      <w:r w:rsidR="00533FC3">
        <w:rPr>
          <w:lang w:val="fr-FR"/>
        </w:rPr>
        <w:t>’</w:t>
      </w:r>
      <w:r w:rsidRPr="00F07818">
        <w:rPr>
          <w:lang w:val="fr-FR"/>
        </w:rPr>
        <w:t>Autorité intergouvernementale pour le développement (IGAD) s</w:t>
      </w:r>
      <w:r w:rsidR="00533FC3">
        <w:rPr>
          <w:lang w:val="fr-FR"/>
        </w:rPr>
        <w:t>’</w:t>
      </w:r>
      <w:r w:rsidRPr="00F07818">
        <w:rPr>
          <w:lang w:val="fr-FR"/>
        </w:rPr>
        <w:t>est déroulé les 1</w:t>
      </w:r>
      <w:r w:rsidRPr="0059514B">
        <w:rPr>
          <w:vertAlign w:val="superscript"/>
          <w:lang w:val="fr-FR"/>
        </w:rPr>
        <w:t>er</w:t>
      </w:r>
      <w:r w:rsidRPr="00F07818">
        <w:rPr>
          <w:lang w:val="fr-FR"/>
        </w:rPr>
        <w:t xml:space="preserve"> et 2</w:t>
      </w:r>
      <w:r>
        <w:rPr>
          <w:lang w:val="fr-FR"/>
        </w:rPr>
        <w:t> </w:t>
      </w:r>
      <w:r w:rsidRPr="00F07818">
        <w:rPr>
          <w:lang w:val="fr-FR"/>
        </w:rPr>
        <w:t xml:space="preserve">mars 2023 à Djibouti. </w:t>
      </w:r>
      <w:r>
        <w:rPr>
          <w:lang w:val="fr-FR"/>
        </w:rPr>
        <w:t xml:space="preserve">Il avait pour </w:t>
      </w:r>
      <w:r w:rsidRPr="00F07818">
        <w:rPr>
          <w:lang w:val="fr-FR"/>
        </w:rPr>
        <w:t>objectif principal de présenter les conventions TIR et CMR dans la région de l</w:t>
      </w:r>
      <w:r w:rsidR="00533FC3">
        <w:rPr>
          <w:lang w:val="fr-FR"/>
        </w:rPr>
        <w:t>’</w:t>
      </w:r>
      <w:r w:rsidRPr="00F07818">
        <w:rPr>
          <w:lang w:val="fr-FR"/>
        </w:rPr>
        <w:t>IGAD en expliquant tous les avantages à tirer de leur application. L</w:t>
      </w:r>
      <w:r w:rsidR="00533FC3">
        <w:rPr>
          <w:lang w:val="fr-FR"/>
        </w:rPr>
        <w:t>’</w:t>
      </w:r>
      <w:r>
        <w:rPr>
          <w:lang w:val="fr-FR"/>
        </w:rPr>
        <w:t>atelier était organisé avec le soutien de</w:t>
      </w:r>
      <w:r w:rsidRPr="00F07818">
        <w:rPr>
          <w:lang w:val="fr-FR"/>
        </w:rPr>
        <w:t xml:space="preserve"> l</w:t>
      </w:r>
      <w:r w:rsidR="00533FC3">
        <w:rPr>
          <w:lang w:val="fr-FR"/>
        </w:rPr>
        <w:t>’</w:t>
      </w:r>
      <w:r w:rsidRPr="00F07818">
        <w:rPr>
          <w:lang w:val="fr-FR"/>
        </w:rPr>
        <w:t xml:space="preserve">IGAD et </w:t>
      </w:r>
      <w:r>
        <w:rPr>
          <w:lang w:val="fr-FR"/>
        </w:rPr>
        <w:t>de</w:t>
      </w:r>
      <w:r w:rsidRPr="00F07818">
        <w:rPr>
          <w:lang w:val="fr-FR"/>
        </w:rPr>
        <w:t xml:space="preserve"> la Banque islamique de développement. </w:t>
      </w:r>
    </w:p>
    <w:p w14:paraId="6E491F0A" w14:textId="5E0068C4" w:rsidR="00DF5FAF" w:rsidRPr="00F07818" w:rsidRDefault="00DF5FAF" w:rsidP="00A244B5">
      <w:pPr>
        <w:pStyle w:val="SingleTxtG"/>
      </w:pPr>
      <w:r w:rsidRPr="00F07818">
        <w:rPr>
          <w:lang w:val="fr-FR"/>
        </w:rPr>
        <w:t>8.</w:t>
      </w:r>
      <w:r w:rsidRPr="00F07818">
        <w:rPr>
          <w:lang w:val="fr-FR"/>
        </w:rPr>
        <w:tab/>
        <w:t>Le 8</w:t>
      </w:r>
      <w:r>
        <w:rPr>
          <w:lang w:val="fr-FR"/>
        </w:rPr>
        <w:t> </w:t>
      </w:r>
      <w:r w:rsidRPr="00F07818">
        <w:rPr>
          <w:lang w:val="fr-FR"/>
        </w:rPr>
        <w:t>février 2023, un atelier sur l</w:t>
      </w:r>
      <w:r w:rsidR="00533FC3">
        <w:rPr>
          <w:lang w:val="fr-FR"/>
        </w:rPr>
        <w:t>’</w:t>
      </w:r>
      <w:r w:rsidRPr="00F07818">
        <w:rPr>
          <w:lang w:val="fr-FR"/>
        </w:rPr>
        <w:t>application de la Convention TIR de 1975</w:t>
      </w:r>
      <w:r>
        <w:rPr>
          <w:lang w:val="fr-FR"/>
        </w:rPr>
        <w:t> (</w:t>
      </w:r>
      <w:r w:rsidRPr="00F07818">
        <w:rPr>
          <w:lang w:val="fr-FR"/>
        </w:rPr>
        <w:t xml:space="preserve">défis et </w:t>
      </w:r>
      <w:r>
        <w:rPr>
          <w:lang w:val="fr-FR"/>
        </w:rPr>
        <w:t xml:space="preserve">perspectives) </w:t>
      </w:r>
      <w:r w:rsidRPr="009D7097">
        <w:rPr>
          <w:lang w:val="fr-FR"/>
        </w:rPr>
        <w:t xml:space="preserve">a été organisé </w:t>
      </w:r>
      <w:r>
        <w:rPr>
          <w:lang w:val="fr-FR"/>
        </w:rPr>
        <w:t>dans le cadre du Comité de gestion TIR</w:t>
      </w:r>
      <w:r w:rsidRPr="00F07818">
        <w:rPr>
          <w:lang w:val="fr-FR"/>
        </w:rPr>
        <w:t xml:space="preserve">. </w:t>
      </w:r>
      <w:r>
        <w:rPr>
          <w:lang w:val="fr-FR"/>
        </w:rPr>
        <w:t>Les objectifs de cet atelier avaient été</w:t>
      </w:r>
      <w:r w:rsidRPr="00F07818">
        <w:rPr>
          <w:lang w:val="fr-FR"/>
        </w:rPr>
        <w:t xml:space="preserve"> </w:t>
      </w:r>
      <w:r>
        <w:rPr>
          <w:lang w:val="fr-FR"/>
        </w:rPr>
        <w:t>fixés compte tenu de</w:t>
      </w:r>
      <w:r w:rsidRPr="00F07818">
        <w:rPr>
          <w:lang w:val="fr-FR"/>
        </w:rPr>
        <w:t xml:space="preserve"> l</w:t>
      </w:r>
      <w:r w:rsidR="00533FC3">
        <w:rPr>
          <w:lang w:val="fr-FR"/>
        </w:rPr>
        <w:t>’</w:t>
      </w:r>
      <w:r>
        <w:rPr>
          <w:lang w:val="fr-FR"/>
        </w:rPr>
        <w:t>expérience</w:t>
      </w:r>
      <w:r w:rsidRPr="00F07818">
        <w:rPr>
          <w:lang w:val="fr-FR"/>
        </w:rPr>
        <w:t xml:space="preserve"> du système TIR, mais aussi </w:t>
      </w:r>
      <w:r>
        <w:rPr>
          <w:lang w:val="fr-FR"/>
        </w:rPr>
        <w:t>d</w:t>
      </w:r>
      <w:r w:rsidRPr="00F07818">
        <w:rPr>
          <w:lang w:val="fr-FR"/>
        </w:rPr>
        <w:t>es perspectives, à savoir</w:t>
      </w:r>
      <w:r w:rsidR="00CE67D3">
        <w:rPr>
          <w:lang w:val="fr-FR"/>
        </w:rPr>
        <w:t> </w:t>
      </w:r>
      <w:r w:rsidRPr="00F07818">
        <w:rPr>
          <w:lang w:val="fr-FR"/>
        </w:rPr>
        <w:t xml:space="preserve">: </w:t>
      </w:r>
      <w:r>
        <w:rPr>
          <w:lang w:val="fr-FR"/>
        </w:rPr>
        <w:t>a</w:t>
      </w:r>
      <w:r w:rsidRPr="00F07818">
        <w:rPr>
          <w:lang w:val="fr-FR"/>
        </w:rPr>
        <w:t xml:space="preserve">ider les nouveaux venus (nouvelles Parties contractantes) à mieux </w:t>
      </w:r>
      <w:r w:rsidRPr="00F07818">
        <w:rPr>
          <w:lang w:val="fr-FR"/>
        </w:rPr>
        <w:lastRenderedPageBreak/>
        <w:t>comprendre les services et les possibilités du système TIR</w:t>
      </w:r>
      <w:r w:rsidR="00CE67D3">
        <w:rPr>
          <w:lang w:val="fr-FR"/>
        </w:rPr>
        <w:t> </w:t>
      </w:r>
      <w:r w:rsidRPr="00F07818">
        <w:rPr>
          <w:lang w:val="fr-FR"/>
        </w:rPr>
        <w:t xml:space="preserve">; </w:t>
      </w:r>
      <w:r>
        <w:rPr>
          <w:lang w:val="fr-FR"/>
        </w:rPr>
        <w:t>f</w:t>
      </w:r>
      <w:r w:rsidRPr="00F07818">
        <w:rPr>
          <w:lang w:val="fr-FR"/>
        </w:rPr>
        <w:t xml:space="preserve">aire </w:t>
      </w:r>
      <w:r>
        <w:rPr>
          <w:lang w:val="fr-FR"/>
        </w:rPr>
        <w:t>découvrir</w:t>
      </w:r>
      <w:r w:rsidRPr="00F07818">
        <w:rPr>
          <w:lang w:val="fr-FR"/>
        </w:rPr>
        <w:t xml:space="preserve"> aux pays qui n</w:t>
      </w:r>
      <w:r w:rsidR="00533FC3">
        <w:rPr>
          <w:lang w:val="fr-FR"/>
        </w:rPr>
        <w:t>’</w:t>
      </w:r>
      <w:r w:rsidRPr="00F07818">
        <w:rPr>
          <w:lang w:val="fr-FR"/>
        </w:rPr>
        <w:t xml:space="preserve">ont pas encore adhéré à la Convention TIR </w:t>
      </w:r>
      <w:r>
        <w:rPr>
          <w:lang w:val="fr-FR"/>
        </w:rPr>
        <w:t>l</w:t>
      </w:r>
      <w:r w:rsidRPr="00F07818">
        <w:rPr>
          <w:lang w:val="fr-FR"/>
        </w:rPr>
        <w:t xml:space="preserve">es multiples avantages que le système TIR </w:t>
      </w:r>
      <w:r>
        <w:rPr>
          <w:lang w:val="fr-FR"/>
        </w:rPr>
        <w:t>procure</w:t>
      </w:r>
      <w:r w:rsidRPr="00F07818">
        <w:rPr>
          <w:lang w:val="fr-FR"/>
        </w:rPr>
        <w:t xml:space="preserve"> à la fois aux autorités douanières et au secteur privé</w:t>
      </w:r>
      <w:r w:rsidR="00CE67D3">
        <w:rPr>
          <w:lang w:val="fr-FR"/>
        </w:rPr>
        <w:t> </w:t>
      </w:r>
      <w:r w:rsidRPr="00F07818">
        <w:rPr>
          <w:lang w:val="fr-FR"/>
        </w:rPr>
        <w:t xml:space="preserve">; </w:t>
      </w:r>
      <w:r>
        <w:rPr>
          <w:lang w:val="fr-FR"/>
        </w:rPr>
        <w:t>m</w:t>
      </w:r>
      <w:r w:rsidRPr="00F07818">
        <w:rPr>
          <w:lang w:val="fr-FR"/>
        </w:rPr>
        <w:t>ettre en commun les données d</w:t>
      </w:r>
      <w:r w:rsidR="00533FC3">
        <w:rPr>
          <w:lang w:val="fr-FR"/>
        </w:rPr>
        <w:t>’</w:t>
      </w:r>
      <w:r w:rsidRPr="00F07818">
        <w:rPr>
          <w:lang w:val="fr-FR"/>
        </w:rPr>
        <w:t>expérience et les connaissances avec les Parties contractantes qui utilisent pleinement le système TIR</w:t>
      </w:r>
      <w:r w:rsidR="000F7E9D">
        <w:rPr>
          <w:lang w:val="fr-FR"/>
        </w:rPr>
        <w:t> </w:t>
      </w:r>
      <w:r w:rsidRPr="00F07818">
        <w:rPr>
          <w:lang w:val="fr-FR"/>
        </w:rPr>
        <w:t xml:space="preserve">; </w:t>
      </w:r>
      <w:r>
        <w:rPr>
          <w:lang w:val="fr-FR"/>
        </w:rPr>
        <w:t>m</w:t>
      </w:r>
      <w:r w:rsidRPr="00F07818">
        <w:rPr>
          <w:lang w:val="fr-FR"/>
        </w:rPr>
        <w:t>ettre en commun les expériences et les connaissances avec les Parties contractantes qui utilisent principalement un autre système pour leurs opérations de franchissement des frontières</w:t>
      </w:r>
      <w:r w:rsidR="00CE67D3">
        <w:rPr>
          <w:lang w:val="fr-FR"/>
        </w:rPr>
        <w:t> </w:t>
      </w:r>
      <w:r w:rsidRPr="00F07818">
        <w:rPr>
          <w:lang w:val="fr-FR"/>
        </w:rPr>
        <w:t>; échanger des points de vue sur l</w:t>
      </w:r>
      <w:r w:rsidR="00533FC3">
        <w:rPr>
          <w:lang w:val="fr-FR"/>
        </w:rPr>
        <w:t>’</w:t>
      </w:r>
      <w:r w:rsidRPr="00F07818">
        <w:rPr>
          <w:lang w:val="fr-FR"/>
        </w:rPr>
        <w:t xml:space="preserve">avenir du système TIR. </w:t>
      </w:r>
    </w:p>
    <w:p w14:paraId="0638A4B8" w14:textId="1FE6DFEE" w:rsidR="00DF5FAF" w:rsidRPr="00F07818" w:rsidRDefault="00DF5FAF" w:rsidP="00A244B5">
      <w:pPr>
        <w:pStyle w:val="SingleTxtG"/>
      </w:pPr>
      <w:r w:rsidRPr="00F07818">
        <w:rPr>
          <w:lang w:val="fr-FR"/>
        </w:rPr>
        <w:t>9.</w:t>
      </w:r>
      <w:r w:rsidRPr="00F07818">
        <w:rPr>
          <w:lang w:val="fr-FR"/>
        </w:rPr>
        <w:tab/>
        <w:t>Le secrétariat TIR a organisé une série d</w:t>
      </w:r>
      <w:r w:rsidR="00533FC3">
        <w:rPr>
          <w:lang w:val="fr-FR"/>
        </w:rPr>
        <w:t>’</w:t>
      </w:r>
      <w:r w:rsidRPr="00F07818">
        <w:rPr>
          <w:lang w:val="fr-FR"/>
        </w:rPr>
        <w:t xml:space="preserve">ateliers de renforcement des capacités avec les autorités douanières afin de faciliter </w:t>
      </w:r>
      <w:r>
        <w:rPr>
          <w:lang w:val="fr-FR"/>
        </w:rPr>
        <w:t>la connexion entre le</w:t>
      </w:r>
      <w:r w:rsidRPr="00F07818">
        <w:rPr>
          <w:lang w:val="fr-FR"/>
        </w:rPr>
        <w:t xml:space="preserve"> système international eTIR </w:t>
      </w:r>
      <w:r>
        <w:rPr>
          <w:lang w:val="fr-FR"/>
        </w:rPr>
        <w:t>et</w:t>
      </w:r>
      <w:r w:rsidRPr="00F07818">
        <w:rPr>
          <w:lang w:val="fr-FR"/>
        </w:rPr>
        <w:t xml:space="preserve"> les systèmes douaniers nationaux, notamment en ce qui concerne le déroulement des tests de conformité. Des réunions ont été organisées avec l</w:t>
      </w:r>
      <w:r w:rsidR="00533FC3">
        <w:rPr>
          <w:lang w:val="fr-FR"/>
        </w:rPr>
        <w:t>’</w:t>
      </w:r>
      <w:r w:rsidRPr="00F07818">
        <w:rPr>
          <w:lang w:val="fr-FR"/>
        </w:rPr>
        <w:t>Iran (République islamique d</w:t>
      </w:r>
      <w:r w:rsidR="00533FC3">
        <w:rPr>
          <w:lang w:val="fr-FR"/>
        </w:rPr>
        <w:t>’</w:t>
      </w:r>
      <w:r w:rsidRPr="00F07818">
        <w:rPr>
          <w:lang w:val="fr-FR"/>
        </w:rPr>
        <w:t xml:space="preserve">), le Kazakhstan, le Kirghizistan, le Pakistan et le Tadjikistan. </w:t>
      </w:r>
    </w:p>
    <w:p w14:paraId="4613D17A" w14:textId="73DF9D8D" w:rsidR="00DF5FAF" w:rsidRPr="00F07818" w:rsidRDefault="00DF5FAF" w:rsidP="00A244B5">
      <w:pPr>
        <w:pStyle w:val="SingleTxtG"/>
      </w:pPr>
      <w:r w:rsidRPr="00F07818">
        <w:rPr>
          <w:lang w:val="fr-FR"/>
        </w:rPr>
        <w:t>10.</w:t>
      </w:r>
      <w:r w:rsidRPr="00F07818">
        <w:rPr>
          <w:lang w:val="fr-FR"/>
        </w:rPr>
        <w:tab/>
        <w:t xml:space="preserve">Le secrétariat TIR a participé à différents ateliers </w:t>
      </w:r>
      <w:r>
        <w:rPr>
          <w:lang w:val="fr-FR"/>
        </w:rPr>
        <w:t xml:space="preserve">destinés à </w:t>
      </w:r>
      <w:r w:rsidRPr="00F07818">
        <w:rPr>
          <w:lang w:val="fr-FR"/>
        </w:rPr>
        <w:t xml:space="preserve">continuer </w:t>
      </w:r>
      <w:r>
        <w:rPr>
          <w:lang w:val="fr-FR"/>
        </w:rPr>
        <w:t>de</w:t>
      </w:r>
      <w:r w:rsidRPr="00F07818">
        <w:rPr>
          <w:lang w:val="fr-FR"/>
        </w:rPr>
        <w:t xml:space="preserve"> promouvoir l</w:t>
      </w:r>
      <w:r w:rsidR="00533FC3">
        <w:rPr>
          <w:lang w:val="fr-FR"/>
        </w:rPr>
        <w:t>’</w:t>
      </w:r>
      <w:r w:rsidRPr="00F07818">
        <w:rPr>
          <w:lang w:val="fr-FR"/>
        </w:rPr>
        <w:t>adhésion à la Convention TIR et l</w:t>
      </w:r>
      <w:r w:rsidR="00533FC3">
        <w:rPr>
          <w:lang w:val="fr-FR"/>
        </w:rPr>
        <w:t>’</w:t>
      </w:r>
      <w:r w:rsidRPr="00F07818">
        <w:rPr>
          <w:lang w:val="fr-FR"/>
        </w:rPr>
        <w:t>utilisation de la procédure eTIR</w:t>
      </w:r>
      <w:r>
        <w:rPr>
          <w:lang w:val="fr-FR"/>
        </w:rPr>
        <w:t>, à l</w:t>
      </w:r>
      <w:r w:rsidR="00533FC3">
        <w:rPr>
          <w:lang w:val="fr-FR"/>
        </w:rPr>
        <w:t>’</w:t>
      </w:r>
      <w:r>
        <w:rPr>
          <w:lang w:val="fr-FR"/>
        </w:rPr>
        <w:t>occasion des manifestations ci-après</w:t>
      </w:r>
      <w:r w:rsidR="005453D7">
        <w:rPr>
          <w:lang w:val="fr-FR"/>
        </w:rPr>
        <w:t> </w:t>
      </w:r>
      <w:r w:rsidRPr="00F07818">
        <w:rPr>
          <w:lang w:val="fr-FR"/>
        </w:rPr>
        <w:t xml:space="preserve">: </w:t>
      </w:r>
    </w:p>
    <w:p w14:paraId="01581CBA" w14:textId="29BF65BD" w:rsidR="00DF5FAF" w:rsidRPr="00F07818" w:rsidRDefault="00DF5FAF" w:rsidP="005453D7">
      <w:pPr>
        <w:pStyle w:val="Bullet1G"/>
      </w:pPr>
      <w:r w:rsidRPr="00F07818">
        <w:rPr>
          <w:lang w:val="fr-FR"/>
        </w:rPr>
        <w:t>Quarante et unième réunion de l</w:t>
      </w:r>
      <w:r w:rsidR="00533FC3">
        <w:rPr>
          <w:lang w:val="fr-FR"/>
        </w:rPr>
        <w:t>’</w:t>
      </w:r>
      <w:r w:rsidRPr="00F07818">
        <w:rPr>
          <w:lang w:val="fr-FR"/>
        </w:rPr>
        <w:t>assemblée générale de l</w:t>
      </w:r>
      <w:r w:rsidR="00533FC3">
        <w:rPr>
          <w:lang w:val="fr-FR"/>
        </w:rPr>
        <w:t>’</w:t>
      </w:r>
      <w:r w:rsidRPr="00F07818">
        <w:rPr>
          <w:lang w:val="fr-FR"/>
        </w:rPr>
        <w:t>Union des associations de transport routier de la région de l</w:t>
      </w:r>
      <w:r w:rsidR="00533FC3">
        <w:rPr>
          <w:lang w:val="fr-FR"/>
        </w:rPr>
        <w:t>’</w:t>
      </w:r>
      <w:r w:rsidRPr="00F07818">
        <w:rPr>
          <w:lang w:val="fr-FR"/>
        </w:rPr>
        <w:t>Organisation de coopération économique de la mer Noire (Batoumi (Géorgie)</w:t>
      </w:r>
      <w:r>
        <w:rPr>
          <w:lang w:val="fr-FR"/>
        </w:rPr>
        <w:t>, le</w:t>
      </w:r>
      <w:r w:rsidRPr="00F07818">
        <w:rPr>
          <w:lang w:val="fr-FR"/>
        </w:rPr>
        <w:t xml:space="preserve"> 9</w:t>
      </w:r>
      <w:r>
        <w:rPr>
          <w:lang w:val="fr-FR"/>
        </w:rPr>
        <w:t> </w:t>
      </w:r>
      <w:r w:rsidRPr="00F07818">
        <w:rPr>
          <w:lang w:val="fr-FR"/>
        </w:rPr>
        <w:t>juin 2023) ;</w:t>
      </w:r>
    </w:p>
    <w:p w14:paraId="2C52B229" w14:textId="0509EDF6" w:rsidR="00DF5FAF" w:rsidRPr="00F07818" w:rsidRDefault="00DF5FAF" w:rsidP="005453D7">
      <w:pPr>
        <w:pStyle w:val="Bullet1G"/>
      </w:pPr>
      <w:r w:rsidRPr="00F07818">
        <w:rPr>
          <w:lang w:val="fr-FR"/>
        </w:rPr>
        <w:t>Dix-septième réunion du Conseil du système régional de garantie du transit douanier du Marché commun de l</w:t>
      </w:r>
      <w:r w:rsidR="00533FC3">
        <w:rPr>
          <w:lang w:val="fr-FR"/>
        </w:rPr>
        <w:t>’</w:t>
      </w:r>
      <w:r w:rsidRPr="00F07818">
        <w:rPr>
          <w:lang w:val="fr-FR"/>
        </w:rPr>
        <w:t>Afrique orientale et australe (COMESA) (Lusaka</w:t>
      </w:r>
      <w:r>
        <w:rPr>
          <w:lang w:val="fr-FR"/>
        </w:rPr>
        <w:t xml:space="preserve"> (</w:t>
      </w:r>
      <w:r w:rsidRPr="00F07818">
        <w:rPr>
          <w:lang w:val="fr-FR"/>
        </w:rPr>
        <w:t>Zambie</w:t>
      </w:r>
      <w:r>
        <w:rPr>
          <w:lang w:val="fr-FR"/>
        </w:rPr>
        <w:t>)</w:t>
      </w:r>
      <w:r w:rsidRPr="00F07818">
        <w:rPr>
          <w:lang w:val="fr-FR"/>
        </w:rPr>
        <w:t xml:space="preserve">, </w:t>
      </w:r>
      <w:r>
        <w:rPr>
          <w:lang w:val="fr-FR"/>
        </w:rPr>
        <w:t xml:space="preserve">les </w:t>
      </w:r>
      <w:r w:rsidRPr="00F07818">
        <w:rPr>
          <w:lang w:val="fr-FR"/>
        </w:rPr>
        <w:t>14 et 15</w:t>
      </w:r>
      <w:r>
        <w:rPr>
          <w:lang w:val="fr-FR"/>
        </w:rPr>
        <w:t> </w:t>
      </w:r>
      <w:r w:rsidRPr="00F07818">
        <w:rPr>
          <w:lang w:val="fr-FR"/>
        </w:rPr>
        <w:t>novembre 2023) ;</w:t>
      </w:r>
    </w:p>
    <w:p w14:paraId="7B899746" w14:textId="731BF798" w:rsidR="00DF5FAF" w:rsidRPr="00F07818" w:rsidRDefault="00DF5FAF" w:rsidP="005453D7">
      <w:pPr>
        <w:pStyle w:val="Bullet1G"/>
      </w:pPr>
      <w:r w:rsidRPr="00F07818">
        <w:rPr>
          <w:lang w:val="fr-FR"/>
        </w:rPr>
        <w:t>Réunion sur la transformation de la région du Programme spécial des Nations Unies pour les pays d</w:t>
      </w:r>
      <w:r w:rsidR="00533FC3">
        <w:rPr>
          <w:lang w:val="fr-FR"/>
        </w:rPr>
        <w:t>’</w:t>
      </w:r>
      <w:r w:rsidRPr="00F07818">
        <w:rPr>
          <w:lang w:val="fr-FR"/>
        </w:rPr>
        <w:t>Asie centrale (SPECA) en centre de connectivité mondiale</w:t>
      </w:r>
      <w:r>
        <w:rPr>
          <w:lang w:val="fr-FR"/>
        </w:rPr>
        <w:t>,</w:t>
      </w:r>
      <w:r w:rsidRPr="00F07818">
        <w:rPr>
          <w:lang w:val="fr-FR"/>
        </w:rPr>
        <w:t xml:space="preserve"> </w:t>
      </w:r>
      <w:r>
        <w:rPr>
          <w:lang w:val="fr-FR"/>
        </w:rPr>
        <w:t xml:space="preserve">organisée </w:t>
      </w:r>
      <w:r w:rsidRPr="00F07818">
        <w:rPr>
          <w:lang w:val="fr-FR"/>
        </w:rPr>
        <w:t>pendant le Forum économique du SPECA en 2023 (Bakou (Azerbaïdjan)</w:t>
      </w:r>
      <w:r>
        <w:rPr>
          <w:lang w:val="fr-FR"/>
        </w:rPr>
        <w:t>, les</w:t>
      </w:r>
      <w:r w:rsidRPr="00F07818">
        <w:rPr>
          <w:lang w:val="fr-FR"/>
        </w:rPr>
        <w:t xml:space="preserve"> 21 et 22</w:t>
      </w:r>
      <w:r>
        <w:rPr>
          <w:lang w:val="fr-FR"/>
        </w:rPr>
        <w:t> </w:t>
      </w:r>
      <w:r w:rsidRPr="00F07818">
        <w:rPr>
          <w:lang w:val="fr-FR"/>
        </w:rPr>
        <w:t>novembre 2023).</w:t>
      </w:r>
    </w:p>
    <w:p w14:paraId="687D4F9A" w14:textId="77777777" w:rsidR="00DF5FAF" w:rsidRPr="00F07818" w:rsidRDefault="00DF5FAF" w:rsidP="00A244B5">
      <w:pPr>
        <w:pStyle w:val="H1G"/>
      </w:pPr>
      <w:r>
        <w:rPr>
          <w:lang w:val="fr-FR"/>
        </w:rPr>
        <w:tab/>
      </w:r>
      <w:r w:rsidRPr="00F07818">
        <w:rPr>
          <w:lang w:val="fr-FR"/>
        </w:rPr>
        <w:t>D.</w:t>
      </w:r>
      <w:r w:rsidRPr="00F07818">
        <w:rPr>
          <w:lang w:val="fr-FR"/>
        </w:rPr>
        <w:tab/>
        <w:t>eTIR</w:t>
      </w:r>
    </w:p>
    <w:p w14:paraId="2A63B039" w14:textId="1621591E" w:rsidR="00DF5FAF" w:rsidRPr="00F07818" w:rsidRDefault="00DF5FAF" w:rsidP="00A244B5">
      <w:pPr>
        <w:pStyle w:val="H23G"/>
      </w:pPr>
      <w:r>
        <w:rPr>
          <w:lang w:val="fr-FR"/>
        </w:rPr>
        <w:tab/>
      </w:r>
      <w:r w:rsidRPr="00F07818">
        <w:rPr>
          <w:lang w:val="fr-FR"/>
        </w:rPr>
        <w:t>1.</w:t>
      </w:r>
      <w:r w:rsidRPr="00F07818">
        <w:rPr>
          <w:lang w:val="fr-FR"/>
        </w:rPr>
        <w:tab/>
        <w:t>Système international eTIR</w:t>
      </w:r>
      <w:r w:rsidR="00CE67D3">
        <w:rPr>
          <w:lang w:val="fr-FR"/>
        </w:rPr>
        <w:t> </w:t>
      </w:r>
      <w:r w:rsidRPr="00F07818">
        <w:rPr>
          <w:lang w:val="fr-FR"/>
        </w:rPr>
        <w:t>: projets d</w:t>
      </w:r>
      <w:r w:rsidR="00533FC3">
        <w:rPr>
          <w:lang w:val="fr-FR"/>
        </w:rPr>
        <w:t>’</w:t>
      </w:r>
      <w:r w:rsidRPr="00F07818">
        <w:rPr>
          <w:lang w:val="fr-FR"/>
        </w:rPr>
        <w:t>interconnexion</w:t>
      </w:r>
    </w:p>
    <w:p w14:paraId="4D6C360D" w14:textId="67EBAE88" w:rsidR="00DF5FAF" w:rsidRPr="00F07818" w:rsidRDefault="00DF5FAF" w:rsidP="00A244B5">
      <w:pPr>
        <w:pStyle w:val="SingleTxtG"/>
      </w:pPr>
      <w:r w:rsidRPr="00F07818">
        <w:rPr>
          <w:lang w:val="fr-FR"/>
        </w:rPr>
        <w:t>11.</w:t>
      </w:r>
      <w:r w:rsidRPr="00F07818">
        <w:rPr>
          <w:lang w:val="fr-FR"/>
        </w:rPr>
        <w:tab/>
        <w:t>S</w:t>
      </w:r>
      <w:r w:rsidR="00533FC3">
        <w:rPr>
          <w:lang w:val="fr-FR"/>
        </w:rPr>
        <w:t>’</w:t>
      </w:r>
      <w:r w:rsidRPr="00F07818">
        <w:rPr>
          <w:lang w:val="fr-FR"/>
        </w:rPr>
        <w:t xml:space="preserve">agissant </w:t>
      </w:r>
      <w:r>
        <w:rPr>
          <w:lang w:val="fr-FR"/>
        </w:rPr>
        <w:t>de la connexion entre le</w:t>
      </w:r>
      <w:r w:rsidRPr="00F07818">
        <w:rPr>
          <w:lang w:val="fr-FR"/>
        </w:rPr>
        <w:t xml:space="preserve"> système international eTIR </w:t>
      </w:r>
      <w:r>
        <w:rPr>
          <w:lang w:val="fr-FR"/>
        </w:rPr>
        <w:t>et</w:t>
      </w:r>
      <w:r w:rsidRPr="00F07818">
        <w:rPr>
          <w:lang w:val="fr-FR"/>
        </w:rPr>
        <w:t xml:space="preserve"> les systèmes douaniers nationaux, la situation est la suivante</w:t>
      </w:r>
      <w:r w:rsidR="005453D7">
        <w:rPr>
          <w:lang w:val="fr-FR"/>
        </w:rPr>
        <w:t> </w:t>
      </w:r>
      <w:r w:rsidRPr="00F07818">
        <w:rPr>
          <w:lang w:val="fr-FR"/>
        </w:rPr>
        <w:t>:</w:t>
      </w:r>
    </w:p>
    <w:p w14:paraId="4B62652B" w14:textId="587CD66B" w:rsidR="00DF5FAF" w:rsidRPr="00F07818" w:rsidRDefault="00DF5FAF" w:rsidP="005453D7">
      <w:pPr>
        <w:pStyle w:val="Bullet1G"/>
      </w:pPr>
      <w:r w:rsidRPr="00F07818">
        <w:rPr>
          <w:lang w:val="fr-FR"/>
        </w:rPr>
        <w:t>L</w:t>
      </w:r>
      <w:r w:rsidR="00533FC3">
        <w:rPr>
          <w:lang w:val="fr-FR"/>
        </w:rPr>
        <w:t>’</w:t>
      </w:r>
      <w:r w:rsidRPr="00F07818">
        <w:rPr>
          <w:lang w:val="fr-FR"/>
        </w:rPr>
        <w:t xml:space="preserve">Azerbaïdjan, la Géorgie, </w:t>
      </w:r>
      <w:r w:rsidRPr="00694313">
        <w:rPr>
          <w:lang w:val="fr-FR"/>
        </w:rPr>
        <w:t>l</w:t>
      </w:r>
      <w:r w:rsidR="00533FC3">
        <w:rPr>
          <w:lang w:val="fr-FR"/>
        </w:rPr>
        <w:t>’</w:t>
      </w:r>
      <w:r w:rsidRPr="00694313">
        <w:rPr>
          <w:lang w:val="fr-FR"/>
        </w:rPr>
        <w:t>Ouzbékistan</w:t>
      </w:r>
      <w:r>
        <w:rPr>
          <w:lang w:val="fr-FR"/>
        </w:rPr>
        <w:t>,</w:t>
      </w:r>
      <w:r w:rsidRPr="00694313">
        <w:rPr>
          <w:lang w:val="fr-FR"/>
        </w:rPr>
        <w:t xml:space="preserve"> </w:t>
      </w:r>
      <w:r w:rsidRPr="00F07818">
        <w:rPr>
          <w:lang w:val="fr-FR"/>
        </w:rPr>
        <w:t>le Pakistan</w:t>
      </w:r>
      <w:r>
        <w:rPr>
          <w:lang w:val="fr-FR"/>
        </w:rPr>
        <w:t xml:space="preserve"> et</w:t>
      </w:r>
      <w:r w:rsidRPr="00F07818">
        <w:rPr>
          <w:lang w:val="fr-FR"/>
        </w:rPr>
        <w:t xml:space="preserve"> la Tunisie ont </w:t>
      </w:r>
      <w:r>
        <w:rPr>
          <w:lang w:val="fr-FR"/>
        </w:rPr>
        <w:t>fini de connecter</w:t>
      </w:r>
      <w:r w:rsidRPr="00F07818">
        <w:rPr>
          <w:lang w:val="fr-FR"/>
        </w:rPr>
        <w:t xml:space="preserve"> leurs systèmes douaniers nationaux </w:t>
      </w:r>
      <w:r>
        <w:rPr>
          <w:lang w:val="fr-FR"/>
        </w:rPr>
        <w:t>au</w:t>
      </w:r>
      <w:r w:rsidRPr="00F07818">
        <w:rPr>
          <w:lang w:val="fr-FR"/>
        </w:rPr>
        <w:t xml:space="preserve"> système international eTIR</w:t>
      </w:r>
      <w:r>
        <w:rPr>
          <w:lang w:val="fr-FR"/>
        </w:rPr>
        <w:t> ;</w:t>
      </w:r>
      <w:r w:rsidRPr="00F07818">
        <w:rPr>
          <w:lang w:val="fr-FR"/>
        </w:rPr>
        <w:t xml:space="preserve"> </w:t>
      </w:r>
    </w:p>
    <w:p w14:paraId="18CFF14C" w14:textId="102AEA24" w:rsidR="00DF5FAF" w:rsidRPr="00F07818" w:rsidRDefault="00DF5FAF" w:rsidP="005453D7">
      <w:pPr>
        <w:pStyle w:val="Bullet1G"/>
      </w:pPr>
      <w:r w:rsidRPr="00F07818">
        <w:rPr>
          <w:lang w:val="fr-FR"/>
        </w:rPr>
        <w:t>L</w:t>
      </w:r>
      <w:r w:rsidR="00533FC3">
        <w:rPr>
          <w:lang w:val="fr-FR"/>
        </w:rPr>
        <w:t>’</w:t>
      </w:r>
      <w:r w:rsidRPr="00F07818">
        <w:rPr>
          <w:lang w:val="fr-FR"/>
        </w:rPr>
        <w:t xml:space="preserve">IRU a </w:t>
      </w:r>
      <w:r>
        <w:rPr>
          <w:lang w:val="fr-FR"/>
        </w:rPr>
        <w:t>fini de connecter</w:t>
      </w:r>
      <w:r w:rsidRPr="00F07818">
        <w:rPr>
          <w:lang w:val="fr-FR"/>
        </w:rPr>
        <w:t xml:space="preserve"> ses systèmes informatiques </w:t>
      </w:r>
      <w:r>
        <w:rPr>
          <w:lang w:val="fr-FR"/>
        </w:rPr>
        <w:t>au</w:t>
      </w:r>
      <w:r w:rsidRPr="00F07818">
        <w:rPr>
          <w:lang w:val="fr-FR"/>
        </w:rPr>
        <w:t xml:space="preserve"> système international eTIR</w:t>
      </w:r>
      <w:r>
        <w:rPr>
          <w:lang w:val="fr-FR"/>
        </w:rPr>
        <w:t> ;</w:t>
      </w:r>
      <w:r w:rsidRPr="00F07818">
        <w:rPr>
          <w:lang w:val="fr-FR"/>
        </w:rPr>
        <w:t xml:space="preserve"> </w:t>
      </w:r>
    </w:p>
    <w:p w14:paraId="7C68BFCE" w14:textId="171D26BC" w:rsidR="00DF5FAF" w:rsidRPr="00F07818" w:rsidRDefault="00DF5FAF" w:rsidP="005453D7">
      <w:pPr>
        <w:pStyle w:val="Bullet1G"/>
      </w:pPr>
      <w:r w:rsidRPr="00F07818">
        <w:rPr>
          <w:lang w:val="fr-FR"/>
        </w:rPr>
        <w:t xml:space="preserve">Pour le Kazakhstan, le </w:t>
      </w:r>
      <w:r>
        <w:rPr>
          <w:lang w:val="fr-FR"/>
        </w:rPr>
        <w:t>Kirghizistan</w:t>
      </w:r>
      <w:r w:rsidRPr="00F07818">
        <w:rPr>
          <w:lang w:val="fr-FR"/>
        </w:rPr>
        <w:t xml:space="preserve"> et le Tadjikistan, des fonds </w:t>
      </w:r>
      <w:r>
        <w:rPr>
          <w:lang w:val="fr-FR"/>
        </w:rPr>
        <w:t xml:space="preserve">du </w:t>
      </w:r>
      <w:r w:rsidRPr="00F07818">
        <w:rPr>
          <w:lang w:val="fr-FR"/>
        </w:rPr>
        <w:t xml:space="preserve">budget du programme ordinaire de coopération technique (RPTC) </w:t>
      </w:r>
      <w:r w:rsidRPr="00406921">
        <w:rPr>
          <w:lang w:val="fr-FR"/>
        </w:rPr>
        <w:t>ont été mis à disposition</w:t>
      </w:r>
      <w:r>
        <w:rPr>
          <w:lang w:val="fr-FR"/>
        </w:rPr>
        <w:t>,</w:t>
      </w:r>
      <w:r w:rsidRPr="00406921">
        <w:rPr>
          <w:lang w:val="fr-FR"/>
        </w:rPr>
        <w:t xml:space="preserve"> </w:t>
      </w:r>
      <w:r w:rsidRPr="00F07818">
        <w:rPr>
          <w:lang w:val="fr-FR"/>
        </w:rPr>
        <w:t>des consultants nationaux ont été engagés et les projets d</w:t>
      </w:r>
      <w:r w:rsidR="00533FC3">
        <w:rPr>
          <w:lang w:val="fr-FR"/>
        </w:rPr>
        <w:t>’</w:t>
      </w:r>
      <w:r w:rsidRPr="00F07818">
        <w:rPr>
          <w:lang w:val="fr-FR"/>
        </w:rPr>
        <w:t>interconnexion ont démarré</w:t>
      </w:r>
      <w:r>
        <w:rPr>
          <w:lang w:val="fr-FR"/>
        </w:rPr>
        <w:t> ;</w:t>
      </w:r>
    </w:p>
    <w:p w14:paraId="599341D0" w14:textId="576E31FA" w:rsidR="00DF5FAF" w:rsidRPr="00F07818" w:rsidRDefault="00DF5FAF" w:rsidP="005453D7">
      <w:pPr>
        <w:pStyle w:val="Bullet1G"/>
      </w:pPr>
      <w:r w:rsidRPr="00F07818">
        <w:rPr>
          <w:lang w:val="fr-FR"/>
        </w:rPr>
        <w:t>L</w:t>
      </w:r>
      <w:r w:rsidR="00533FC3">
        <w:rPr>
          <w:lang w:val="fr-FR"/>
        </w:rPr>
        <w:t>’</w:t>
      </w:r>
      <w:r w:rsidRPr="00F07818">
        <w:rPr>
          <w:lang w:val="fr-FR"/>
        </w:rPr>
        <w:t>Iran (République islamique d</w:t>
      </w:r>
      <w:r w:rsidR="00533FC3">
        <w:rPr>
          <w:lang w:val="fr-FR"/>
        </w:rPr>
        <w:t>’</w:t>
      </w:r>
      <w:r w:rsidRPr="00F07818">
        <w:rPr>
          <w:lang w:val="fr-FR"/>
        </w:rPr>
        <w:t>) et l</w:t>
      </w:r>
      <w:r w:rsidR="00533FC3">
        <w:rPr>
          <w:lang w:val="fr-FR"/>
        </w:rPr>
        <w:t>’</w:t>
      </w:r>
      <w:r w:rsidRPr="00F07818">
        <w:rPr>
          <w:lang w:val="fr-FR"/>
        </w:rPr>
        <w:t xml:space="preserve">Ukraine ont </w:t>
      </w:r>
      <w:r>
        <w:rPr>
          <w:lang w:val="fr-FR"/>
        </w:rPr>
        <w:t>indiqué qu</w:t>
      </w:r>
      <w:r w:rsidR="00533FC3">
        <w:rPr>
          <w:lang w:val="fr-FR"/>
        </w:rPr>
        <w:t>’</w:t>
      </w:r>
      <w:r>
        <w:rPr>
          <w:lang w:val="fr-FR"/>
        </w:rPr>
        <w:t>ils souhaitaient</w:t>
      </w:r>
      <w:r w:rsidRPr="00F07818">
        <w:rPr>
          <w:lang w:val="fr-FR"/>
        </w:rPr>
        <w:t xml:space="preserve"> </w:t>
      </w:r>
      <w:r>
        <w:rPr>
          <w:lang w:val="fr-FR"/>
        </w:rPr>
        <w:t>se raccorder</w:t>
      </w:r>
      <w:r w:rsidRPr="00F07818">
        <w:rPr>
          <w:lang w:val="fr-FR"/>
        </w:rPr>
        <w:t xml:space="preserve"> au système. Des fonds seront </w:t>
      </w:r>
      <w:r>
        <w:rPr>
          <w:lang w:val="fr-FR"/>
        </w:rPr>
        <w:t>alloués</w:t>
      </w:r>
      <w:r w:rsidRPr="00F07818">
        <w:rPr>
          <w:lang w:val="fr-FR"/>
        </w:rPr>
        <w:t xml:space="preserve"> pour que les projets d</w:t>
      </w:r>
      <w:r w:rsidR="00533FC3">
        <w:rPr>
          <w:lang w:val="fr-FR"/>
        </w:rPr>
        <w:t>’</w:t>
      </w:r>
      <w:r w:rsidRPr="00F07818">
        <w:rPr>
          <w:lang w:val="fr-FR"/>
        </w:rPr>
        <w:t>interconnexion démarrent en janvier 2024.</w:t>
      </w:r>
    </w:p>
    <w:p w14:paraId="0150ABB2" w14:textId="77777777" w:rsidR="00DF5FAF" w:rsidRPr="00F07818" w:rsidRDefault="00DF5FAF" w:rsidP="00A244B5">
      <w:pPr>
        <w:pStyle w:val="H23G"/>
      </w:pPr>
      <w:r>
        <w:rPr>
          <w:lang w:val="fr-FR"/>
        </w:rPr>
        <w:tab/>
      </w:r>
      <w:r w:rsidRPr="00F07818">
        <w:rPr>
          <w:lang w:val="fr-FR"/>
        </w:rPr>
        <w:t>2.</w:t>
      </w:r>
      <w:r w:rsidRPr="00F07818">
        <w:rPr>
          <w:lang w:val="fr-FR"/>
        </w:rPr>
        <w:tab/>
        <w:t>Organe de mise en œuvre technique</w:t>
      </w:r>
    </w:p>
    <w:p w14:paraId="0ED78B0F" w14:textId="3428BB9B" w:rsidR="00DF5FAF" w:rsidRPr="00F07818" w:rsidRDefault="00DF5FAF" w:rsidP="00A244B5">
      <w:pPr>
        <w:pStyle w:val="SingleTxtG"/>
      </w:pPr>
      <w:r w:rsidRPr="00F07818">
        <w:rPr>
          <w:lang w:val="fr-FR"/>
        </w:rPr>
        <w:t>12.</w:t>
      </w:r>
      <w:r w:rsidRPr="00F07818">
        <w:rPr>
          <w:lang w:val="fr-FR"/>
        </w:rPr>
        <w:tab/>
      </w:r>
      <w:r>
        <w:rPr>
          <w:lang w:val="fr-FR"/>
        </w:rPr>
        <w:t>L</w:t>
      </w:r>
      <w:r w:rsidR="00533FC3">
        <w:rPr>
          <w:lang w:val="fr-FR"/>
        </w:rPr>
        <w:t>’</w:t>
      </w:r>
      <w:r>
        <w:rPr>
          <w:lang w:val="fr-FR"/>
        </w:rPr>
        <w:t>AC.2</w:t>
      </w:r>
      <w:r w:rsidRPr="00F07818">
        <w:rPr>
          <w:lang w:val="fr-FR"/>
        </w:rPr>
        <w:t xml:space="preserve"> a été informé des résultats de la quatrième session de l</w:t>
      </w:r>
      <w:r w:rsidR="00533FC3">
        <w:rPr>
          <w:lang w:val="fr-FR"/>
        </w:rPr>
        <w:t>’</w:t>
      </w:r>
      <w:r w:rsidRPr="00F07818">
        <w:rPr>
          <w:lang w:val="fr-FR"/>
        </w:rPr>
        <w:t>Organe de mise en œuvre technique (TIB), tenue les 6 et 7</w:t>
      </w:r>
      <w:r>
        <w:rPr>
          <w:lang w:val="fr-FR"/>
        </w:rPr>
        <w:t> </w:t>
      </w:r>
      <w:r w:rsidRPr="00F07818">
        <w:rPr>
          <w:lang w:val="fr-FR"/>
        </w:rPr>
        <w:t xml:space="preserve">juin 2023, et a approuvé le rapport de </w:t>
      </w:r>
      <w:r>
        <w:rPr>
          <w:lang w:val="fr-FR"/>
        </w:rPr>
        <w:t>cette</w:t>
      </w:r>
      <w:r w:rsidRPr="00F07818">
        <w:rPr>
          <w:lang w:val="fr-FR"/>
        </w:rPr>
        <w:t xml:space="preserve"> session</w:t>
      </w:r>
      <w:r>
        <w:rPr>
          <w:lang w:val="fr-FR"/>
        </w:rPr>
        <w:t>,</w:t>
      </w:r>
      <w:r w:rsidRPr="00F07818">
        <w:rPr>
          <w:lang w:val="fr-FR"/>
        </w:rPr>
        <w:t xml:space="preserve"> publié sous la cote ECE/TRANS/WP.30/AC.2/TIB/8. Il a notamment pris note du fait que M. P. Arsic (Serbie) et M</w:t>
      </w:r>
      <w:r w:rsidRPr="00DF7CE3">
        <w:rPr>
          <w:vertAlign w:val="superscript"/>
          <w:lang w:val="fr-FR"/>
        </w:rPr>
        <w:t>me</w:t>
      </w:r>
      <w:r w:rsidRPr="00F07818">
        <w:rPr>
          <w:lang w:val="fr-FR"/>
        </w:rPr>
        <w:t xml:space="preserve"> L. Jacobs (Belgique) avaient été élus respectivement Président et Vice-Présidente </w:t>
      </w:r>
      <w:r>
        <w:rPr>
          <w:lang w:val="fr-FR"/>
        </w:rPr>
        <w:t>pour les</w:t>
      </w:r>
      <w:r w:rsidRPr="00F07818">
        <w:rPr>
          <w:lang w:val="fr-FR"/>
        </w:rPr>
        <w:t xml:space="preserve"> session</w:t>
      </w:r>
      <w:r>
        <w:rPr>
          <w:lang w:val="fr-FR"/>
        </w:rPr>
        <w:t>s</w:t>
      </w:r>
      <w:r w:rsidRPr="00F07818">
        <w:rPr>
          <w:lang w:val="fr-FR"/>
        </w:rPr>
        <w:t xml:space="preserve"> de 2023.</w:t>
      </w:r>
    </w:p>
    <w:p w14:paraId="7DFE652F" w14:textId="70797A45" w:rsidR="00DF5FAF" w:rsidRPr="00F07818" w:rsidRDefault="00DF5FAF" w:rsidP="00A244B5">
      <w:pPr>
        <w:pStyle w:val="SingleTxtG"/>
      </w:pPr>
      <w:r w:rsidRPr="00F07818">
        <w:rPr>
          <w:lang w:val="fr-FR"/>
        </w:rPr>
        <w:t>13.</w:t>
      </w:r>
      <w:r w:rsidRPr="00F07818">
        <w:rPr>
          <w:lang w:val="fr-FR"/>
        </w:rPr>
        <w:tab/>
        <w:t>L</w:t>
      </w:r>
      <w:r w:rsidR="00533FC3">
        <w:rPr>
          <w:lang w:val="fr-FR"/>
        </w:rPr>
        <w:t>’</w:t>
      </w:r>
      <w:r w:rsidRPr="00F07818">
        <w:rPr>
          <w:lang w:val="fr-FR"/>
        </w:rPr>
        <w:t>AC.2 a noté que le TIB avait envisagé de mettre en place une validation de principe pour l</w:t>
      </w:r>
      <w:r w:rsidR="00533FC3">
        <w:rPr>
          <w:lang w:val="fr-FR"/>
        </w:rPr>
        <w:t>’</w:t>
      </w:r>
      <w:r w:rsidRPr="00F07818">
        <w:rPr>
          <w:lang w:val="fr-FR"/>
        </w:rPr>
        <w:t>accès des titulaires aux données de transport TIR par l</w:t>
      </w:r>
      <w:r w:rsidR="00533FC3">
        <w:rPr>
          <w:lang w:val="fr-FR"/>
        </w:rPr>
        <w:t>’</w:t>
      </w:r>
      <w:r w:rsidRPr="00F07818">
        <w:rPr>
          <w:lang w:val="fr-FR"/>
        </w:rPr>
        <w:t>intermédiaire d</w:t>
      </w:r>
      <w:r w:rsidR="00533FC3">
        <w:rPr>
          <w:lang w:val="fr-FR"/>
        </w:rPr>
        <w:t>’</w:t>
      </w:r>
      <w:r w:rsidRPr="00F07818">
        <w:rPr>
          <w:lang w:val="fr-FR"/>
        </w:rPr>
        <w:t xml:space="preserve">applications </w:t>
      </w:r>
      <w:r>
        <w:rPr>
          <w:lang w:val="fr-FR"/>
        </w:rPr>
        <w:t xml:space="preserve">Web et </w:t>
      </w:r>
      <w:r w:rsidRPr="00F07818">
        <w:rPr>
          <w:lang w:val="fr-FR"/>
        </w:rPr>
        <w:t>mobiles prévues à cet effet. Le TIB a estimé que cette question, comme elle nécessitait d</w:t>
      </w:r>
      <w:r w:rsidR="00533FC3">
        <w:rPr>
          <w:lang w:val="fr-FR"/>
        </w:rPr>
        <w:t>’</w:t>
      </w:r>
      <w:r w:rsidRPr="00F07818">
        <w:rPr>
          <w:lang w:val="fr-FR"/>
        </w:rPr>
        <w:t>apporter des modifications aux concepts relatifs au système eTIR, devait d</w:t>
      </w:r>
      <w:r w:rsidR="00533FC3">
        <w:rPr>
          <w:lang w:val="fr-FR"/>
        </w:rPr>
        <w:t>’</w:t>
      </w:r>
      <w:r w:rsidRPr="00F07818">
        <w:rPr>
          <w:lang w:val="fr-FR"/>
        </w:rPr>
        <w:t xml:space="preserve">abord être examinée par les </w:t>
      </w:r>
      <w:r>
        <w:rPr>
          <w:lang w:val="fr-FR"/>
        </w:rPr>
        <w:t>P</w:t>
      </w:r>
      <w:r w:rsidRPr="00F07818">
        <w:rPr>
          <w:lang w:val="fr-FR"/>
        </w:rPr>
        <w:t>arties contractantes à la Convention TIR liées par l</w:t>
      </w:r>
      <w:r w:rsidR="00533FC3">
        <w:rPr>
          <w:lang w:val="fr-FR"/>
        </w:rPr>
        <w:t>’</w:t>
      </w:r>
      <w:r w:rsidRPr="00F07818">
        <w:rPr>
          <w:lang w:val="fr-FR"/>
        </w:rPr>
        <w:t>annexe</w:t>
      </w:r>
      <w:r>
        <w:rPr>
          <w:lang w:val="fr-FR"/>
        </w:rPr>
        <w:t> </w:t>
      </w:r>
      <w:r w:rsidRPr="00F07818">
        <w:rPr>
          <w:lang w:val="fr-FR"/>
        </w:rPr>
        <w:t xml:space="preserve">11 dans le cadre </w:t>
      </w:r>
      <w:r>
        <w:rPr>
          <w:lang w:val="fr-FR"/>
        </w:rPr>
        <w:lastRenderedPageBreak/>
        <w:t>de l</w:t>
      </w:r>
      <w:r w:rsidR="00533FC3">
        <w:rPr>
          <w:lang w:val="fr-FR"/>
        </w:rPr>
        <w:t>’</w:t>
      </w:r>
      <w:r w:rsidRPr="00F07818">
        <w:rPr>
          <w:lang w:val="fr-FR"/>
        </w:rPr>
        <w:t>AC.2. Le Président du TIB a invité l</w:t>
      </w:r>
      <w:r w:rsidR="00533FC3">
        <w:rPr>
          <w:lang w:val="fr-FR"/>
        </w:rPr>
        <w:t>’</w:t>
      </w:r>
      <w:r w:rsidRPr="00F07818">
        <w:rPr>
          <w:lang w:val="fr-FR"/>
        </w:rPr>
        <w:t>AC.2 à lui donner son avis sur le sujet. L</w:t>
      </w:r>
      <w:r w:rsidR="00533FC3">
        <w:rPr>
          <w:lang w:val="fr-FR"/>
        </w:rPr>
        <w:t>’</w:t>
      </w:r>
      <w:r w:rsidRPr="00F07818">
        <w:rPr>
          <w:lang w:val="fr-FR"/>
        </w:rPr>
        <w:t>AC.2 a décidé de revenir sur cette question à sa session suivante.</w:t>
      </w:r>
    </w:p>
    <w:p w14:paraId="237CC442" w14:textId="7BC9025D" w:rsidR="00DF5FAF" w:rsidRPr="00F07818" w:rsidRDefault="00DF5FAF" w:rsidP="00A244B5">
      <w:pPr>
        <w:pStyle w:val="SingleTxtG"/>
      </w:pPr>
      <w:r w:rsidRPr="00F07818">
        <w:rPr>
          <w:lang w:val="fr-FR"/>
        </w:rPr>
        <w:t>14.</w:t>
      </w:r>
      <w:r w:rsidRPr="00F07818">
        <w:rPr>
          <w:lang w:val="fr-FR"/>
        </w:rPr>
        <w:tab/>
        <w:t>L</w:t>
      </w:r>
      <w:r w:rsidR="00533FC3">
        <w:rPr>
          <w:lang w:val="fr-FR"/>
        </w:rPr>
        <w:t>’</w:t>
      </w:r>
      <w:r w:rsidRPr="00F07818">
        <w:rPr>
          <w:lang w:val="fr-FR"/>
        </w:rPr>
        <w:t>AC.2 a également pris note de la révision</w:t>
      </w:r>
      <w:r>
        <w:rPr>
          <w:lang w:val="fr-FR"/>
        </w:rPr>
        <w:t> </w:t>
      </w:r>
      <w:r w:rsidRPr="00F07818">
        <w:rPr>
          <w:lang w:val="fr-FR"/>
        </w:rPr>
        <w:t>2 de la version</w:t>
      </w:r>
      <w:r>
        <w:rPr>
          <w:lang w:val="fr-FR"/>
        </w:rPr>
        <w:t> </w:t>
      </w:r>
      <w:r w:rsidRPr="00F07818">
        <w:rPr>
          <w:lang w:val="fr-FR"/>
        </w:rPr>
        <w:t>4.3 des spécifications eTIR, telle qu</w:t>
      </w:r>
      <w:r w:rsidR="00533FC3">
        <w:rPr>
          <w:lang w:val="fr-FR"/>
        </w:rPr>
        <w:t>’</w:t>
      </w:r>
      <w:r w:rsidRPr="00F07818">
        <w:rPr>
          <w:lang w:val="fr-FR"/>
        </w:rPr>
        <w:t>elle figure dans les documents ECE/TRANS/WP.30/AC.2/TIB/2022/2/Rev.2-ECE/TRANS/WP30/AC.2/2022/11/Rev.2 (Introduction), ECE/TRANS/WP.30/AC.2/TIB/</w:t>
      </w:r>
      <w:r w:rsidR="002612F7">
        <w:rPr>
          <w:lang w:val="fr-FR"/>
        </w:rPr>
        <w:br/>
      </w:r>
      <w:r w:rsidRPr="00F07818">
        <w:rPr>
          <w:lang w:val="fr-FR"/>
        </w:rPr>
        <w:t>2022/3/Rev.2-ECE/TRANS/WP30/AC.2/2022/12/Rev.2 (Concepts relatifs au système eTIR), ECE/TRANS/WP.30/AC.2/TIB/2022/4/Rev.2-ECE/TRANS/WP30/AC.2/2022/13/</w:t>
      </w:r>
      <w:r w:rsidR="002612F7">
        <w:rPr>
          <w:lang w:val="fr-FR"/>
        </w:rPr>
        <w:br/>
      </w:r>
      <w:r w:rsidRPr="00F07818">
        <w:rPr>
          <w:lang w:val="fr-FR"/>
        </w:rPr>
        <w:t>Rev.2 (Spécifications fonctionnelles eTIR) et ECE/TRANS/WP.30/AC.2/TIB/2022/5/</w:t>
      </w:r>
      <w:r w:rsidR="002612F7">
        <w:rPr>
          <w:lang w:val="fr-FR"/>
        </w:rPr>
        <w:br/>
      </w:r>
      <w:r w:rsidRPr="00F07818">
        <w:rPr>
          <w:lang w:val="fr-FR"/>
        </w:rPr>
        <w:t>Rev.2-ECE/TRANS/WP.30/AC.2/2022/14/Rev.2 (Spécifications techniques</w:t>
      </w:r>
      <w:r>
        <w:rPr>
          <w:lang w:val="fr-FR"/>
        </w:rPr>
        <w:t xml:space="preserve"> eTIR</w:t>
      </w:r>
      <w:r w:rsidRPr="00F07818">
        <w:rPr>
          <w:lang w:val="fr-FR"/>
        </w:rPr>
        <w:t xml:space="preserve">). </w:t>
      </w:r>
    </w:p>
    <w:p w14:paraId="0481E3BC" w14:textId="447115BD" w:rsidR="00DF5FAF" w:rsidRPr="00F07818" w:rsidRDefault="00DF5FAF" w:rsidP="00A244B5">
      <w:pPr>
        <w:pStyle w:val="H1G"/>
      </w:pPr>
      <w:r>
        <w:rPr>
          <w:lang w:val="fr-FR"/>
        </w:rPr>
        <w:tab/>
      </w:r>
      <w:r w:rsidRPr="00F07818">
        <w:rPr>
          <w:lang w:val="fr-FR"/>
        </w:rPr>
        <w:t>E.</w:t>
      </w:r>
      <w:r w:rsidRPr="00F07818">
        <w:rPr>
          <w:lang w:val="fr-FR"/>
        </w:rPr>
        <w:tab/>
        <w:t>Prolongation de l</w:t>
      </w:r>
      <w:r w:rsidR="00533FC3">
        <w:rPr>
          <w:lang w:val="fr-FR"/>
        </w:rPr>
        <w:t>’</w:t>
      </w:r>
      <w:r w:rsidRPr="00F07818">
        <w:rPr>
          <w:lang w:val="fr-FR"/>
        </w:rPr>
        <w:t>habilitation de l</w:t>
      </w:r>
      <w:r w:rsidR="00533FC3">
        <w:rPr>
          <w:lang w:val="fr-FR"/>
        </w:rPr>
        <w:t>’</w:t>
      </w:r>
      <w:r w:rsidRPr="00F07818">
        <w:rPr>
          <w:lang w:val="fr-FR"/>
        </w:rPr>
        <w:t>Union internationale des transports routiers pour les années</w:t>
      </w:r>
      <w:r>
        <w:rPr>
          <w:lang w:val="fr-FR"/>
        </w:rPr>
        <w:t> </w:t>
      </w:r>
      <w:r w:rsidRPr="00F07818">
        <w:rPr>
          <w:lang w:val="fr-FR"/>
        </w:rPr>
        <w:t>2023 à 2025</w:t>
      </w:r>
    </w:p>
    <w:p w14:paraId="060A48EA" w14:textId="7480F4AC" w:rsidR="00DF5FAF" w:rsidRPr="00F07818" w:rsidRDefault="00DF5FAF" w:rsidP="00A244B5">
      <w:pPr>
        <w:pStyle w:val="SingleTxtG"/>
      </w:pPr>
      <w:r w:rsidRPr="00F07818">
        <w:rPr>
          <w:lang w:val="fr-FR"/>
        </w:rPr>
        <w:t>15.</w:t>
      </w:r>
      <w:r w:rsidRPr="00F07818">
        <w:rPr>
          <w:lang w:val="fr-FR"/>
        </w:rPr>
        <w:tab/>
        <w:t xml:space="preserve">À sa soixante-dix-huitième session (octobre 2022), </w:t>
      </w:r>
      <w:r>
        <w:rPr>
          <w:lang w:val="fr-FR"/>
        </w:rPr>
        <w:t>l</w:t>
      </w:r>
      <w:r w:rsidR="00533FC3">
        <w:rPr>
          <w:lang w:val="fr-FR"/>
        </w:rPr>
        <w:t>’</w:t>
      </w:r>
      <w:r>
        <w:rPr>
          <w:lang w:val="fr-FR"/>
        </w:rPr>
        <w:t xml:space="preserve">AC.2 </w:t>
      </w:r>
      <w:r w:rsidRPr="00F07818">
        <w:rPr>
          <w:lang w:val="fr-FR"/>
        </w:rPr>
        <w:t xml:space="preserve">a </w:t>
      </w:r>
      <w:r>
        <w:rPr>
          <w:lang w:val="fr-FR"/>
        </w:rPr>
        <w:t>chargé</w:t>
      </w:r>
      <w:r w:rsidRPr="00F07818">
        <w:rPr>
          <w:lang w:val="fr-FR"/>
        </w:rPr>
        <w:t xml:space="preserve"> la CEE et l</w:t>
      </w:r>
      <w:r w:rsidR="00533FC3">
        <w:rPr>
          <w:lang w:val="fr-FR"/>
        </w:rPr>
        <w:t>’</w:t>
      </w:r>
      <w:r w:rsidRPr="00F07818">
        <w:rPr>
          <w:lang w:val="fr-FR"/>
        </w:rPr>
        <w:t>IRU</w:t>
      </w:r>
      <w:r w:rsidRPr="002C7228">
        <w:rPr>
          <w:rStyle w:val="Appelnotedebasdep"/>
        </w:rPr>
        <w:footnoteReference w:id="3"/>
      </w:r>
      <w:r>
        <w:rPr>
          <w:lang w:val="fr-FR"/>
        </w:rPr>
        <w:t xml:space="preserve"> </w:t>
      </w:r>
      <w:r w:rsidRPr="00F07818">
        <w:rPr>
          <w:lang w:val="fr-FR"/>
        </w:rPr>
        <w:t>de procéder à la signature du nouvel accord dans les meilleurs délais, et en tout état de cause bien avant le 15</w:t>
      </w:r>
      <w:r>
        <w:rPr>
          <w:lang w:val="fr-FR"/>
        </w:rPr>
        <w:t> </w:t>
      </w:r>
      <w:r w:rsidRPr="00F07818">
        <w:rPr>
          <w:lang w:val="fr-FR"/>
        </w:rPr>
        <w:t>novembre 2022, étant entendu que l</w:t>
      </w:r>
      <w:r w:rsidR="00533FC3">
        <w:rPr>
          <w:lang w:val="fr-FR"/>
        </w:rPr>
        <w:t>’</w:t>
      </w:r>
      <w:r w:rsidRPr="00F07818">
        <w:rPr>
          <w:lang w:val="fr-FR"/>
        </w:rPr>
        <w:t xml:space="preserve">annexe I prévoirait exactement les mêmes chiffres que ceux prévus au budget de la Commission de contrôle TIR </w:t>
      </w:r>
      <w:r>
        <w:rPr>
          <w:lang w:val="fr-FR"/>
        </w:rPr>
        <w:t>(</w:t>
      </w:r>
      <w:r w:rsidRPr="00547747">
        <w:rPr>
          <w:lang w:val="fr-FR"/>
        </w:rPr>
        <w:t>TIRExB</w:t>
      </w:r>
      <w:r>
        <w:rPr>
          <w:lang w:val="fr-FR"/>
        </w:rPr>
        <w:t>)</w:t>
      </w:r>
      <w:r w:rsidRPr="00547747">
        <w:rPr>
          <w:lang w:val="fr-FR"/>
        </w:rPr>
        <w:t xml:space="preserve"> </w:t>
      </w:r>
      <w:r w:rsidRPr="00F07818">
        <w:rPr>
          <w:lang w:val="fr-FR"/>
        </w:rPr>
        <w:t>et du secrétariat TIR pour l</w:t>
      </w:r>
      <w:r w:rsidR="00533FC3">
        <w:rPr>
          <w:lang w:val="fr-FR"/>
        </w:rPr>
        <w:t>’</w:t>
      </w:r>
      <w:r w:rsidRPr="00F07818">
        <w:rPr>
          <w:lang w:val="fr-FR"/>
        </w:rPr>
        <w:t>année</w:t>
      </w:r>
      <w:r>
        <w:rPr>
          <w:lang w:val="fr-FR"/>
        </w:rPr>
        <w:t> </w:t>
      </w:r>
      <w:r w:rsidRPr="00F07818">
        <w:rPr>
          <w:lang w:val="fr-FR"/>
        </w:rPr>
        <w:t>2023, tels qu</w:t>
      </w:r>
      <w:r w:rsidR="00533FC3">
        <w:rPr>
          <w:lang w:val="fr-FR"/>
        </w:rPr>
        <w:t>’</w:t>
      </w:r>
      <w:r w:rsidRPr="00F07818">
        <w:rPr>
          <w:lang w:val="fr-FR"/>
        </w:rPr>
        <w:t>ils figurent dans le document ECE/TRANS/WP.30/AC.2/2022/15 (ECE/TRANS/WP.30/AC.2/159, par.</w:t>
      </w:r>
      <w:r w:rsidR="002612F7">
        <w:rPr>
          <w:lang w:val="fr-FR"/>
        </w:rPr>
        <w:t> </w:t>
      </w:r>
      <w:r w:rsidRPr="00F07818">
        <w:rPr>
          <w:lang w:val="fr-FR"/>
        </w:rPr>
        <w:t>46).</w:t>
      </w:r>
    </w:p>
    <w:p w14:paraId="539BF387" w14:textId="1F23617D" w:rsidR="00DF5FAF" w:rsidRPr="00F07818" w:rsidRDefault="00DF5FAF" w:rsidP="00A244B5">
      <w:pPr>
        <w:pStyle w:val="SingleTxtG"/>
      </w:pPr>
      <w:r w:rsidRPr="00F07818">
        <w:rPr>
          <w:lang w:val="fr-FR"/>
        </w:rPr>
        <w:t>16.</w:t>
      </w:r>
      <w:r w:rsidRPr="00F07818">
        <w:rPr>
          <w:lang w:val="fr-FR"/>
        </w:rPr>
        <w:tab/>
      </w:r>
      <w:r>
        <w:rPr>
          <w:lang w:val="fr-FR"/>
        </w:rPr>
        <w:t>À</w:t>
      </w:r>
      <w:r w:rsidRPr="00F07818">
        <w:rPr>
          <w:lang w:val="fr-FR"/>
        </w:rPr>
        <w:t xml:space="preserve"> sa soixante-dix-neuvième session (février 2023), l</w:t>
      </w:r>
      <w:r w:rsidR="00533FC3">
        <w:rPr>
          <w:lang w:val="fr-FR"/>
        </w:rPr>
        <w:t>’</w:t>
      </w:r>
      <w:r w:rsidRPr="00F07818">
        <w:rPr>
          <w:lang w:val="fr-FR"/>
        </w:rPr>
        <w:t>AC.2 a été informé que le nouvel accord CEE</w:t>
      </w:r>
      <w:r>
        <w:rPr>
          <w:lang w:val="fr-FR"/>
        </w:rPr>
        <w:t>-</w:t>
      </w:r>
      <w:r w:rsidRPr="00F07818">
        <w:rPr>
          <w:lang w:val="fr-FR"/>
        </w:rPr>
        <w:t>IRU</w:t>
      </w:r>
      <w:r>
        <w:rPr>
          <w:lang w:val="fr-FR"/>
        </w:rPr>
        <w:t>, qui couvrait</w:t>
      </w:r>
      <w:r w:rsidRPr="00F07818">
        <w:rPr>
          <w:lang w:val="fr-FR"/>
        </w:rPr>
        <w:t xml:space="preserve"> la période</w:t>
      </w:r>
      <w:r>
        <w:rPr>
          <w:lang w:val="fr-FR"/>
        </w:rPr>
        <w:t> </w:t>
      </w:r>
      <w:r w:rsidRPr="00F07818">
        <w:rPr>
          <w:lang w:val="fr-FR"/>
        </w:rPr>
        <w:t>2023-2025</w:t>
      </w:r>
      <w:r>
        <w:rPr>
          <w:lang w:val="fr-FR"/>
        </w:rPr>
        <w:t>,</w:t>
      </w:r>
      <w:r w:rsidRPr="00F07818">
        <w:rPr>
          <w:lang w:val="fr-FR"/>
        </w:rPr>
        <w:t xml:space="preserve"> avait été signé le 15</w:t>
      </w:r>
      <w:r>
        <w:rPr>
          <w:lang w:val="fr-FR"/>
        </w:rPr>
        <w:t> </w:t>
      </w:r>
      <w:r w:rsidRPr="00F07818">
        <w:rPr>
          <w:lang w:val="fr-FR"/>
        </w:rPr>
        <w:t>novembre 2022.</w:t>
      </w:r>
    </w:p>
    <w:p w14:paraId="20DA5690" w14:textId="77777777" w:rsidR="00DF5FAF" w:rsidRPr="00F07818" w:rsidRDefault="00DF5FAF" w:rsidP="00A244B5">
      <w:pPr>
        <w:pStyle w:val="H1G"/>
      </w:pPr>
      <w:r>
        <w:rPr>
          <w:lang w:val="fr-FR"/>
        </w:rPr>
        <w:tab/>
      </w:r>
      <w:r w:rsidRPr="00F07818">
        <w:rPr>
          <w:lang w:val="fr-FR"/>
        </w:rPr>
        <w:t>F.</w:t>
      </w:r>
      <w:r w:rsidRPr="00F07818">
        <w:rPr>
          <w:lang w:val="fr-FR"/>
        </w:rPr>
        <w:tab/>
        <w:t xml:space="preserve">Douzième </w:t>
      </w:r>
      <w:r>
        <w:rPr>
          <w:lang w:val="fr-FR"/>
        </w:rPr>
        <w:t>édition</w:t>
      </w:r>
      <w:r w:rsidRPr="00F07818">
        <w:rPr>
          <w:lang w:val="fr-FR"/>
        </w:rPr>
        <w:t xml:space="preserve"> révisée du Manuel TIR</w:t>
      </w:r>
    </w:p>
    <w:p w14:paraId="7337A7F4" w14:textId="6B6C1106" w:rsidR="00DF5FAF" w:rsidRPr="00F07818" w:rsidRDefault="00DF5FAF" w:rsidP="00A244B5">
      <w:pPr>
        <w:pStyle w:val="SingleTxtG"/>
      </w:pPr>
      <w:r w:rsidRPr="00F07818">
        <w:rPr>
          <w:lang w:val="fr-FR"/>
        </w:rPr>
        <w:t>17.</w:t>
      </w:r>
      <w:r w:rsidRPr="00F07818">
        <w:rPr>
          <w:lang w:val="fr-FR"/>
        </w:rPr>
        <w:tab/>
        <w:t xml:space="preserve">La douzième </w:t>
      </w:r>
      <w:r>
        <w:rPr>
          <w:lang w:val="fr-FR"/>
        </w:rPr>
        <w:t>édition</w:t>
      </w:r>
      <w:r w:rsidRPr="00F07818">
        <w:rPr>
          <w:lang w:val="fr-FR"/>
        </w:rPr>
        <w:t xml:space="preserve"> révisée du Manuel TIR, qui doit être publiée en 2023, est en cours d</w:t>
      </w:r>
      <w:r w:rsidR="00533FC3">
        <w:rPr>
          <w:lang w:val="fr-FR"/>
        </w:rPr>
        <w:t>’</w:t>
      </w:r>
      <w:r w:rsidRPr="00F07818">
        <w:rPr>
          <w:lang w:val="fr-FR"/>
        </w:rPr>
        <w:t>élaboration. La TIRExB a entrepris de rédiger une série de nouveaux exemples de bonnes pratiques à ajouter à la série existant</w:t>
      </w:r>
      <w:r>
        <w:rPr>
          <w:lang w:val="fr-FR"/>
        </w:rPr>
        <w:t>e</w:t>
      </w:r>
      <w:r w:rsidRPr="00F07818">
        <w:rPr>
          <w:lang w:val="fr-FR"/>
        </w:rPr>
        <w:t>. Ces exemples renvoient à la note explicative</w:t>
      </w:r>
      <w:r>
        <w:rPr>
          <w:lang w:val="fr-FR"/>
        </w:rPr>
        <w:t> </w:t>
      </w:r>
      <w:r w:rsidRPr="00F07818">
        <w:rPr>
          <w:lang w:val="fr-FR"/>
        </w:rPr>
        <w:t>0.49 et au commentaire s</w:t>
      </w:r>
      <w:r w:rsidR="00533FC3">
        <w:rPr>
          <w:lang w:val="fr-FR"/>
        </w:rPr>
        <w:t>’</w:t>
      </w:r>
      <w:r w:rsidRPr="00F07818">
        <w:rPr>
          <w:lang w:val="fr-FR"/>
        </w:rPr>
        <w:t xml:space="preserve">y rapportant sur </w:t>
      </w:r>
      <w:r>
        <w:rPr>
          <w:lang w:val="fr-FR"/>
        </w:rPr>
        <w:t xml:space="preserve">le recours aux </w:t>
      </w:r>
      <w:r w:rsidRPr="00F07818">
        <w:rPr>
          <w:lang w:val="fr-FR"/>
        </w:rPr>
        <w:t>expéditeur</w:t>
      </w:r>
      <w:r>
        <w:rPr>
          <w:lang w:val="fr-FR"/>
        </w:rPr>
        <w:t>s</w:t>
      </w:r>
      <w:r w:rsidRPr="00F07818">
        <w:rPr>
          <w:lang w:val="fr-FR"/>
        </w:rPr>
        <w:t xml:space="preserve"> et destinataire</w:t>
      </w:r>
      <w:r>
        <w:rPr>
          <w:lang w:val="fr-FR"/>
        </w:rPr>
        <w:t>s agréés</w:t>
      </w:r>
      <w:r w:rsidRPr="00F07818">
        <w:rPr>
          <w:lang w:val="fr-FR"/>
        </w:rPr>
        <w:t xml:space="preserve"> et à un commentaire à l</w:t>
      </w:r>
      <w:r w:rsidR="00533FC3">
        <w:rPr>
          <w:lang w:val="fr-FR"/>
        </w:rPr>
        <w:t>’</w:t>
      </w:r>
      <w:r w:rsidRPr="00F07818">
        <w:rPr>
          <w:lang w:val="fr-FR"/>
        </w:rPr>
        <w:t>article</w:t>
      </w:r>
      <w:r w:rsidR="002612F7">
        <w:rPr>
          <w:lang w:val="fr-FR"/>
        </w:rPr>
        <w:t> </w:t>
      </w:r>
      <w:r w:rsidRPr="00F07818">
        <w:rPr>
          <w:lang w:val="fr-FR"/>
        </w:rPr>
        <w:t>1</w:t>
      </w:r>
      <w:r w:rsidR="002612F7">
        <w:rPr>
          <w:lang w:val="fr-FR"/>
        </w:rPr>
        <w:t> </w:t>
      </w:r>
      <w:r w:rsidRPr="00F07818">
        <w:rPr>
          <w:lang w:val="fr-FR"/>
        </w:rPr>
        <w:t xml:space="preserve">o) sur </w:t>
      </w:r>
      <w:r>
        <w:rPr>
          <w:lang w:val="fr-FR"/>
        </w:rPr>
        <w:t>le recours à</w:t>
      </w:r>
      <w:r w:rsidRPr="00F07818">
        <w:rPr>
          <w:lang w:val="fr-FR"/>
        </w:rPr>
        <w:t xml:space="preserve"> de</w:t>
      </w:r>
      <w:r>
        <w:rPr>
          <w:lang w:val="fr-FR"/>
        </w:rPr>
        <w:t>s</w:t>
      </w:r>
      <w:r w:rsidRPr="00F07818">
        <w:rPr>
          <w:lang w:val="fr-FR"/>
        </w:rPr>
        <w:t xml:space="preserve"> sous-traitants. Outre une version au format PDF, le secrétariat a l</w:t>
      </w:r>
      <w:r w:rsidR="00533FC3">
        <w:rPr>
          <w:lang w:val="fr-FR"/>
        </w:rPr>
        <w:t>’</w:t>
      </w:r>
      <w:r w:rsidRPr="00F07818">
        <w:rPr>
          <w:lang w:val="fr-FR"/>
        </w:rPr>
        <w:t>intention de produire une version en ligne plus interactive.</w:t>
      </w:r>
    </w:p>
    <w:p w14:paraId="39332D15" w14:textId="27FFC9F3" w:rsidR="00DF5FAF" w:rsidRPr="00F07818" w:rsidRDefault="00DF5FAF" w:rsidP="00A244B5">
      <w:pPr>
        <w:pStyle w:val="SingleTxtG"/>
      </w:pPr>
      <w:r w:rsidRPr="00F07818">
        <w:rPr>
          <w:lang w:val="fr-FR"/>
        </w:rPr>
        <w:t>18.</w:t>
      </w:r>
      <w:r w:rsidRPr="00F07818">
        <w:rPr>
          <w:lang w:val="fr-FR"/>
        </w:rPr>
        <w:tab/>
        <w:t>L</w:t>
      </w:r>
      <w:r w:rsidR="00533FC3">
        <w:rPr>
          <w:lang w:val="fr-FR"/>
        </w:rPr>
        <w:t>’</w:t>
      </w:r>
      <w:r w:rsidRPr="00F07818">
        <w:rPr>
          <w:lang w:val="fr-FR"/>
        </w:rPr>
        <w:t>AC.2 a examiné le projet de révision d</w:t>
      </w:r>
      <w:r w:rsidR="00533FC3">
        <w:rPr>
          <w:lang w:val="fr-FR"/>
        </w:rPr>
        <w:t>’</w:t>
      </w:r>
      <w:r w:rsidRPr="00F07818">
        <w:rPr>
          <w:lang w:val="fr-FR"/>
        </w:rPr>
        <w:t>un commentaire à l</w:t>
      </w:r>
      <w:r w:rsidR="00533FC3">
        <w:rPr>
          <w:lang w:val="fr-FR"/>
        </w:rPr>
        <w:t>’</w:t>
      </w:r>
      <w:r w:rsidRPr="00F07818">
        <w:rPr>
          <w:lang w:val="fr-FR"/>
        </w:rPr>
        <w:t>article</w:t>
      </w:r>
      <w:r>
        <w:rPr>
          <w:lang w:val="fr-FR"/>
        </w:rPr>
        <w:t> </w:t>
      </w:r>
      <w:r w:rsidRPr="00F07818">
        <w:rPr>
          <w:lang w:val="fr-FR"/>
        </w:rPr>
        <w:t>3 et quatre exemples de bonnes pratiques communiqués par la TIRExB (ECE/TRANS/WP.30/AC.2/</w:t>
      </w:r>
      <w:r w:rsidR="002612F7">
        <w:rPr>
          <w:lang w:val="fr-FR"/>
        </w:rPr>
        <w:br/>
      </w:r>
      <w:r w:rsidRPr="00F07818">
        <w:rPr>
          <w:lang w:val="fr-FR"/>
        </w:rPr>
        <w:t xml:space="preserve">2023/11) en vue de leur inclusion dans la prochaine </w:t>
      </w:r>
      <w:r>
        <w:rPr>
          <w:lang w:val="fr-FR"/>
        </w:rPr>
        <w:t>édition révisée</w:t>
      </w:r>
      <w:r w:rsidRPr="00F07818">
        <w:rPr>
          <w:lang w:val="fr-FR"/>
        </w:rPr>
        <w:t xml:space="preserve"> du Manuel TIR.</w:t>
      </w:r>
    </w:p>
    <w:p w14:paraId="7B5558C4" w14:textId="065AAE15" w:rsidR="00DF5FAF" w:rsidRPr="00F07818" w:rsidRDefault="00DF5FAF" w:rsidP="00A244B5">
      <w:pPr>
        <w:pStyle w:val="HChG"/>
      </w:pPr>
      <w:r>
        <w:rPr>
          <w:lang w:val="fr-FR"/>
        </w:rPr>
        <w:tab/>
      </w:r>
      <w:r w:rsidRPr="00F07818">
        <w:rPr>
          <w:lang w:val="fr-FR"/>
        </w:rPr>
        <w:t>III.</w:t>
      </w:r>
      <w:r w:rsidRPr="00F07818">
        <w:rPr>
          <w:lang w:val="fr-FR"/>
        </w:rPr>
        <w:tab/>
        <w:t>Convention internationale de 1982 sur l</w:t>
      </w:r>
      <w:r w:rsidR="00533FC3">
        <w:rPr>
          <w:lang w:val="fr-FR"/>
        </w:rPr>
        <w:t>’</w:t>
      </w:r>
      <w:r w:rsidRPr="00F07818">
        <w:rPr>
          <w:lang w:val="fr-FR"/>
        </w:rPr>
        <w:t>harmonisation des</w:t>
      </w:r>
      <w:r w:rsidR="002612F7">
        <w:rPr>
          <w:lang w:val="fr-FR"/>
        </w:rPr>
        <w:t> </w:t>
      </w:r>
      <w:r w:rsidRPr="00F07818">
        <w:rPr>
          <w:lang w:val="fr-FR"/>
        </w:rPr>
        <w:t xml:space="preserve">contrôles des marchandises aux frontières </w:t>
      </w:r>
      <w:r w:rsidR="002612F7">
        <w:rPr>
          <w:lang w:val="fr-FR"/>
        </w:rPr>
        <w:br/>
      </w:r>
      <w:r w:rsidRPr="00F07818">
        <w:rPr>
          <w:lang w:val="fr-FR"/>
        </w:rPr>
        <w:t>(Convention sur l</w:t>
      </w:r>
      <w:r w:rsidR="00533FC3">
        <w:rPr>
          <w:lang w:val="fr-FR"/>
        </w:rPr>
        <w:t>’</w:t>
      </w:r>
      <w:r w:rsidRPr="00F07818">
        <w:rPr>
          <w:lang w:val="fr-FR"/>
        </w:rPr>
        <w:t xml:space="preserve">harmonisation) </w:t>
      </w:r>
    </w:p>
    <w:p w14:paraId="143B44C0" w14:textId="77777777" w:rsidR="00DF5FAF" w:rsidRPr="00F07818" w:rsidRDefault="00DF5FAF" w:rsidP="00A244B5">
      <w:pPr>
        <w:pStyle w:val="H1G"/>
      </w:pPr>
      <w:r>
        <w:rPr>
          <w:lang w:val="fr-FR"/>
        </w:rPr>
        <w:tab/>
      </w:r>
      <w:r w:rsidRPr="00F07818">
        <w:rPr>
          <w:lang w:val="fr-FR"/>
        </w:rPr>
        <w:t>A.</w:t>
      </w:r>
      <w:r w:rsidRPr="00F07818">
        <w:rPr>
          <w:lang w:val="fr-FR"/>
        </w:rPr>
        <w:tab/>
        <w:t>État de la Convention</w:t>
      </w:r>
    </w:p>
    <w:p w14:paraId="40C942CE" w14:textId="7546AE13" w:rsidR="00DF5FAF" w:rsidRPr="00F07818" w:rsidRDefault="00DF5FAF" w:rsidP="00A244B5">
      <w:pPr>
        <w:pStyle w:val="SingleTxtG"/>
      </w:pPr>
      <w:r w:rsidRPr="00F07818">
        <w:rPr>
          <w:lang w:val="fr-FR"/>
        </w:rPr>
        <w:t>19.</w:t>
      </w:r>
      <w:r w:rsidRPr="00F07818">
        <w:rPr>
          <w:lang w:val="fr-FR"/>
        </w:rPr>
        <w:tab/>
        <w:t xml:space="preserve">Le </w:t>
      </w:r>
      <w:r>
        <w:rPr>
          <w:lang w:val="fr-FR"/>
        </w:rPr>
        <w:t>CTI</w:t>
      </w:r>
      <w:r w:rsidRPr="00F07818">
        <w:rPr>
          <w:lang w:val="fr-FR"/>
        </w:rPr>
        <w:t xml:space="preserve"> souhaitera peut-être noter qu</w:t>
      </w:r>
      <w:r w:rsidR="00533FC3">
        <w:rPr>
          <w:lang w:val="fr-FR"/>
        </w:rPr>
        <w:t>’</w:t>
      </w:r>
      <w:r w:rsidRPr="00F07818">
        <w:rPr>
          <w:lang w:val="fr-FR"/>
        </w:rPr>
        <w:t>en 2023, aucune nouvelle adhésion à la Convention internationale de 1982 sur l</w:t>
      </w:r>
      <w:r w:rsidR="00533FC3">
        <w:rPr>
          <w:lang w:val="fr-FR"/>
        </w:rPr>
        <w:t>’</w:t>
      </w:r>
      <w:r w:rsidRPr="00F07818">
        <w:rPr>
          <w:lang w:val="fr-FR"/>
        </w:rPr>
        <w:t>harmonisation des contrôles des marchandises aux frontières (Convention sur l</w:t>
      </w:r>
      <w:r w:rsidR="00533FC3">
        <w:rPr>
          <w:lang w:val="fr-FR"/>
        </w:rPr>
        <w:t>’</w:t>
      </w:r>
      <w:r w:rsidRPr="00F07818">
        <w:rPr>
          <w:lang w:val="fr-FR"/>
        </w:rPr>
        <w:t>harmonisation) n</w:t>
      </w:r>
      <w:r w:rsidR="00533FC3">
        <w:rPr>
          <w:lang w:val="fr-FR"/>
        </w:rPr>
        <w:t>’</w:t>
      </w:r>
      <w:r w:rsidRPr="00F07818">
        <w:rPr>
          <w:lang w:val="fr-FR"/>
        </w:rPr>
        <w:t>a eu lieu. Ainsi, depuis l</w:t>
      </w:r>
      <w:r w:rsidR="00533FC3">
        <w:rPr>
          <w:lang w:val="fr-FR"/>
        </w:rPr>
        <w:t>’</w:t>
      </w:r>
      <w:r w:rsidRPr="00F07818">
        <w:rPr>
          <w:lang w:val="fr-FR"/>
        </w:rPr>
        <w:t>entrée en vigueur de la Convention pour le Turkménistan, le 27</w:t>
      </w:r>
      <w:r>
        <w:rPr>
          <w:lang w:val="fr-FR"/>
        </w:rPr>
        <w:t> </w:t>
      </w:r>
      <w:r w:rsidRPr="00F07818">
        <w:rPr>
          <w:lang w:val="fr-FR"/>
        </w:rPr>
        <w:t xml:space="preserve">février 2017, le nombre de </w:t>
      </w:r>
      <w:r>
        <w:rPr>
          <w:lang w:val="fr-FR"/>
        </w:rPr>
        <w:t>P</w:t>
      </w:r>
      <w:r w:rsidRPr="00F07818">
        <w:rPr>
          <w:lang w:val="fr-FR"/>
        </w:rPr>
        <w:t>arties contractantes à la Convention d</w:t>
      </w:r>
      <w:r w:rsidR="00533FC3">
        <w:rPr>
          <w:lang w:val="fr-FR"/>
        </w:rPr>
        <w:t>’</w:t>
      </w:r>
      <w:r w:rsidRPr="00F07818">
        <w:rPr>
          <w:lang w:val="fr-FR"/>
        </w:rPr>
        <w:t>harmonisation s</w:t>
      </w:r>
      <w:r w:rsidR="00533FC3">
        <w:rPr>
          <w:lang w:val="fr-FR"/>
        </w:rPr>
        <w:t>’</w:t>
      </w:r>
      <w:r w:rsidRPr="00F07818">
        <w:rPr>
          <w:lang w:val="fr-FR"/>
        </w:rPr>
        <w:t xml:space="preserve">élève à 58. </w:t>
      </w:r>
    </w:p>
    <w:p w14:paraId="0414B680" w14:textId="5F480D31" w:rsidR="00DF5FAF" w:rsidRPr="00F07818" w:rsidRDefault="00DF5FAF" w:rsidP="00A244B5">
      <w:pPr>
        <w:pStyle w:val="H1G"/>
      </w:pPr>
      <w:r>
        <w:rPr>
          <w:lang w:val="fr-FR"/>
        </w:rPr>
        <w:tab/>
      </w:r>
      <w:r w:rsidRPr="00F07818">
        <w:rPr>
          <w:lang w:val="fr-FR"/>
        </w:rPr>
        <w:t>B.</w:t>
      </w:r>
      <w:r w:rsidRPr="00F07818">
        <w:rPr>
          <w:lang w:val="fr-FR"/>
        </w:rPr>
        <w:tab/>
        <w:t>Questions relatives à l</w:t>
      </w:r>
      <w:r w:rsidR="00533FC3">
        <w:rPr>
          <w:lang w:val="fr-FR"/>
        </w:rPr>
        <w:t>’</w:t>
      </w:r>
      <w:r w:rsidRPr="00F07818">
        <w:rPr>
          <w:lang w:val="fr-FR"/>
        </w:rPr>
        <w:t>application de la Convention</w:t>
      </w:r>
    </w:p>
    <w:p w14:paraId="29AA01ED" w14:textId="5FD51E04" w:rsidR="00DF5FAF" w:rsidRPr="00F07818" w:rsidRDefault="00DF5FAF" w:rsidP="00A244B5">
      <w:pPr>
        <w:pStyle w:val="SingleTxtG"/>
      </w:pPr>
      <w:r w:rsidRPr="00F07818">
        <w:rPr>
          <w:lang w:val="fr-FR"/>
        </w:rPr>
        <w:t>20.</w:t>
      </w:r>
      <w:r w:rsidRPr="00F07818">
        <w:rPr>
          <w:lang w:val="fr-FR"/>
        </w:rPr>
        <w:tab/>
        <w:t>À sa 161</w:t>
      </w:r>
      <w:r w:rsidRPr="00C67579">
        <w:rPr>
          <w:vertAlign w:val="superscript"/>
          <w:lang w:val="fr-FR"/>
        </w:rPr>
        <w:t>e</w:t>
      </w:r>
      <w:r>
        <w:rPr>
          <w:lang w:val="fr-FR"/>
        </w:rPr>
        <w:t> </w:t>
      </w:r>
      <w:r w:rsidRPr="00F07818">
        <w:rPr>
          <w:lang w:val="fr-FR"/>
        </w:rPr>
        <w:t xml:space="preserve">session (octobre 2022), le </w:t>
      </w:r>
      <w:r>
        <w:rPr>
          <w:lang w:val="fr-FR"/>
        </w:rPr>
        <w:t>WP.30</w:t>
      </w:r>
      <w:r w:rsidRPr="00F07818">
        <w:rPr>
          <w:lang w:val="fr-FR"/>
        </w:rPr>
        <w:t xml:space="preserve"> a examiné le document ECE/TRANS/WP.30/2009/8, dans lequel figure une enquête sur l</w:t>
      </w:r>
      <w:r w:rsidR="00533FC3">
        <w:rPr>
          <w:lang w:val="fr-FR"/>
        </w:rPr>
        <w:t>’</w:t>
      </w:r>
      <w:r>
        <w:rPr>
          <w:lang w:val="fr-FR"/>
        </w:rPr>
        <w:t>application</w:t>
      </w:r>
      <w:r w:rsidRPr="00F07818">
        <w:rPr>
          <w:lang w:val="fr-FR"/>
        </w:rPr>
        <w:t xml:space="preserve"> de l</w:t>
      </w:r>
      <w:r w:rsidR="00533FC3">
        <w:rPr>
          <w:lang w:val="fr-FR"/>
        </w:rPr>
        <w:t>’</w:t>
      </w:r>
      <w:r w:rsidRPr="00F07818">
        <w:rPr>
          <w:lang w:val="fr-FR"/>
        </w:rPr>
        <w:t>annexe</w:t>
      </w:r>
      <w:r>
        <w:rPr>
          <w:lang w:val="fr-FR"/>
        </w:rPr>
        <w:t> </w:t>
      </w:r>
      <w:r w:rsidRPr="00F07818">
        <w:rPr>
          <w:lang w:val="fr-FR"/>
        </w:rPr>
        <w:t xml:space="preserve">8 </w:t>
      </w:r>
      <w:r>
        <w:rPr>
          <w:lang w:val="fr-FR"/>
        </w:rPr>
        <w:lastRenderedPageBreak/>
        <w:t>de</w:t>
      </w:r>
      <w:r w:rsidRPr="00F07818">
        <w:rPr>
          <w:lang w:val="fr-FR"/>
        </w:rPr>
        <w:t xml:space="preserve"> la Convention sur l</w:t>
      </w:r>
      <w:r w:rsidR="00533FC3">
        <w:rPr>
          <w:lang w:val="fr-FR"/>
        </w:rPr>
        <w:t>’</w:t>
      </w:r>
      <w:r w:rsidRPr="00F07818">
        <w:rPr>
          <w:lang w:val="fr-FR"/>
        </w:rPr>
        <w:t xml:space="preserve">harmonisation. </w:t>
      </w:r>
      <w:r>
        <w:rPr>
          <w:lang w:val="fr-FR"/>
        </w:rPr>
        <w:t>Il</w:t>
      </w:r>
      <w:r w:rsidRPr="00F07818">
        <w:rPr>
          <w:lang w:val="fr-FR"/>
        </w:rPr>
        <w:t xml:space="preserve"> a chargé le secrétariat de diffuser l</w:t>
      </w:r>
      <w:r w:rsidR="00533FC3">
        <w:rPr>
          <w:lang w:val="fr-FR"/>
        </w:rPr>
        <w:t>’</w:t>
      </w:r>
      <w:r w:rsidRPr="00F07818">
        <w:rPr>
          <w:lang w:val="fr-FR"/>
        </w:rPr>
        <w:t>enquête au printemps</w:t>
      </w:r>
      <w:r>
        <w:rPr>
          <w:lang w:val="fr-FR"/>
        </w:rPr>
        <w:t> </w:t>
      </w:r>
      <w:r w:rsidRPr="00F07818">
        <w:rPr>
          <w:lang w:val="fr-FR"/>
        </w:rPr>
        <w:t>2023 aux représentant</w:t>
      </w:r>
      <w:r>
        <w:rPr>
          <w:lang w:val="fr-FR"/>
        </w:rPr>
        <w:t>e</w:t>
      </w:r>
      <w:r w:rsidRPr="00F07818">
        <w:rPr>
          <w:lang w:val="fr-FR"/>
        </w:rPr>
        <w:t xml:space="preserve">s </w:t>
      </w:r>
      <w:r>
        <w:rPr>
          <w:lang w:val="fr-FR"/>
        </w:rPr>
        <w:t xml:space="preserve">et représentants </w:t>
      </w:r>
      <w:r w:rsidRPr="00F07818">
        <w:rPr>
          <w:lang w:val="fr-FR"/>
        </w:rPr>
        <w:t>habituels des gouvernements (et, à défaut, aux points de contact TIR). La date de réponse a</w:t>
      </w:r>
      <w:r>
        <w:rPr>
          <w:lang w:val="fr-FR"/>
        </w:rPr>
        <w:t>vait</w:t>
      </w:r>
      <w:r w:rsidRPr="00F07818">
        <w:rPr>
          <w:lang w:val="fr-FR"/>
        </w:rPr>
        <w:t xml:space="preserve"> été fixée </w:t>
      </w:r>
      <w:r>
        <w:rPr>
          <w:lang w:val="fr-FR"/>
        </w:rPr>
        <w:t>au</w:t>
      </w:r>
      <w:r w:rsidRPr="00F07818">
        <w:rPr>
          <w:lang w:val="fr-FR"/>
        </w:rPr>
        <w:t xml:space="preserve"> 1</w:t>
      </w:r>
      <w:r w:rsidRPr="0009595F">
        <w:rPr>
          <w:vertAlign w:val="superscript"/>
          <w:lang w:val="fr-FR"/>
        </w:rPr>
        <w:t>er</w:t>
      </w:r>
      <w:r>
        <w:rPr>
          <w:lang w:val="fr-FR"/>
        </w:rPr>
        <w:t> </w:t>
      </w:r>
      <w:r w:rsidRPr="00F07818">
        <w:rPr>
          <w:lang w:val="fr-FR"/>
        </w:rPr>
        <w:t>juillet 2023</w:t>
      </w:r>
      <w:r>
        <w:rPr>
          <w:lang w:val="fr-FR"/>
        </w:rPr>
        <w:t>, mais le délai</w:t>
      </w:r>
      <w:r w:rsidRPr="00F07818">
        <w:rPr>
          <w:lang w:val="fr-FR"/>
        </w:rPr>
        <w:t xml:space="preserve"> a été prolongé en raison du nombre insuffisant de réponses reçues</w:t>
      </w:r>
      <w:r>
        <w:rPr>
          <w:lang w:val="fr-FR"/>
        </w:rPr>
        <w:t>. L</w:t>
      </w:r>
      <w:r w:rsidRPr="00F07818">
        <w:rPr>
          <w:lang w:val="fr-FR"/>
        </w:rPr>
        <w:t>e WP.30 a prié</w:t>
      </w:r>
      <w:r>
        <w:rPr>
          <w:lang w:val="fr-FR"/>
        </w:rPr>
        <w:t xml:space="preserve"> instamment</w:t>
      </w:r>
      <w:r w:rsidRPr="00F07818">
        <w:rPr>
          <w:lang w:val="fr-FR"/>
        </w:rPr>
        <w:t xml:space="preserve"> les délégations de </w:t>
      </w:r>
      <w:r>
        <w:rPr>
          <w:lang w:val="fr-FR"/>
        </w:rPr>
        <w:t>répondre à l</w:t>
      </w:r>
      <w:r w:rsidR="00533FC3">
        <w:rPr>
          <w:lang w:val="fr-FR"/>
        </w:rPr>
        <w:t>’</w:t>
      </w:r>
      <w:r>
        <w:rPr>
          <w:lang w:val="fr-FR"/>
        </w:rPr>
        <w:t>enquête</w:t>
      </w:r>
      <w:r w:rsidRPr="00F07818">
        <w:rPr>
          <w:lang w:val="fr-FR"/>
        </w:rPr>
        <w:t>.</w:t>
      </w:r>
    </w:p>
    <w:p w14:paraId="7A18A820" w14:textId="090BF50A" w:rsidR="00DF5FAF" w:rsidRPr="00F07818" w:rsidRDefault="00DF5FAF" w:rsidP="00A244B5">
      <w:pPr>
        <w:pStyle w:val="H1G"/>
      </w:pPr>
      <w:r>
        <w:rPr>
          <w:lang w:val="fr-FR"/>
        </w:rPr>
        <w:tab/>
      </w:r>
      <w:r w:rsidRPr="00F07818">
        <w:rPr>
          <w:lang w:val="fr-FR"/>
        </w:rPr>
        <w:t>C.</w:t>
      </w:r>
      <w:r w:rsidRPr="00F07818">
        <w:rPr>
          <w:lang w:val="fr-FR"/>
        </w:rPr>
        <w:tab/>
        <w:t>Élaboration d</w:t>
      </w:r>
      <w:r w:rsidR="00533FC3">
        <w:rPr>
          <w:lang w:val="fr-FR"/>
        </w:rPr>
        <w:t>’</w:t>
      </w:r>
      <w:r w:rsidRPr="00F07818">
        <w:rPr>
          <w:lang w:val="fr-FR"/>
        </w:rPr>
        <w:t xml:space="preserve">un </w:t>
      </w:r>
      <w:r>
        <w:rPr>
          <w:lang w:val="fr-FR"/>
        </w:rPr>
        <w:t>g</w:t>
      </w:r>
      <w:r w:rsidRPr="00F07818">
        <w:rPr>
          <w:lang w:val="fr-FR"/>
        </w:rPr>
        <w:t xml:space="preserve">uide pratique </w:t>
      </w:r>
      <w:r>
        <w:rPr>
          <w:lang w:val="fr-FR"/>
        </w:rPr>
        <w:t>sur</w:t>
      </w:r>
      <w:r w:rsidRPr="00F07818">
        <w:rPr>
          <w:lang w:val="fr-FR"/>
        </w:rPr>
        <w:t xml:space="preserve"> la facilitation du </w:t>
      </w:r>
      <w:r>
        <w:rPr>
          <w:lang w:val="fr-FR"/>
        </w:rPr>
        <w:t>franchissement</w:t>
      </w:r>
      <w:r w:rsidRPr="00F07818">
        <w:rPr>
          <w:lang w:val="fr-FR"/>
        </w:rPr>
        <w:t xml:space="preserve"> des frontières (en collaboration avec l</w:t>
      </w:r>
      <w:r w:rsidR="00533FC3">
        <w:rPr>
          <w:lang w:val="fr-FR"/>
        </w:rPr>
        <w:t>’</w:t>
      </w:r>
      <w:r w:rsidRPr="00F07818">
        <w:rPr>
          <w:lang w:val="fr-FR"/>
        </w:rPr>
        <w:t>Organisation pour la sécurité et</w:t>
      </w:r>
      <w:r w:rsidR="002612F7">
        <w:rPr>
          <w:lang w:val="fr-FR"/>
        </w:rPr>
        <w:t> </w:t>
      </w:r>
      <w:r w:rsidRPr="00F07818">
        <w:rPr>
          <w:lang w:val="fr-FR"/>
        </w:rPr>
        <w:t>la coopération en Europe)</w:t>
      </w:r>
    </w:p>
    <w:p w14:paraId="1EF6DB53" w14:textId="03F9B425" w:rsidR="00DF5FAF" w:rsidRPr="00F07818" w:rsidRDefault="00DF5FAF" w:rsidP="00A244B5">
      <w:pPr>
        <w:pStyle w:val="SingleTxtG"/>
      </w:pPr>
      <w:r w:rsidRPr="00F07818">
        <w:rPr>
          <w:lang w:val="fr-FR"/>
        </w:rPr>
        <w:t>21.</w:t>
      </w:r>
      <w:r w:rsidRPr="00F07818">
        <w:rPr>
          <w:lang w:val="fr-FR"/>
        </w:rPr>
        <w:tab/>
      </w:r>
      <w:r>
        <w:rPr>
          <w:lang w:val="fr-FR"/>
        </w:rPr>
        <w:t>À</w:t>
      </w:r>
      <w:r w:rsidRPr="00F07818">
        <w:rPr>
          <w:lang w:val="fr-FR"/>
        </w:rPr>
        <w:t xml:space="preserve"> sa 164</w:t>
      </w:r>
      <w:r w:rsidRPr="00D02912">
        <w:rPr>
          <w:vertAlign w:val="superscript"/>
          <w:lang w:val="fr-FR"/>
        </w:rPr>
        <w:t>e</w:t>
      </w:r>
      <w:r>
        <w:rPr>
          <w:lang w:val="fr-FR"/>
        </w:rPr>
        <w:t> </w:t>
      </w:r>
      <w:r w:rsidRPr="00F07818">
        <w:rPr>
          <w:lang w:val="fr-FR"/>
        </w:rPr>
        <w:t xml:space="preserve">session (octobre 2023), </w:t>
      </w:r>
      <w:r>
        <w:rPr>
          <w:lang w:val="fr-FR"/>
        </w:rPr>
        <w:t>l</w:t>
      </w:r>
      <w:r w:rsidRPr="00F07818">
        <w:rPr>
          <w:lang w:val="fr-FR"/>
        </w:rPr>
        <w:t>e WP.30 a examiné les documents informels WP.30 (2023) 4, 5, 6, 7 et 8</w:t>
      </w:r>
      <w:r>
        <w:rPr>
          <w:lang w:val="fr-FR"/>
        </w:rPr>
        <w:t>,</w:t>
      </w:r>
      <w:r w:rsidRPr="00F07818">
        <w:rPr>
          <w:lang w:val="fr-FR"/>
        </w:rPr>
        <w:t xml:space="preserve"> contenant les quatre premiers chapitres </w:t>
      </w:r>
      <w:r>
        <w:rPr>
          <w:lang w:val="fr-FR"/>
        </w:rPr>
        <w:t>ainsi qu</w:t>
      </w:r>
      <w:r w:rsidR="00533FC3">
        <w:rPr>
          <w:lang w:val="fr-FR"/>
        </w:rPr>
        <w:t>’</w:t>
      </w:r>
      <w:r w:rsidRPr="00F07818">
        <w:rPr>
          <w:lang w:val="fr-FR"/>
        </w:rPr>
        <w:t>une annexe de la publication élaborée par le secrétariat de la CEE, en collaboration avec l</w:t>
      </w:r>
      <w:r w:rsidR="00533FC3">
        <w:rPr>
          <w:lang w:val="fr-FR"/>
        </w:rPr>
        <w:t>’</w:t>
      </w:r>
      <w:r w:rsidRPr="00F07818">
        <w:rPr>
          <w:lang w:val="fr-FR"/>
        </w:rPr>
        <w:t>Organisation pour la sécurité et la coopération en Europe (OSCE), intitulée «</w:t>
      </w:r>
      <w:r w:rsidR="002612F7">
        <w:rPr>
          <w:lang w:val="fr-FR"/>
        </w:rPr>
        <w:t> </w:t>
      </w:r>
      <w:r w:rsidRPr="00F07818">
        <w:rPr>
          <w:lang w:val="fr-FR"/>
        </w:rPr>
        <w:t>A practical guide to cross-border facilitation</w:t>
      </w:r>
      <w:r w:rsidR="002612F7">
        <w:rPr>
          <w:lang w:val="fr-FR"/>
        </w:rPr>
        <w:t> </w:t>
      </w:r>
      <w:r w:rsidRPr="00F07818">
        <w:rPr>
          <w:lang w:val="fr-FR"/>
        </w:rPr>
        <w:t>» (</w:t>
      </w:r>
      <w:r>
        <w:rPr>
          <w:lang w:val="fr-FR"/>
        </w:rPr>
        <w:t>g</w:t>
      </w:r>
      <w:r w:rsidRPr="00F07818">
        <w:rPr>
          <w:lang w:val="fr-FR"/>
        </w:rPr>
        <w:t xml:space="preserve">uide pratique </w:t>
      </w:r>
      <w:r>
        <w:rPr>
          <w:lang w:val="fr-FR"/>
        </w:rPr>
        <w:t>sur</w:t>
      </w:r>
      <w:r w:rsidRPr="00F07818">
        <w:rPr>
          <w:lang w:val="fr-FR"/>
        </w:rPr>
        <w:t xml:space="preserve"> la facilitation du </w:t>
      </w:r>
      <w:r>
        <w:rPr>
          <w:lang w:val="fr-FR"/>
        </w:rPr>
        <w:t>franchissement</w:t>
      </w:r>
      <w:r w:rsidRPr="00F07818">
        <w:rPr>
          <w:lang w:val="fr-FR"/>
        </w:rPr>
        <w:t xml:space="preserve"> des frontières). Le</w:t>
      </w:r>
      <w:r w:rsidR="002612F7">
        <w:rPr>
          <w:lang w:val="fr-FR"/>
        </w:rPr>
        <w:t> </w:t>
      </w:r>
      <w:r w:rsidRPr="00F07818">
        <w:rPr>
          <w:lang w:val="fr-FR"/>
        </w:rPr>
        <w:t>secrétariat a invité les représentant</w:t>
      </w:r>
      <w:r>
        <w:rPr>
          <w:lang w:val="fr-FR"/>
        </w:rPr>
        <w:t>e</w:t>
      </w:r>
      <w:r w:rsidRPr="00F07818">
        <w:rPr>
          <w:lang w:val="fr-FR"/>
        </w:rPr>
        <w:t xml:space="preserve">s </w:t>
      </w:r>
      <w:r>
        <w:rPr>
          <w:lang w:val="fr-FR"/>
        </w:rPr>
        <w:t xml:space="preserve">et représentants </w:t>
      </w:r>
      <w:r w:rsidRPr="00F07818">
        <w:rPr>
          <w:lang w:val="fr-FR"/>
        </w:rPr>
        <w:t xml:space="preserve">intéressés à </w:t>
      </w:r>
      <w:r>
        <w:rPr>
          <w:lang w:val="fr-FR"/>
        </w:rPr>
        <w:t xml:space="preserve">lui </w:t>
      </w:r>
      <w:r w:rsidRPr="00F07818">
        <w:rPr>
          <w:lang w:val="fr-FR"/>
        </w:rPr>
        <w:t>communiquer des bonnes pratiques et des études de cas pour la publication</w:t>
      </w:r>
      <w:r>
        <w:rPr>
          <w:lang w:val="fr-FR"/>
        </w:rPr>
        <w:t>,</w:t>
      </w:r>
      <w:r w:rsidRPr="00F07818">
        <w:rPr>
          <w:lang w:val="fr-FR"/>
        </w:rPr>
        <w:t xml:space="preserve"> qui paraîtra en anglais, en français et en russe vers la fin de 2023.</w:t>
      </w:r>
    </w:p>
    <w:p w14:paraId="7F48B0D4" w14:textId="6ADA2455" w:rsidR="00DF5FAF" w:rsidRPr="00F07818" w:rsidRDefault="00DF5FAF" w:rsidP="00A244B5">
      <w:pPr>
        <w:pStyle w:val="HChG"/>
      </w:pPr>
      <w:r>
        <w:rPr>
          <w:lang w:val="fr-FR"/>
        </w:rPr>
        <w:tab/>
      </w:r>
      <w:r w:rsidRPr="00F07818">
        <w:rPr>
          <w:lang w:val="fr-FR"/>
        </w:rPr>
        <w:t>IV.</w:t>
      </w:r>
      <w:r w:rsidRPr="00F07818">
        <w:rPr>
          <w:lang w:val="fr-FR"/>
        </w:rPr>
        <w:tab/>
        <w:t>Convention relative à la facilitation du franchissement des</w:t>
      </w:r>
      <w:r w:rsidR="002612F7">
        <w:rPr>
          <w:lang w:val="fr-FR"/>
        </w:rPr>
        <w:t> </w:t>
      </w:r>
      <w:r w:rsidRPr="00F07818">
        <w:rPr>
          <w:lang w:val="fr-FR"/>
        </w:rPr>
        <w:t xml:space="preserve">frontières pour les voyageurs, les bagages et les bagages non accompagnés dans le cadre du transport ferroviaire international, </w:t>
      </w:r>
      <w:r>
        <w:rPr>
          <w:lang w:val="fr-FR"/>
        </w:rPr>
        <w:t xml:space="preserve">en date </w:t>
      </w:r>
      <w:r w:rsidRPr="00F07818">
        <w:rPr>
          <w:lang w:val="fr-FR"/>
        </w:rPr>
        <w:t>du 22</w:t>
      </w:r>
      <w:r>
        <w:rPr>
          <w:lang w:val="fr-FR"/>
        </w:rPr>
        <w:t> </w:t>
      </w:r>
      <w:r w:rsidRPr="00F07818">
        <w:rPr>
          <w:lang w:val="fr-FR"/>
        </w:rPr>
        <w:t>février 2019</w:t>
      </w:r>
    </w:p>
    <w:p w14:paraId="22B49F44" w14:textId="5AB589AE" w:rsidR="00DF5FAF" w:rsidRPr="00F07818" w:rsidRDefault="00DF5FAF" w:rsidP="00A244B5">
      <w:pPr>
        <w:pStyle w:val="SingleTxtG"/>
      </w:pPr>
      <w:r w:rsidRPr="00F07818">
        <w:rPr>
          <w:lang w:val="fr-FR"/>
        </w:rPr>
        <w:t>22.</w:t>
      </w:r>
      <w:r w:rsidRPr="00F07818">
        <w:rPr>
          <w:lang w:val="fr-FR"/>
        </w:rPr>
        <w:tab/>
        <w:t>Depuis le 26</w:t>
      </w:r>
      <w:r>
        <w:rPr>
          <w:lang w:val="fr-FR"/>
        </w:rPr>
        <w:t> </w:t>
      </w:r>
      <w:r w:rsidRPr="00F07818">
        <w:rPr>
          <w:lang w:val="fr-FR"/>
        </w:rPr>
        <w:t>septembre 2019, seul le Tchad est devenu signataire de la Convention, qui n</w:t>
      </w:r>
      <w:r w:rsidR="00533FC3">
        <w:rPr>
          <w:lang w:val="fr-FR"/>
        </w:rPr>
        <w:t>’</w:t>
      </w:r>
      <w:r w:rsidRPr="00F07818">
        <w:rPr>
          <w:lang w:val="fr-FR"/>
        </w:rPr>
        <w:t>est donc pas encore entrée en vigueur. Aucun fait nouveau n</w:t>
      </w:r>
      <w:r w:rsidR="00533FC3">
        <w:rPr>
          <w:lang w:val="fr-FR"/>
        </w:rPr>
        <w:t>’</w:t>
      </w:r>
      <w:r w:rsidRPr="00F07818">
        <w:rPr>
          <w:lang w:val="fr-FR"/>
        </w:rPr>
        <w:t xml:space="preserve">a été observé </w:t>
      </w:r>
      <w:r>
        <w:rPr>
          <w:lang w:val="fr-FR"/>
        </w:rPr>
        <w:t>s</w:t>
      </w:r>
      <w:r w:rsidR="00533FC3">
        <w:rPr>
          <w:lang w:val="fr-FR"/>
        </w:rPr>
        <w:t>’</w:t>
      </w:r>
      <w:r>
        <w:rPr>
          <w:lang w:val="fr-FR"/>
        </w:rPr>
        <w:t>agissant de</w:t>
      </w:r>
      <w:r w:rsidRPr="00F07818">
        <w:rPr>
          <w:lang w:val="fr-FR"/>
        </w:rPr>
        <w:t xml:space="preserve"> l</w:t>
      </w:r>
      <w:r w:rsidR="00533FC3">
        <w:rPr>
          <w:lang w:val="fr-FR"/>
        </w:rPr>
        <w:t>’</w:t>
      </w:r>
      <w:r w:rsidRPr="00F07818">
        <w:rPr>
          <w:lang w:val="fr-FR"/>
        </w:rPr>
        <w:t>état de la Convention.</w:t>
      </w:r>
    </w:p>
    <w:p w14:paraId="064EBD10" w14:textId="7070A7C0" w:rsidR="00DF5FAF" w:rsidRPr="00F07818" w:rsidRDefault="00DF5FAF" w:rsidP="00A244B5">
      <w:pPr>
        <w:pStyle w:val="HChG"/>
      </w:pPr>
      <w:r>
        <w:rPr>
          <w:lang w:val="fr-FR"/>
        </w:rPr>
        <w:tab/>
      </w:r>
      <w:r w:rsidRPr="00F07818">
        <w:rPr>
          <w:lang w:val="fr-FR"/>
        </w:rPr>
        <w:t>V.</w:t>
      </w:r>
      <w:r w:rsidRPr="00F07818">
        <w:rPr>
          <w:lang w:val="fr-FR"/>
        </w:rPr>
        <w:tab/>
        <w:t>Conventions douanières relatives à l</w:t>
      </w:r>
      <w:r w:rsidR="00533FC3">
        <w:rPr>
          <w:lang w:val="fr-FR"/>
        </w:rPr>
        <w:t>’</w:t>
      </w:r>
      <w:r w:rsidRPr="00F07818">
        <w:rPr>
          <w:lang w:val="fr-FR"/>
        </w:rPr>
        <w:t xml:space="preserve">importation temporaire des véhicules routiers privés </w:t>
      </w:r>
      <w:r>
        <w:rPr>
          <w:lang w:val="fr-FR"/>
        </w:rPr>
        <w:t xml:space="preserve">(1954) </w:t>
      </w:r>
      <w:r w:rsidRPr="00F07818">
        <w:rPr>
          <w:lang w:val="fr-FR"/>
        </w:rPr>
        <w:t xml:space="preserve">et </w:t>
      </w:r>
      <w:r>
        <w:rPr>
          <w:lang w:val="fr-FR"/>
        </w:rPr>
        <w:t>à l</w:t>
      </w:r>
      <w:r w:rsidR="00533FC3">
        <w:rPr>
          <w:lang w:val="fr-FR"/>
        </w:rPr>
        <w:t>’</w:t>
      </w:r>
      <w:r>
        <w:rPr>
          <w:lang w:val="fr-FR"/>
        </w:rPr>
        <w:t xml:space="preserve">importation temporaire des véhicules routiers </w:t>
      </w:r>
      <w:r w:rsidRPr="00F07818">
        <w:rPr>
          <w:lang w:val="fr-FR"/>
        </w:rPr>
        <w:t>commerciaux</w:t>
      </w:r>
      <w:r>
        <w:rPr>
          <w:lang w:val="fr-FR"/>
        </w:rPr>
        <w:t xml:space="preserve"> (1956)</w:t>
      </w:r>
    </w:p>
    <w:p w14:paraId="15B7BB9F" w14:textId="77777777" w:rsidR="00DF5FAF" w:rsidRPr="00F07818" w:rsidRDefault="00DF5FAF" w:rsidP="00A244B5">
      <w:pPr>
        <w:pStyle w:val="H1G"/>
      </w:pPr>
      <w:r>
        <w:rPr>
          <w:lang w:val="fr-FR"/>
        </w:rPr>
        <w:tab/>
      </w:r>
      <w:r w:rsidRPr="00F07818">
        <w:rPr>
          <w:lang w:val="fr-FR"/>
        </w:rPr>
        <w:t>A.</w:t>
      </w:r>
      <w:r w:rsidRPr="00F07818">
        <w:rPr>
          <w:lang w:val="fr-FR"/>
        </w:rPr>
        <w:tab/>
        <w:t>État des Conventions</w:t>
      </w:r>
    </w:p>
    <w:p w14:paraId="44A58E11" w14:textId="329184F0" w:rsidR="00DF5FAF" w:rsidRPr="00F07818" w:rsidRDefault="00DF5FAF" w:rsidP="00A244B5">
      <w:pPr>
        <w:pStyle w:val="SingleTxtG"/>
      </w:pPr>
      <w:r w:rsidRPr="00F07818">
        <w:rPr>
          <w:lang w:val="fr-FR"/>
        </w:rPr>
        <w:t>23.</w:t>
      </w:r>
      <w:r w:rsidRPr="00F07818">
        <w:rPr>
          <w:lang w:val="fr-FR"/>
        </w:rPr>
        <w:tab/>
        <w:t xml:space="preserve">Le </w:t>
      </w:r>
      <w:r>
        <w:rPr>
          <w:lang w:val="fr-FR"/>
        </w:rPr>
        <w:t>CTI</w:t>
      </w:r>
      <w:r w:rsidRPr="00F07818">
        <w:rPr>
          <w:lang w:val="fr-FR"/>
        </w:rPr>
        <w:t xml:space="preserve"> souhaitera peut-être noter qu</w:t>
      </w:r>
      <w:r w:rsidR="00533FC3">
        <w:rPr>
          <w:lang w:val="fr-FR"/>
        </w:rPr>
        <w:t>’</w:t>
      </w:r>
      <w:r w:rsidRPr="00F07818">
        <w:rPr>
          <w:lang w:val="fr-FR"/>
        </w:rPr>
        <w:t>en 2023, l</w:t>
      </w:r>
      <w:r w:rsidR="00533FC3">
        <w:rPr>
          <w:lang w:val="fr-FR"/>
        </w:rPr>
        <w:t>’</w:t>
      </w:r>
      <w:r w:rsidRPr="00F07818">
        <w:rPr>
          <w:lang w:val="fr-FR"/>
        </w:rPr>
        <w:t>état des Conventions douanières relatives à l</w:t>
      </w:r>
      <w:r w:rsidR="00533FC3">
        <w:rPr>
          <w:lang w:val="fr-FR"/>
        </w:rPr>
        <w:t>’</w:t>
      </w:r>
      <w:r w:rsidRPr="00F07818">
        <w:rPr>
          <w:lang w:val="fr-FR"/>
        </w:rPr>
        <w:t xml:space="preserve">importation temporaire des véhicules routiers privés </w:t>
      </w:r>
      <w:r>
        <w:rPr>
          <w:lang w:val="fr-FR"/>
        </w:rPr>
        <w:t xml:space="preserve">(1954) </w:t>
      </w:r>
      <w:r w:rsidRPr="00F07818">
        <w:rPr>
          <w:lang w:val="fr-FR"/>
        </w:rPr>
        <w:t xml:space="preserve">et </w:t>
      </w:r>
      <w:r>
        <w:rPr>
          <w:lang w:val="fr-FR"/>
        </w:rPr>
        <w:t>à l</w:t>
      </w:r>
      <w:r w:rsidR="00533FC3">
        <w:rPr>
          <w:lang w:val="fr-FR"/>
        </w:rPr>
        <w:t>’</w:t>
      </w:r>
      <w:r>
        <w:rPr>
          <w:lang w:val="fr-FR"/>
        </w:rPr>
        <w:t xml:space="preserve">importation temporaire des véhicules routiers </w:t>
      </w:r>
      <w:r w:rsidRPr="00F07818">
        <w:rPr>
          <w:lang w:val="fr-FR"/>
        </w:rPr>
        <w:t xml:space="preserve">commerciaux </w:t>
      </w:r>
      <w:r>
        <w:rPr>
          <w:lang w:val="fr-FR"/>
        </w:rPr>
        <w:t xml:space="preserve">(1956) </w:t>
      </w:r>
      <w:r w:rsidRPr="00F07818">
        <w:rPr>
          <w:lang w:val="fr-FR"/>
        </w:rPr>
        <w:t>n</w:t>
      </w:r>
      <w:r w:rsidR="00533FC3">
        <w:rPr>
          <w:lang w:val="fr-FR"/>
        </w:rPr>
        <w:t>’</w:t>
      </w:r>
      <w:r w:rsidRPr="00F07818">
        <w:rPr>
          <w:lang w:val="fr-FR"/>
        </w:rPr>
        <w:t xml:space="preserve">a pas changé, et que </w:t>
      </w:r>
      <w:r>
        <w:rPr>
          <w:lang w:val="fr-FR"/>
        </w:rPr>
        <w:t>c</w:t>
      </w:r>
      <w:r w:rsidRPr="00F07818">
        <w:rPr>
          <w:lang w:val="fr-FR"/>
        </w:rPr>
        <w:t>es Conventions comptent actuellement 80 et 26</w:t>
      </w:r>
      <w:r>
        <w:rPr>
          <w:lang w:val="fr-FR"/>
        </w:rPr>
        <w:t> </w:t>
      </w:r>
      <w:r w:rsidRPr="00F07818">
        <w:rPr>
          <w:lang w:val="fr-FR"/>
        </w:rPr>
        <w:t>Parties contractantes, respectivement.</w:t>
      </w:r>
    </w:p>
    <w:p w14:paraId="1E47EAB5" w14:textId="56F22CD4" w:rsidR="00DF5FAF" w:rsidRPr="00F07818" w:rsidRDefault="00DF5FAF" w:rsidP="00A244B5">
      <w:pPr>
        <w:pStyle w:val="H1G"/>
      </w:pPr>
      <w:r>
        <w:rPr>
          <w:lang w:val="fr-FR"/>
        </w:rPr>
        <w:tab/>
      </w:r>
      <w:r w:rsidRPr="00F07818">
        <w:rPr>
          <w:lang w:val="fr-FR"/>
        </w:rPr>
        <w:t>B.</w:t>
      </w:r>
      <w:r w:rsidRPr="00F07818">
        <w:rPr>
          <w:lang w:val="fr-FR"/>
        </w:rPr>
        <w:tab/>
        <w:t xml:space="preserve">Questions relatives à </w:t>
      </w:r>
      <w:r>
        <w:rPr>
          <w:lang w:val="fr-FR"/>
        </w:rPr>
        <w:t>l</w:t>
      </w:r>
      <w:r w:rsidR="00533FC3">
        <w:rPr>
          <w:lang w:val="fr-FR"/>
        </w:rPr>
        <w:t>’</w:t>
      </w:r>
      <w:r>
        <w:rPr>
          <w:lang w:val="fr-FR"/>
        </w:rPr>
        <w:t>application</w:t>
      </w:r>
      <w:r w:rsidRPr="00F07818">
        <w:rPr>
          <w:lang w:val="fr-FR"/>
        </w:rPr>
        <w:t xml:space="preserve"> des Conventions</w:t>
      </w:r>
    </w:p>
    <w:p w14:paraId="4803F500" w14:textId="0CA1612A" w:rsidR="00DF5FAF" w:rsidRPr="00F07818" w:rsidRDefault="00DF5FAF" w:rsidP="00A244B5">
      <w:pPr>
        <w:pStyle w:val="SingleTxtG"/>
      </w:pPr>
      <w:r w:rsidRPr="00F07818">
        <w:rPr>
          <w:lang w:val="fr-FR"/>
        </w:rPr>
        <w:t>24.</w:t>
      </w:r>
      <w:r w:rsidRPr="00F07818">
        <w:rPr>
          <w:lang w:val="fr-FR"/>
        </w:rPr>
        <w:tab/>
        <w:t>À sa 164</w:t>
      </w:r>
      <w:r w:rsidRPr="003B52E7">
        <w:rPr>
          <w:vertAlign w:val="superscript"/>
          <w:lang w:val="fr-FR"/>
        </w:rPr>
        <w:t>e</w:t>
      </w:r>
      <w:r>
        <w:rPr>
          <w:lang w:val="fr-FR"/>
        </w:rPr>
        <w:t> </w:t>
      </w:r>
      <w:r w:rsidRPr="00F07818">
        <w:rPr>
          <w:lang w:val="fr-FR"/>
        </w:rPr>
        <w:t xml:space="preserve">session (octobre 2023), le WP.30 a été informé des faits nouveaux concernant </w:t>
      </w:r>
      <w:r>
        <w:rPr>
          <w:lang w:val="fr-FR"/>
        </w:rPr>
        <w:t>l</w:t>
      </w:r>
      <w:r w:rsidR="00533FC3">
        <w:rPr>
          <w:lang w:val="fr-FR"/>
        </w:rPr>
        <w:t>’</w:t>
      </w:r>
      <w:r>
        <w:rPr>
          <w:lang w:val="fr-FR"/>
        </w:rPr>
        <w:t>application</w:t>
      </w:r>
      <w:r w:rsidRPr="00F07818">
        <w:rPr>
          <w:lang w:val="fr-FR"/>
        </w:rPr>
        <w:t xml:space="preserve"> d</w:t>
      </w:r>
      <w:r w:rsidR="00533FC3">
        <w:rPr>
          <w:lang w:val="fr-FR"/>
        </w:rPr>
        <w:t>’</w:t>
      </w:r>
      <w:r w:rsidRPr="00F07818">
        <w:rPr>
          <w:lang w:val="fr-FR"/>
        </w:rPr>
        <w:t>un mémorandum d</w:t>
      </w:r>
      <w:r w:rsidR="00533FC3">
        <w:rPr>
          <w:lang w:val="fr-FR"/>
        </w:rPr>
        <w:t>’</w:t>
      </w:r>
      <w:r w:rsidRPr="00F07818">
        <w:rPr>
          <w:lang w:val="fr-FR"/>
        </w:rPr>
        <w:t>accord entre la CEE et l</w:t>
      </w:r>
      <w:r w:rsidR="00533FC3">
        <w:rPr>
          <w:lang w:val="fr-FR"/>
        </w:rPr>
        <w:t>’</w:t>
      </w:r>
      <w:r w:rsidRPr="00F07818">
        <w:rPr>
          <w:lang w:val="fr-FR"/>
        </w:rPr>
        <w:t>Alliance internationale de tourisme/Fédération internationale de l</w:t>
      </w:r>
      <w:r w:rsidR="00533FC3">
        <w:rPr>
          <w:lang w:val="fr-FR"/>
        </w:rPr>
        <w:t>’</w:t>
      </w:r>
      <w:r w:rsidRPr="00F07818">
        <w:rPr>
          <w:lang w:val="fr-FR"/>
        </w:rPr>
        <w:t xml:space="preserve">automobile (AIT/FIA), portant sur la revitalisation et la </w:t>
      </w:r>
      <w:r>
        <w:rPr>
          <w:lang w:val="fr-FR"/>
        </w:rPr>
        <w:t>dématérialisation</w:t>
      </w:r>
      <w:r w:rsidRPr="00F07818">
        <w:rPr>
          <w:lang w:val="fr-FR"/>
        </w:rPr>
        <w:t xml:space="preserve"> des conventions pertinentes des Nations Unies relatives aux transports intérieurs et, en particulier, sur la mise au point d</w:t>
      </w:r>
      <w:r w:rsidR="00533FC3">
        <w:rPr>
          <w:lang w:val="fr-FR"/>
        </w:rPr>
        <w:t>’</w:t>
      </w:r>
      <w:r w:rsidRPr="00F07818">
        <w:rPr>
          <w:lang w:val="fr-FR"/>
        </w:rPr>
        <w:t>un système de carnet de passage</w:t>
      </w:r>
      <w:r>
        <w:rPr>
          <w:lang w:val="fr-FR"/>
        </w:rPr>
        <w:t>s</w:t>
      </w:r>
      <w:r w:rsidRPr="00F07818">
        <w:rPr>
          <w:lang w:val="fr-FR"/>
        </w:rPr>
        <w:t xml:space="preserve"> en douane électronique (eCPD). Les secrétariats des deux organisations avaient commencé à définir les principes fondamentaux du futur système et soumettr</w:t>
      </w:r>
      <w:r>
        <w:rPr>
          <w:lang w:val="fr-FR"/>
        </w:rPr>
        <w:t>aie</w:t>
      </w:r>
      <w:r w:rsidRPr="00F07818">
        <w:rPr>
          <w:lang w:val="fr-FR"/>
        </w:rPr>
        <w:t xml:space="preserve">nt au </w:t>
      </w:r>
      <w:r>
        <w:rPr>
          <w:lang w:val="fr-FR"/>
        </w:rPr>
        <w:t>WP.30</w:t>
      </w:r>
      <w:r w:rsidRPr="00F07818">
        <w:rPr>
          <w:lang w:val="fr-FR"/>
        </w:rPr>
        <w:t xml:space="preserve"> un document pour examen à une session future (document ECE/TRANS/WP.30/328, par.</w:t>
      </w:r>
      <w:r w:rsidR="004772DE">
        <w:rPr>
          <w:lang w:val="fr-FR"/>
        </w:rPr>
        <w:t> </w:t>
      </w:r>
      <w:r w:rsidRPr="00F07818">
        <w:rPr>
          <w:lang w:val="fr-FR"/>
        </w:rPr>
        <w:t>25).</w:t>
      </w:r>
    </w:p>
    <w:p w14:paraId="5ADAD345" w14:textId="7F676E6C" w:rsidR="00DF5FAF" w:rsidRPr="00F07818" w:rsidRDefault="00DF5FAF" w:rsidP="00A244B5">
      <w:pPr>
        <w:pStyle w:val="SingleTxtG"/>
      </w:pPr>
      <w:r w:rsidRPr="00F07818">
        <w:rPr>
          <w:lang w:val="fr-FR"/>
        </w:rPr>
        <w:t>25.</w:t>
      </w:r>
      <w:r w:rsidRPr="00F07818">
        <w:rPr>
          <w:lang w:val="fr-FR"/>
        </w:rPr>
        <w:tab/>
        <w:t>En outre, à sa 164</w:t>
      </w:r>
      <w:r w:rsidRPr="00D46A90">
        <w:rPr>
          <w:vertAlign w:val="superscript"/>
          <w:lang w:val="fr-FR"/>
        </w:rPr>
        <w:t>e</w:t>
      </w:r>
      <w:r>
        <w:rPr>
          <w:lang w:val="fr-FR"/>
        </w:rPr>
        <w:t> </w:t>
      </w:r>
      <w:r w:rsidRPr="00F07818">
        <w:rPr>
          <w:lang w:val="fr-FR"/>
        </w:rPr>
        <w:t>session (octobre 2023), le WP.30 a été informé qu</w:t>
      </w:r>
      <w:r w:rsidR="00533FC3">
        <w:rPr>
          <w:lang w:val="fr-FR"/>
        </w:rPr>
        <w:t>’</w:t>
      </w:r>
      <w:r w:rsidRPr="00F07818">
        <w:rPr>
          <w:lang w:val="fr-FR"/>
        </w:rPr>
        <w:t>à la demande des autorités douanières et sous réserve que des ressources extrabudgétaires soient disponibles, le secrétariat organisera</w:t>
      </w:r>
      <w:r>
        <w:rPr>
          <w:lang w:val="fr-FR"/>
        </w:rPr>
        <w:t>it</w:t>
      </w:r>
      <w:r w:rsidRPr="00F07818">
        <w:rPr>
          <w:lang w:val="fr-FR"/>
        </w:rPr>
        <w:t>, avec l</w:t>
      </w:r>
      <w:r w:rsidR="00533FC3">
        <w:rPr>
          <w:lang w:val="fr-FR"/>
        </w:rPr>
        <w:t>’</w:t>
      </w:r>
      <w:r w:rsidRPr="00F07818">
        <w:rPr>
          <w:lang w:val="fr-FR"/>
        </w:rPr>
        <w:t>aide du secrétariat de la FIA, une réunion informelle spéciale en ligne qui constituera</w:t>
      </w:r>
      <w:r>
        <w:rPr>
          <w:lang w:val="fr-FR"/>
        </w:rPr>
        <w:t>it</w:t>
      </w:r>
      <w:r w:rsidRPr="00F07818">
        <w:rPr>
          <w:lang w:val="fr-FR"/>
        </w:rPr>
        <w:t xml:space="preserve"> la première session du groupe de travail </w:t>
      </w:r>
      <w:r w:rsidRPr="00F07818">
        <w:rPr>
          <w:lang w:val="fr-FR"/>
        </w:rPr>
        <w:lastRenderedPageBreak/>
        <w:t xml:space="preserve">informel de la dématérialisation du </w:t>
      </w:r>
      <w:r>
        <w:rPr>
          <w:lang w:val="fr-FR"/>
        </w:rPr>
        <w:t>carnet de passages en douane</w:t>
      </w:r>
      <w:r w:rsidRPr="00F07818">
        <w:rPr>
          <w:lang w:val="fr-FR"/>
        </w:rPr>
        <w:t>. Le secrétariat a proposé que cette réunion ait lieu entre le 11 et le 22</w:t>
      </w:r>
      <w:r>
        <w:rPr>
          <w:lang w:val="fr-FR"/>
        </w:rPr>
        <w:t> </w:t>
      </w:r>
      <w:r w:rsidRPr="00F07818">
        <w:rPr>
          <w:lang w:val="fr-FR"/>
        </w:rPr>
        <w:t>décembre. Une fois les dates et les modalités de tenue de la réunion en ligne fixées, le secrétariat enverra</w:t>
      </w:r>
      <w:r>
        <w:rPr>
          <w:lang w:val="fr-FR"/>
        </w:rPr>
        <w:t>it</w:t>
      </w:r>
      <w:r w:rsidRPr="00F07818">
        <w:rPr>
          <w:lang w:val="fr-FR"/>
        </w:rPr>
        <w:t xml:space="preserve"> une invitation à l</w:t>
      </w:r>
      <w:r w:rsidR="00533FC3">
        <w:rPr>
          <w:lang w:val="fr-FR"/>
        </w:rPr>
        <w:t>’</w:t>
      </w:r>
      <w:r w:rsidRPr="00F07818">
        <w:rPr>
          <w:lang w:val="fr-FR"/>
        </w:rPr>
        <w:t xml:space="preserve">ensemble des Parties contractantes aux Conventions, notamment à des </w:t>
      </w:r>
      <w:r>
        <w:rPr>
          <w:lang w:val="fr-FR"/>
        </w:rPr>
        <w:t>experts</w:t>
      </w:r>
      <w:r w:rsidRPr="00F07818">
        <w:rPr>
          <w:lang w:val="fr-FR"/>
        </w:rPr>
        <w:t xml:space="preserve"> associés à d</w:t>
      </w:r>
      <w:r w:rsidR="00533FC3">
        <w:rPr>
          <w:lang w:val="fr-FR"/>
        </w:rPr>
        <w:t>’</w:t>
      </w:r>
      <w:r w:rsidRPr="00F07818">
        <w:rPr>
          <w:lang w:val="fr-FR"/>
        </w:rPr>
        <w:t>autres initiatives de dématérialisation, pour les inviter à participer activement aux travaux.</w:t>
      </w:r>
    </w:p>
    <w:p w14:paraId="17E7E8D8" w14:textId="77777777" w:rsidR="00DF5FAF" w:rsidRPr="00F07818" w:rsidRDefault="00DF5FAF" w:rsidP="00A244B5">
      <w:pPr>
        <w:pStyle w:val="HChG"/>
      </w:pPr>
      <w:r>
        <w:rPr>
          <w:lang w:val="fr-FR"/>
        </w:rPr>
        <w:tab/>
      </w:r>
      <w:r w:rsidRPr="00F07818">
        <w:rPr>
          <w:lang w:val="fr-FR"/>
        </w:rPr>
        <w:t>VI.</w:t>
      </w:r>
      <w:r w:rsidRPr="00F07818">
        <w:rPr>
          <w:lang w:val="fr-FR"/>
        </w:rPr>
        <w:tab/>
        <w:t xml:space="preserve">Demandes du </w:t>
      </w:r>
      <w:bookmarkStart w:id="0" w:name="_Hlk26977834"/>
      <w:r>
        <w:rPr>
          <w:lang w:val="fr-FR"/>
        </w:rPr>
        <w:t>CTI</w:t>
      </w:r>
    </w:p>
    <w:bookmarkEnd w:id="0"/>
    <w:p w14:paraId="36DC53BA" w14:textId="4AD581BE" w:rsidR="00DF5FAF" w:rsidRPr="00F07818" w:rsidRDefault="00DF5FAF" w:rsidP="00A244B5">
      <w:pPr>
        <w:pStyle w:val="H23G"/>
      </w:pPr>
      <w:r w:rsidRPr="00F07818">
        <w:rPr>
          <w:lang w:val="fr-FR"/>
        </w:rPr>
        <w:tab/>
      </w:r>
      <w:r w:rsidRPr="00F07818">
        <w:rPr>
          <w:lang w:val="fr-FR"/>
        </w:rPr>
        <w:tab/>
        <w:t xml:space="preserve">Alignement des travaux du Groupe de travail des problèmes douaniers </w:t>
      </w:r>
      <w:r w:rsidR="00A244B5">
        <w:rPr>
          <w:lang w:val="fr-FR"/>
        </w:rPr>
        <w:br/>
      </w:r>
      <w:r w:rsidRPr="00F07818">
        <w:rPr>
          <w:lang w:val="fr-FR"/>
        </w:rPr>
        <w:t xml:space="preserve">intéressant les transports sur la stratégie du </w:t>
      </w:r>
      <w:r>
        <w:rPr>
          <w:lang w:val="fr-FR"/>
        </w:rPr>
        <w:t>CTI</w:t>
      </w:r>
    </w:p>
    <w:p w14:paraId="3D84D552" w14:textId="2F8B0BAE" w:rsidR="00DF5FAF" w:rsidRPr="004772DE" w:rsidRDefault="00DF5FAF" w:rsidP="00A244B5">
      <w:pPr>
        <w:pStyle w:val="SingleTxtG"/>
        <w:rPr>
          <w:spacing w:val="-2"/>
        </w:rPr>
      </w:pPr>
      <w:r w:rsidRPr="004772DE">
        <w:rPr>
          <w:spacing w:val="-2"/>
          <w:lang w:val="fr-FR"/>
        </w:rPr>
        <w:t>26.</w:t>
      </w:r>
      <w:r w:rsidRPr="004772DE">
        <w:rPr>
          <w:spacing w:val="-2"/>
          <w:lang w:val="fr-FR"/>
        </w:rPr>
        <w:tab/>
        <w:t>À sa 163</w:t>
      </w:r>
      <w:r w:rsidRPr="004772DE">
        <w:rPr>
          <w:spacing w:val="-2"/>
          <w:vertAlign w:val="superscript"/>
          <w:lang w:val="fr-FR"/>
        </w:rPr>
        <w:t>e</w:t>
      </w:r>
      <w:r w:rsidRPr="004772DE">
        <w:rPr>
          <w:spacing w:val="-2"/>
          <w:lang w:val="fr-FR"/>
        </w:rPr>
        <w:t> session (juin 2023), le WP.30 s</w:t>
      </w:r>
      <w:r w:rsidR="00533FC3" w:rsidRPr="004772DE">
        <w:rPr>
          <w:spacing w:val="-2"/>
          <w:lang w:val="fr-FR"/>
        </w:rPr>
        <w:t>’</w:t>
      </w:r>
      <w:r w:rsidRPr="004772DE">
        <w:rPr>
          <w:spacing w:val="-2"/>
          <w:lang w:val="fr-FR"/>
        </w:rPr>
        <w:t>est souvenu qu</w:t>
      </w:r>
      <w:r w:rsidR="00533FC3" w:rsidRPr="004772DE">
        <w:rPr>
          <w:spacing w:val="-2"/>
          <w:lang w:val="fr-FR"/>
        </w:rPr>
        <w:t>’</w:t>
      </w:r>
      <w:r w:rsidRPr="004772DE">
        <w:rPr>
          <w:spacing w:val="-2"/>
          <w:lang w:val="fr-FR"/>
        </w:rPr>
        <w:t>il avait examiné les suggestions visant à aligner son mandat sur le mandat révisé du CTI, répertoriées à l</w:t>
      </w:r>
      <w:r w:rsidR="00533FC3" w:rsidRPr="004772DE">
        <w:rPr>
          <w:spacing w:val="-2"/>
          <w:lang w:val="fr-FR"/>
        </w:rPr>
        <w:t>’</w:t>
      </w:r>
      <w:r w:rsidRPr="004772DE">
        <w:rPr>
          <w:spacing w:val="-2"/>
          <w:lang w:val="fr-FR"/>
        </w:rPr>
        <w:t>annexe III du document ECE/TRANS/WP.30/2023/1. Il a demandé au secrétariat d</w:t>
      </w:r>
      <w:r w:rsidR="00533FC3" w:rsidRPr="004772DE">
        <w:rPr>
          <w:spacing w:val="-2"/>
          <w:lang w:val="fr-FR"/>
        </w:rPr>
        <w:t>’</w:t>
      </w:r>
      <w:r w:rsidRPr="004772DE">
        <w:rPr>
          <w:spacing w:val="-2"/>
          <w:lang w:val="fr-FR"/>
        </w:rPr>
        <w:t>établir une version révisée du document ECE/TRANS/WP.30/2023/1 (ECE/TRANS/WP.30/2023/7) afin de prendre en compte les débats et les suggestions faites par l</w:t>
      </w:r>
      <w:r w:rsidR="00533FC3" w:rsidRPr="004772DE">
        <w:rPr>
          <w:spacing w:val="-2"/>
          <w:lang w:val="fr-FR"/>
        </w:rPr>
        <w:t>’</w:t>
      </w:r>
      <w:r w:rsidRPr="004772DE">
        <w:rPr>
          <w:spacing w:val="-2"/>
          <w:lang w:val="fr-FR"/>
        </w:rPr>
        <w:t>Union européenne.</w:t>
      </w:r>
    </w:p>
    <w:p w14:paraId="2BF880F5" w14:textId="589A4ACD" w:rsidR="00DF5FAF" w:rsidRPr="00F07818" w:rsidRDefault="00DF5FAF" w:rsidP="00A244B5">
      <w:pPr>
        <w:pStyle w:val="SingleTxtG"/>
      </w:pPr>
      <w:r w:rsidRPr="00F07818">
        <w:rPr>
          <w:lang w:val="fr-FR"/>
        </w:rPr>
        <w:t>27.</w:t>
      </w:r>
      <w:r w:rsidRPr="00F07818">
        <w:rPr>
          <w:lang w:val="fr-FR"/>
        </w:rPr>
        <w:tab/>
        <w:t>Le WP.30 a examiné les propositions relatives à l</w:t>
      </w:r>
      <w:r w:rsidR="00533FC3">
        <w:rPr>
          <w:lang w:val="fr-FR"/>
        </w:rPr>
        <w:t>’</w:t>
      </w:r>
      <w:r w:rsidRPr="00F07818">
        <w:rPr>
          <w:lang w:val="fr-FR"/>
        </w:rPr>
        <w:t>alignement de son mandat sur le mandat révisé du CTI figurant dans le document ECE/TRANS/WP.30/2023/7. Il a décidé d</w:t>
      </w:r>
      <w:r w:rsidR="00533FC3">
        <w:rPr>
          <w:lang w:val="fr-FR"/>
        </w:rPr>
        <w:t>’</w:t>
      </w:r>
      <w:r w:rsidRPr="00F07818">
        <w:rPr>
          <w:lang w:val="fr-FR"/>
        </w:rPr>
        <w:t>adopter provisoirement le mandat révisé dans l</w:t>
      </w:r>
      <w:r w:rsidR="00533FC3">
        <w:rPr>
          <w:lang w:val="fr-FR"/>
        </w:rPr>
        <w:t>’</w:t>
      </w:r>
      <w:r w:rsidRPr="00F07818">
        <w:rPr>
          <w:lang w:val="fr-FR"/>
        </w:rPr>
        <w:t>attente de la version définitive de la décision du Conseil de l</w:t>
      </w:r>
      <w:r w:rsidR="00533FC3">
        <w:rPr>
          <w:lang w:val="fr-FR"/>
        </w:rPr>
        <w:t>’</w:t>
      </w:r>
      <w:r w:rsidRPr="00F07818">
        <w:rPr>
          <w:lang w:val="fr-FR"/>
        </w:rPr>
        <w:t xml:space="preserve">Union européenne. </w:t>
      </w:r>
      <w:r>
        <w:rPr>
          <w:lang w:val="fr-FR"/>
        </w:rPr>
        <w:t>Il</w:t>
      </w:r>
      <w:r w:rsidRPr="00F07818">
        <w:rPr>
          <w:lang w:val="fr-FR"/>
        </w:rPr>
        <w:t xml:space="preserve"> a également décidé de changer de nom pour devenir le «</w:t>
      </w:r>
      <w:r w:rsidR="004772DE">
        <w:rPr>
          <w:lang w:val="fr-FR"/>
        </w:rPr>
        <w:t> </w:t>
      </w:r>
      <w:r w:rsidRPr="00F07818">
        <w:rPr>
          <w:lang w:val="fr-FR"/>
        </w:rPr>
        <w:t>Forum mondial des questions douanières intéressant les transports, notamment la facilitation du passage des frontières</w:t>
      </w:r>
      <w:r w:rsidR="004772DE">
        <w:rPr>
          <w:lang w:val="fr-FR"/>
        </w:rPr>
        <w:t> </w:t>
      </w:r>
      <w:r w:rsidRPr="00F07818">
        <w:rPr>
          <w:lang w:val="fr-FR"/>
        </w:rPr>
        <w:t>». Il a demandé au secrétariat de soumettre les décisions susmentionnées au CTI pour approbation.</w:t>
      </w:r>
    </w:p>
    <w:p w14:paraId="77780C7E" w14:textId="3234700B" w:rsidR="00DF5FAF" w:rsidRPr="00F07818" w:rsidRDefault="00DF5FAF" w:rsidP="00A244B5">
      <w:pPr>
        <w:pStyle w:val="SingleTxtG"/>
      </w:pPr>
      <w:r w:rsidRPr="00F07818">
        <w:rPr>
          <w:lang w:val="fr-FR"/>
        </w:rPr>
        <w:t>28.</w:t>
      </w:r>
      <w:r w:rsidRPr="00F07818">
        <w:rPr>
          <w:lang w:val="fr-FR"/>
        </w:rPr>
        <w:tab/>
        <w:t xml:space="preserve">Par ailleurs, le </w:t>
      </w:r>
      <w:r>
        <w:rPr>
          <w:lang w:val="fr-FR"/>
        </w:rPr>
        <w:t>WP.30</w:t>
      </w:r>
      <w:r w:rsidRPr="00F07818">
        <w:rPr>
          <w:lang w:val="fr-FR"/>
        </w:rPr>
        <w:t xml:space="preserve"> s</w:t>
      </w:r>
      <w:r w:rsidR="00533FC3">
        <w:rPr>
          <w:lang w:val="fr-FR"/>
        </w:rPr>
        <w:t>’</w:t>
      </w:r>
      <w:r w:rsidRPr="00F07818">
        <w:rPr>
          <w:lang w:val="fr-FR"/>
        </w:rPr>
        <w:t>est penché sur le document ECE/TRANS/WP.30/2023/6, comme l</w:t>
      </w:r>
      <w:r w:rsidR="00533FC3">
        <w:rPr>
          <w:lang w:val="fr-FR"/>
        </w:rPr>
        <w:t>’</w:t>
      </w:r>
      <w:r w:rsidRPr="00F07818">
        <w:rPr>
          <w:lang w:val="fr-FR"/>
        </w:rPr>
        <w:t>avait demandé l</w:t>
      </w:r>
      <w:r>
        <w:rPr>
          <w:lang w:val="fr-FR"/>
        </w:rPr>
        <w:t>a</w:t>
      </w:r>
      <w:r w:rsidRPr="00F07818">
        <w:rPr>
          <w:lang w:val="fr-FR"/>
        </w:rPr>
        <w:t xml:space="preserve"> Président</w:t>
      </w:r>
      <w:r>
        <w:rPr>
          <w:lang w:val="fr-FR"/>
        </w:rPr>
        <w:t>e</w:t>
      </w:r>
      <w:r w:rsidRPr="00F07818">
        <w:rPr>
          <w:lang w:val="fr-FR"/>
        </w:rPr>
        <w:t xml:space="preserve"> du CTI en lien avec l</w:t>
      </w:r>
      <w:r w:rsidR="00533FC3">
        <w:rPr>
          <w:lang w:val="fr-FR"/>
        </w:rPr>
        <w:t>’</w:t>
      </w:r>
      <w:r w:rsidRPr="00F07818">
        <w:rPr>
          <w:lang w:val="fr-FR"/>
        </w:rPr>
        <w:t>examen, en 2023, des mandats des groupes de travail. Ce document contient un modèle répertoriant les informations qu</w:t>
      </w:r>
      <w:r w:rsidR="00533FC3">
        <w:rPr>
          <w:lang w:val="fr-FR"/>
        </w:rPr>
        <w:t>’</w:t>
      </w:r>
      <w:r w:rsidRPr="00F07818">
        <w:rPr>
          <w:lang w:val="fr-FR"/>
        </w:rPr>
        <w:t>il est recommandé de réunir aux fins dudit examen. Le WP.30 a adopté le document ECE/TRANS/WP.30/2023/6</w:t>
      </w:r>
      <w:r>
        <w:rPr>
          <w:lang w:val="fr-FR"/>
        </w:rPr>
        <w:t xml:space="preserve"> moyennant</w:t>
      </w:r>
      <w:r w:rsidRPr="00F07818">
        <w:rPr>
          <w:lang w:val="fr-FR"/>
        </w:rPr>
        <w:t xml:space="preserve"> les modifications suivantes</w:t>
      </w:r>
      <w:r w:rsidR="00CE67D3">
        <w:rPr>
          <w:lang w:val="fr-FR"/>
        </w:rPr>
        <w:t> </w:t>
      </w:r>
      <w:r w:rsidRPr="00F07818">
        <w:rPr>
          <w:lang w:val="fr-FR"/>
        </w:rPr>
        <w:t xml:space="preserve">: </w:t>
      </w:r>
      <w:r w:rsidRPr="00451BE0">
        <w:rPr>
          <w:lang w:val="fr-FR"/>
        </w:rPr>
        <w:t>page</w:t>
      </w:r>
      <w:r>
        <w:rPr>
          <w:lang w:val="fr-FR"/>
        </w:rPr>
        <w:t> </w:t>
      </w:r>
      <w:r w:rsidRPr="00451BE0">
        <w:rPr>
          <w:lang w:val="fr-FR"/>
        </w:rPr>
        <w:t>4</w:t>
      </w:r>
      <w:r>
        <w:rPr>
          <w:lang w:val="fr-FR"/>
        </w:rPr>
        <w:t xml:space="preserve">, libeller </w:t>
      </w:r>
      <w:r w:rsidRPr="00451BE0">
        <w:rPr>
          <w:lang w:val="fr-FR"/>
        </w:rPr>
        <w:t>l</w:t>
      </w:r>
      <w:r w:rsidR="00533FC3">
        <w:rPr>
          <w:lang w:val="fr-FR"/>
        </w:rPr>
        <w:t>’</w:t>
      </w:r>
      <w:r>
        <w:rPr>
          <w:lang w:val="fr-FR"/>
        </w:rPr>
        <w:t>intitulé du point III.A</w:t>
      </w:r>
      <w:r w:rsidRPr="00F07818">
        <w:rPr>
          <w:lang w:val="fr-FR"/>
        </w:rPr>
        <w:t xml:space="preserve"> </w:t>
      </w:r>
      <w:r>
        <w:rPr>
          <w:lang w:val="fr-FR"/>
        </w:rPr>
        <w:t>« </w:t>
      </w:r>
      <w:r w:rsidRPr="00F07818">
        <w:rPr>
          <w:lang w:val="fr-FR"/>
        </w:rPr>
        <w:t>Facilitation des transports (y compris la facilitation des opérations douanières et du passage des frontières)</w:t>
      </w:r>
      <w:r>
        <w:rPr>
          <w:lang w:val="fr-FR"/>
        </w:rPr>
        <w:t> »</w:t>
      </w:r>
      <w:r w:rsidRPr="00F07818">
        <w:rPr>
          <w:lang w:val="fr-FR"/>
        </w:rPr>
        <w:t xml:space="preserve"> et la deuxième puce </w:t>
      </w:r>
      <w:r>
        <w:rPr>
          <w:lang w:val="fr-FR"/>
        </w:rPr>
        <w:t>« D</w:t>
      </w:r>
      <w:r w:rsidRPr="00F07818">
        <w:rPr>
          <w:lang w:val="fr-FR"/>
        </w:rPr>
        <w:t>omaine d</w:t>
      </w:r>
      <w:r w:rsidR="00533FC3">
        <w:rPr>
          <w:lang w:val="fr-FR"/>
        </w:rPr>
        <w:t>’</w:t>
      </w:r>
      <w:r w:rsidRPr="00F07818">
        <w:rPr>
          <w:lang w:val="fr-FR"/>
        </w:rPr>
        <w:t>activité principal (facilitation des opérations douanières et du passage des frontières)</w:t>
      </w:r>
      <w:r>
        <w:rPr>
          <w:lang w:val="fr-FR"/>
        </w:rPr>
        <w:t> »</w:t>
      </w:r>
      <w:r w:rsidRPr="00F07818">
        <w:rPr>
          <w:lang w:val="fr-FR"/>
        </w:rPr>
        <w:t xml:space="preserve"> ; </w:t>
      </w:r>
      <w:r>
        <w:rPr>
          <w:lang w:val="fr-FR"/>
        </w:rPr>
        <w:t>page 8, à la cinquième</w:t>
      </w:r>
      <w:r w:rsidRPr="00F07818">
        <w:rPr>
          <w:lang w:val="fr-FR"/>
        </w:rPr>
        <w:t xml:space="preserve"> ligne de l</w:t>
      </w:r>
      <w:r w:rsidR="00533FC3">
        <w:rPr>
          <w:lang w:val="fr-FR"/>
        </w:rPr>
        <w:t>’</w:t>
      </w:r>
      <w:r w:rsidRPr="00F07818">
        <w:rPr>
          <w:lang w:val="fr-FR"/>
        </w:rPr>
        <w:t>alinéa b)</w:t>
      </w:r>
      <w:r>
        <w:rPr>
          <w:lang w:val="fr-FR"/>
        </w:rPr>
        <w:t xml:space="preserve"> du point VI </w:t>
      </w:r>
      <w:r w:rsidRPr="00F07818">
        <w:rPr>
          <w:lang w:val="fr-FR"/>
        </w:rPr>
        <w:t>(Principaux partenaires)</w:t>
      </w:r>
      <w:r>
        <w:rPr>
          <w:lang w:val="fr-FR"/>
        </w:rPr>
        <w:t>,</w:t>
      </w:r>
      <w:r w:rsidRPr="00F07818">
        <w:rPr>
          <w:lang w:val="fr-FR"/>
        </w:rPr>
        <w:t xml:space="preserve"> </w:t>
      </w:r>
      <w:r>
        <w:rPr>
          <w:lang w:val="fr-FR"/>
        </w:rPr>
        <w:t>remplacer « </w:t>
      </w:r>
      <w:r w:rsidRPr="00F07818">
        <w:rPr>
          <w:lang w:val="fr-FR"/>
        </w:rPr>
        <w:t>Commission européenne</w:t>
      </w:r>
      <w:r>
        <w:rPr>
          <w:lang w:val="fr-FR"/>
        </w:rPr>
        <w:t> »</w:t>
      </w:r>
      <w:r w:rsidRPr="00F07818">
        <w:rPr>
          <w:lang w:val="fr-FR"/>
        </w:rPr>
        <w:t xml:space="preserve"> par </w:t>
      </w:r>
      <w:r>
        <w:rPr>
          <w:lang w:val="fr-FR"/>
        </w:rPr>
        <w:t>« </w:t>
      </w:r>
      <w:r w:rsidRPr="00F07818">
        <w:rPr>
          <w:lang w:val="fr-FR"/>
        </w:rPr>
        <w:t>Union européenne</w:t>
      </w:r>
      <w:r>
        <w:rPr>
          <w:lang w:val="fr-FR"/>
        </w:rPr>
        <w:t> »</w:t>
      </w:r>
      <w:r w:rsidRPr="00F07818">
        <w:rPr>
          <w:lang w:val="fr-FR"/>
        </w:rPr>
        <w:t xml:space="preserve">. Le WP.30 a été invité à </w:t>
      </w:r>
      <w:r>
        <w:rPr>
          <w:lang w:val="fr-FR"/>
        </w:rPr>
        <w:t>communiquer</w:t>
      </w:r>
      <w:r w:rsidRPr="003B3F50">
        <w:t xml:space="preserve"> </w:t>
      </w:r>
      <w:r w:rsidRPr="003B3F50">
        <w:rPr>
          <w:lang w:val="fr-FR"/>
        </w:rPr>
        <w:t>au secrétariat</w:t>
      </w:r>
      <w:r w:rsidRPr="00F07818">
        <w:rPr>
          <w:lang w:val="fr-FR"/>
        </w:rPr>
        <w:t xml:space="preserve"> toute nouvelle proposition de changement dans un délai de 10</w:t>
      </w:r>
      <w:r>
        <w:rPr>
          <w:lang w:val="fr-FR"/>
        </w:rPr>
        <w:t> </w:t>
      </w:r>
      <w:r w:rsidRPr="00F07818">
        <w:rPr>
          <w:lang w:val="fr-FR"/>
        </w:rPr>
        <w:t>jours</w:t>
      </w:r>
      <w:r>
        <w:rPr>
          <w:lang w:val="fr-FR"/>
        </w:rPr>
        <w:t>,</w:t>
      </w:r>
      <w:r w:rsidRPr="00F07818">
        <w:rPr>
          <w:lang w:val="fr-FR"/>
        </w:rPr>
        <w:t xml:space="preserve"> à l</w:t>
      </w:r>
      <w:r w:rsidR="00533FC3">
        <w:rPr>
          <w:lang w:val="fr-FR"/>
        </w:rPr>
        <w:t>’</w:t>
      </w:r>
      <w:r w:rsidRPr="00F07818">
        <w:rPr>
          <w:lang w:val="fr-FR"/>
        </w:rPr>
        <w:t xml:space="preserve">issue duquel </w:t>
      </w:r>
      <w:r>
        <w:rPr>
          <w:lang w:val="fr-FR"/>
        </w:rPr>
        <w:t xml:space="preserve">il a prié </w:t>
      </w:r>
      <w:r w:rsidRPr="00F07818">
        <w:rPr>
          <w:lang w:val="fr-FR"/>
        </w:rPr>
        <w:t>le secrétariat de soumettre le document modifié au CTI pour approbation.</w:t>
      </w:r>
    </w:p>
    <w:p w14:paraId="538447A4" w14:textId="5CBCF146" w:rsidR="00DF5FAF" w:rsidRPr="00F07818" w:rsidRDefault="00DF5FAF" w:rsidP="00A244B5">
      <w:pPr>
        <w:pStyle w:val="SingleTxtG"/>
      </w:pPr>
      <w:r w:rsidRPr="00F07818">
        <w:rPr>
          <w:lang w:val="fr-FR"/>
        </w:rPr>
        <w:t>29.</w:t>
      </w:r>
      <w:r w:rsidRPr="00F07818">
        <w:rPr>
          <w:lang w:val="fr-FR"/>
        </w:rPr>
        <w:tab/>
        <w:t xml:space="preserve">Le WP.30 a pris note des informations communiquées par le secrétariat </w:t>
      </w:r>
      <w:r>
        <w:rPr>
          <w:lang w:val="fr-FR"/>
        </w:rPr>
        <w:t>selon lesquelles le CTI</w:t>
      </w:r>
      <w:r w:rsidRPr="00F07818">
        <w:rPr>
          <w:lang w:val="fr-FR"/>
        </w:rPr>
        <w:t xml:space="preserve"> a</w:t>
      </w:r>
      <w:r>
        <w:rPr>
          <w:lang w:val="fr-FR"/>
        </w:rPr>
        <w:t>vait, à sa précédente session,</w:t>
      </w:r>
      <w:r w:rsidRPr="00F07818">
        <w:rPr>
          <w:lang w:val="fr-FR"/>
        </w:rPr>
        <w:t xml:space="preserve"> demandé au secrétariat d</w:t>
      </w:r>
      <w:r w:rsidR="00533FC3">
        <w:rPr>
          <w:lang w:val="fr-FR"/>
        </w:rPr>
        <w:t>’</w:t>
      </w:r>
      <w:r w:rsidRPr="00F07818">
        <w:rPr>
          <w:lang w:val="fr-FR"/>
        </w:rPr>
        <w:t>élaborer, en étroite collaboration avec son Bureau et les organes subsidiaires concernés, une stratégie ambitieuse de réduction des émissions de gaz à effet de serre associées aux transports intérieurs, fondée sur les instruments juridiques internationaux des Nations Unies relevant de la compétence du CTI, établissant des mesures prioritaires pour le CTI et ses organes subsidiaires concernés et étayée par un plan d</w:t>
      </w:r>
      <w:r w:rsidR="00533FC3">
        <w:rPr>
          <w:lang w:val="fr-FR"/>
        </w:rPr>
        <w:t>’</w:t>
      </w:r>
      <w:r w:rsidRPr="00F07818">
        <w:rPr>
          <w:lang w:val="fr-FR"/>
        </w:rPr>
        <w:t>action solide assorti d</w:t>
      </w:r>
      <w:r w:rsidR="00533FC3">
        <w:rPr>
          <w:lang w:val="fr-FR"/>
        </w:rPr>
        <w:t>’</w:t>
      </w:r>
      <w:r w:rsidRPr="00F07818">
        <w:rPr>
          <w:lang w:val="fr-FR"/>
        </w:rPr>
        <w:t>échéances. Cette stratégie sera</w:t>
      </w:r>
      <w:r>
        <w:rPr>
          <w:lang w:val="fr-FR"/>
        </w:rPr>
        <w:t>it</w:t>
      </w:r>
      <w:r w:rsidRPr="00F07818">
        <w:rPr>
          <w:lang w:val="fr-FR"/>
        </w:rPr>
        <w:t xml:space="preserve"> examinée et éventuellement adoptée à la quatre-vingt-sixième session du CTI</w:t>
      </w:r>
      <w:r>
        <w:rPr>
          <w:lang w:val="fr-FR"/>
        </w:rPr>
        <w:t>,</w:t>
      </w:r>
      <w:r w:rsidRPr="00F07818">
        <w:rPr>
          <w:lang w:val="fr-FR"/>
        </w:rPr>
        <w:t xml:space="preserve"> en 2024. Le WP.30 a également pris note du document informel WP.30 </w:t>
      </w:r>
      <w:r w:rsidRPr="00EA2694">
        <w:rPr>
          <w:lang w:val="fr-FR"/>
        </w:rPr>
        <w:t>n</w:t>
      </w:r>
      <w:r w:rsidRPr="00EA2694">
        <w:rPr>
          <w:vertAlign w:val="superscript"/>
          <w:lang w:val="fr-FR"/>
        </w:rPr>
        <w:t>o</w:t>
      </w:r>
      <w:r w:rsidRPr="004772DE">
        <w:rPr>
          <w:lang w:val="fr-FR"/>
        </w:rPr>
        <w:t> </w:t>
      </w:r>
      <w:r w:rsidRPr="00F07818">
        <w:rPr>
          <w:lang w:val="fr-FR"/>
        </w:rPr>
        <w:t>16</w:t>
      </w:r>
      <w:r>
        <w:rPr>
          <w:lang w:val="fr-FR"/>
        </w:rPr>
        <w:t>,</w:t>
      </w:r>
      <w:r w:rsidRPr="00F07818">
        <w:rPr>
          <w:lang w:val="fr-FR"/>
        </w:rPr>
        <w:t xml:space="preserve"> établi par le secrétariat, qui </w:t>
      </w:r>
      <w:r>
        <w:rPr>
          <w:lang w:val="fr-FR"/>
        </w:rPr>
        <w:t>comprend</w:t>
      </w:r>
      <w:r w:rsidRPr="00F07818">
        <w:rPr>
          <w:lang w:val="fr-FR"/>
        </w:rPr>
        <w:t xml:space="preserve"> une première ébauche de contribution du WP.30 à la stratégie du CTI sur la réduction des émissions de gaz à effet de serre dans les transports intérieurs (ECE/TRANS/2024/3).</w:t>
      </w:r>
    </w:p>
    <w:p w14:paraId="14BD40D0" w14:textId="44E55BEB" w:rsidR="00DF5FAF" w:rsidRPr="00F07818" w:rsidRDefault="00DF5FAF" w:rsidP="00A244B5">
      <w:pPr>
        <w:pStyle w:val="SingleTxtG"/>
      </w:pPr>
      <w:r w:rsidRPr="00F07818">
        <w:rPr>
          <w:lang w:val="fr-FR"/>
        </w:rPr>
        <w:t>30.</w:t>
      </w:r>
      <w:r w:rsidRPr="00F07818">
        <w:rPr>
          <w:lang w:val="fr-FR"/>
        </w:rPr>
        <w:tab/>
        <w:t>La délégation de l</w:t>
      </w:r>
      <w:r w:rsidR="00533FC3">
        <w:rPr>
          <w:lang w:val="fr-FR"/>
        </w:rPr>
        <w:t>’</w:t>
      </w:r>
      <w:r w:rsidRPr="00F07818">
        <w:rPr>
          <w:lang w:val="fr-FR"/>
        </w:rPr>
        <w:t xml:space="preserve">Union européenne a communiqué au WP.30 des informations </w:t>
      </w:r>
      <w:r>
        <w:rPr>
          <w:lang w:val="fr-FR"/>
        </w:rPr>
        <w:t>concernant</w:t>
      </w:r>
      <w:r w:rsidRPr="00F07818">
        <w:rPr>
          <w:lang w:val="fr-FR"/>
        </w:rPr>
        <w:t xml:space="preserve"> </w:t>
      </w:r>
      <w:r>
        <w:rPr>
          <w:lang w:val="fr-FR"/>
        </w:rPr>
        <w:t>le</w:t>
      </w:r>
      <w:r w:rsidRPr="00F07818">
        <w:rPr>
          <w:lang w:val="fr-FR"/>
        </w:rPr>
        <w:t xml:space="preserve"> pacte vert </w:t>
      </w:r>
      <w:r>
        <w:rPr>
          <w:lang w:val="fr-FR"/>
        </w:rPr>
        <w:t>pour l</w:t>
      </w:r>
      <w:r w:rsidR="00533FC3">
        <w:rPr>
          <w:lang w:val="fr-FR"/>
        </w:rPr>
        <w:t>’</w:t>
      </w:r>
      <w:r>
        <w:rPr>
          <w:lang w:val="fr-FR"/>
        </w:rPr>
        <w:t>Europe</w:t>
      </w:r>
      <w:r w:rsidRPr="00F07818">
        <w:rPr>
          <w:lang w:val="fr-FR"/>
        </w:rPr>
        <w:t xml:space="preserve"> et la loi européenne sur le climat, notamment ses aspects relatifs aux transports. L</w:t>
      </w:r>
      <w:r w:rsidR="00533FC3">
        <w:rPr>
          <w:lang w:val="fr-FR"/>
        </w:rPr>
        <w:t>’</w:t>
      </w:r>
      <w:r w:rsidRPr="00F07818">
        <w:rPr>
          <w:lang w:val="fr-FR"/>
        </w:rPr>
        <w:t xml:space="preserve">Union européenne a assuré les délégations </w:t>
      </w:r>
      <w:r>
        <w:rPr>
          <w:lang w:val="fr-FR"/>
        </w:rPr>
        <w:t>participant aux travaux du WP.30 que</w:t>
      </w:r>
      <w:r w:rsidRPr="00F07818">
        <w:rPr>
          <w:lang w:val="fr-FR"/>
        </w:rPr>
        <w:t xml:space="preserve"> toute mesure compatible avec ce</w:t>
      </w:r>
      <w:r>
        <w:rPr>
          <w:lang w:val="fr-FR"/>
        </w:rPr>
        <w:t xml:space="preserve"> cadre avait de bonnes chances de recevoir son soutien</w:t>
      </w:r>
      <w:r w:rsidRPr="00F07818">
        <w:rPr>
          <w:lang w:val="fr-FR"/>
        </w:rPr>
        <w:t>. La délégation de l</w:t>
      </w:r>
      <w:r w:rsidR="00533FC3">
        <w:rPr>
          <w:lang w:val="fr-FR"/>
        </w:rPr>
        <w:t>’</w:t>
      </w:r>
      <w:r w:rsidRPr="00F07818">
        <w:rPr>
          <w:lang w:val="fr-FR"/>
        </w:rPr>
        <w:t>Union européenne a également cité en exemple les travaux menés par la Suisse aux fins de l</w:t>
      </w:r>
      <w:r w:rsidR="00533FC3">
        <w:rPr>
          <w:lang w:val="fr-FR"/>
        </w:rPr>
        <w:t>’</w:t>
      </w:r>
      <w:r w:rsidRPr="00F07818">
        <w:rPr>
          <w:lang w:val="fr-FR"/>
        </w:rPr>
        <w:t>automatisation des postes frontière. Des</w:t>
      </w:r>
      <w:r w:rsidR="004772DE">
        <w:rPr>
          <w:lang w:val="fr-FR"/>
        </w:rPr>
        <w:t> </w:t>
      </w:r>
      <w:r w:rsidRPr="00F07818">
        <w:rPr>
          <w:lang w:val="fr-FR"/>
        </w:rPr>
        <w:t xml:space="preserve">technologies de géorepérage </w:t>
      </w:r>
      <w:r>
        <w:rPr>
          <w:lang w:val="fr-FR"/>
        </w:rPr>
        <w:t>étaient</w:t>
      </w:r>
      <w:r w:rsidRPr="00F07818">
        <w:rPr>
          <w:lang w:val="fr-FR"/>
        </w:rPr>
        <w:t xml:space="preserve"> utilisées afin d</w:t>
      </w:r>
      <w:r w:rsidR="00533FC3">
        <w:rPr>
          <w:lang w:val="fr-FR"/>
        </w:rPr>
        <w:t>’</w:t>
      </w:r>
      <w:r w:rsidRPr="00F07818">
        <w:rPr>
          <w:lang w:val="fr-FR"/>
        </w:rPr>
        <w:t>informer les douanes de l</w:t>
      </w:r>
      <w:r w:rsidR="00533FC3">
        <w:rPr>
          <w:lang w:val="fr-FR"/>
        </w:rPr>
        <w:t>’</w:t>
      </w:r>
      <w:r w:rsidRPr="00F07818">
        <w:rPr>
          <w:lang w:val="fr-FR"/>
        </w:rPr>
        <w:t>entrée d</w:t>
      </w:r>
      <w:r w:rsidR="00533FC3">
        <w:rPr>
          <w:lang w:val="fr-FR"/>
        </w:rPr>
        <w:t>’</w:t>
      </w:r>
      <w:r w:rsidRPr="00F07818">
        <w:rPr>
          <w:lang w:val="fr-FR"/>
        </w:rPr>
        <w:t>un camion dans leur zone</w:t>
      </w:r>
      <w:r>
        <w:rPr>
          <w:lang w:val="fr-FR"/>
        </w:rPr>
        <w:t>, leur permettant de</w:t>
      </w:r>
      <w:r w:rsidRPr="00F07818">
        <w:rPr>
          <w:lang w:val="fr-FR"/>
        </w:rPr>
        <w:t xml:space="preserve"> décider si le camion </w:t>
      </w:r>
      <w:r>
        <w:rPr>
          <w:lang w:val="fr-FR"/>
        </w:rPr>
        <w:t>devait</w:t>
      </w:r>
      <w:r w:rsidRPr="00F07818">
        <w:rPr>
          <w:lang w:val="fr-FR"/>
        </w:rPr>
        <w:t xml:space="preserve"> s</w:t>
      </w:r>
      <w:r w:rsidR="00533FC3">
        <w:rPr>
          <w:lang w:val="fr-FR"/>
        </w:rPr>
        <w:t>’</w:t>
      </w:r>
      <w:r w:rsidRPr="00F07818">
        <w:rPr>
          <w:lang w:val="fr-FR"/>
        </w:rPr>
        <w:t>arrêter ou s</w:t>
      </w:r>
      <w:r w:rsidR="00533FC3">
        <w:rPr>
          <w:lang w:val="fr-FR"/>
        </w:rPr>
        <w:t>’</w:t>
      </w:r>
      <w:r w:rsidRPr="00F07818">
        <w:rPr>
          <w:lang w:val="fr-FR"/>
        </w:rPr>
        <w:t>il p</w:t>
      </w:r>
      <w:r>
        <w:rPr>
          <w:lang w:val="fr-FR"/>
        </w:rPr>
        <w:t>o</w:t>
      </w:r>
      <w:r w:rsidRPr="00F07818">
        <w:rPr>
          <w:lang w:val="fr-FR"/>
        </w:rPr>
        <w:t>u</w:t>
      </w:r>
      <w:r>
        <w:rPr>
          <w:lang w:val="fr-FR"/>
        </w:rPr>
        <w:t>vai</w:t>
      </w:r>
      <w:r w:rsidRPr="00F07818">
        <w:rPr>
          <w:lang w:val="fr-FR"/>
        </w:rPr>
        <w:t>t passer la frontière</w:t>
      </w:r>
      <w:r>
        <w:rPr>
          <w:lang w:val="fr-FR"/>
        </w:rPr>
        <w:t xml:space="preserve"> sans</w:t>
      </w:r>
      <w:r w:rsidRPr="00F07818">
        <w:rPr>
          <w:lang w:val="fr-FR"/>
        </w:rPr>
        <w:t xml:space="preserve"> </w:t>
      </w:r>
      <w:r>
        <w:rPr>
          <w:lang w:val="fr-FR"/>
        </w:rPr>
        <w:t>être immobilisé</w:t>
      </w:r>
      <w:r w:rsidRPr="00F07818">
        <w:rPr>
          <w:lang w:val="fr-FR"/>
        </w:rPr>
        <w:t>.</w:t>
      </w:r>
    </w:p>
    <w:p w14:paraId="3B6C240F" w14:textId="77777777" w:rsidR="00DF5FAF" w:rsidRPr="00F07818" w:rsidRDefault="00DF5FAF" w:rsidP="00A244B5">
      <w:pPr>
        <w:pStyle w:val="SingleTxtG"/>
      </w:pPr>
      <w:r w:rsidRPr="00F07818">
        <w:rPr>
          <w:lang w:val="fr-FR"/>
        </w:rPr>
        <w:lastRenderedPageBreak/>
        <w:t>31.</w:t>
      </w:r>
      <w:r w:rsidRPr="00F07818">
        <w:rPr>
          <w:lang w:val="fr-FR"/>
        </w:rPr>
        <w:tab/>
        <w:t xml:space="preserve">Le WP.30 a demandé à être tenu au courant des faits nouveaux en lien avec ces questions à sa session </w:t>
      </w:r>
      <w:r>
        <w:rPr>
          <w:lang w:val="fr-FR"/>
        </w:rPr>
        <w:t xml:space="preserve">suivante </w:t>
      </w:r>
      <w:r w:rsidRPr="00F07818">
        <w:rPr>
          <w:lang w:val="fr-FR"/>
        </w:rPr>
        <w:t>et a invité les représentantes et représentants intéressés à présenter des pratiques de référence.</w:t>
      </w:r>
    </w:p>
    <w:p w14:paraId="3EB02BA4" w14:textId="77777777" w:rsidR="00DF5FAF" w:rsidRPr="00F07818" w:rsidRDefault="00DF5FAF" w:rsidP="00A244B5">
      <w:pPr>
        <w:pStyle w:val="HChG"/>
      </w:pPr>
      <w:r>
        <w:rPr>
          <w:lang w:val="fr-FR"/>
        </w:rPr>
        <w:tab/>
      </w:r>
      <w:r w:rsidRPr="00F07818">
        <w:rPr>
          <w:lang w:val="fr-FR"/>
        </w:rPr>
        <w:t>VII.</w:t>
      </w:r>
      <w:r w:rsidRPr="00F07818">
        <w:rPr>
          <w:lang w:val="fr-FR"/>
        </w:rPr>
        <w:tab/>
        <w:t xml:space="preserve">Examen par le </w:t>
      </w:r>
      <w:r>
        <w:rPr>
          <w:lang w:val="fr-FR"/>
        </w:rPr>
        <w:t>CTI</w:t>
      </w:r>
    </w:p>
    <w:p w14:paraId="6CEB8246" w14:textId="0C598CB9" w:rsidR="00DF5FAF" w:rsidRDefault="00DF5FAF" w:rsidP="00A244B5">
      <w:pPr>
        <w:pStyle w:val="SingleTxtG"/>
        <w:rPr>
          <w:lang w:val="fr-FR"/>
        </w:rPr>
      </w:pPr>
      <w:r w:rsidRPr="00F07818">
        <w:rPr>
          <w:lang w:val="fr-FR"/>
        </w:rPr>
        <w:t>32.</w:t>
      </w:r>
      <w:r w:rsidRPr="00F07818">
        <w:rPr>
          <w:lang w:val="fr-FR"/>
        </w:rPr>
        <w:tab/>
        <w:t xml:space="preserve">Le </w:t>
      </w:r>
      <w:r>
        <w:rPr>
          <w:lang w:val="fr-FR"/>
        </w:rPr>
        <w:t>CTI</w:t>
      </w:r>
      <w:r w:rsidRPr="00F07818">
        <w:rPr>
          <w:lang w:val="fr-FR"/>
        </w:rPr>
        <w:t xml:space="preserve"> souhaitera peut-être prendre note des activités</w:t>
      </w:r>
      <w:r>
        <w:rPr>
          <w:lang w:val="fr-FR"/>
        </w:rPr>
        <w:t xml:space="preserve"> menées en 2023 par l</w:t>
      </w:r>
      <w:r w:rsidRPr="00F07818">
        <w:rPr>
          <w:lang w:val="fr-FR"/>
        </w:rPr>
        <w:t xml:space="preserve">es </w:t>
      </w:r>
      <w:r>
        <w:rPr>
          <w:lang w:val="fr-FR"/>
        </w:rPr>
        <w:t>p</w:t>
      </w:r>
      <w:r w:rsidRPr="00F07818">
        <w:rPr>
          <w:lang w:val="fr-FR"/>
        </w:rPr>
        <w:t xml:space="preserve">arties contractantes, </w:t>
      </w:r>
      <w:r>
        <w:rPr>
          <w:lang w:val="fr-FR"/>
        </w:rPr>
        <w:t>le</w:t>
      </w:r>
      <w:r w:rsidRPr="00F07818">
        <w:rPr>
          <w:lang w:val="fr-FR"/>
        </w:rPr>
        <w:t xml:space="preserve"> </w:t>
      </w:r>
      <w:r>
        <w:rPr>
          <w:lang w:val="fr-FR"/>
        </w:rPr>
        <w:t>WP.30, l</w:t>
      </w:r>
      <w:r w:rsidR="00533FC3">
        <w:rPr>
          <w:lang w:val="fr-FR"/>
        </w:rPr>
        <w:t>’</w:t>
      </w:r>
      <w:r>
        <w:rPr>
          <w:lang w:val="fr-FR"/>
        </w:rPr>
        <w:t>AC.2, l</w:t>
      </w:r>
      <w:r w:rsidR="00533FC3">
        <w:rPr>
          <w:lang w:val="fr-FR"/>
        </w:rPr>
        <w:t>’</w:t>
      </w:r>
      <w:r>
        <w:rPr>
          <w:lang w:val="fr-FR"/>
        </w:rPr>
        <w:t>AC.3 et le secrétariat TIR, telles que décrites dans le présent document</w:t>
      </w:r>
      <w:r w:rsidRPr="00F07818">
        <w:rPr>
          <w:lang w:val="fr-FR"/>
        </w:rPr>
        <w:t>, et y souscrire.</w:t>
      </w:r>
    </w:p>
    <w:p w14:paraId="7CCE798F" w14:textId="3ECD0249" w:rsidR="00A244B5" w:rsidRPr="00A244B5" w:rsidRDefault="00A244B5" w:rsidP="00A244B5">
      <w:pPr>
        <w:pStyle w:val="SingleTxtG"/>
        <w:spacing w:before="240" w:after="0"/>
        <w:jc w:val="center"/>
        <w:rPr>
          <w:u w:val="single"/>
        </w:rPr>
      </w:pPr>
      <w:r>
        <w:rPr>
          <w:u w:val="single"/>
        </w:rPr>
        <w:tab/>
      </w:r>
      <w:r>
        <w:rPr>
          <w:u w:val="single"/>
        </w:rPr>
        <w:tab/>
      </w:r>
      <w:r>
        <w:rPr>
          <w:u w:val="single"/>
        </w:rPr>
        <w:tab/>
      </w:r>
      <w:r>
        <w:rPr>
          <w:u w:val="single"/>
        </w:rPr>
        <w:tab/>
      </w:r>
    </w:p>
    <w:sectPr w:rsidR="00A244B5" w:rsidRPr="00A244B5" w:rsidSect="001662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AD81" w14:textId="77777777" w:rsidR="00F37D6C" w:rsidRDefault="00F37D6C" w:rsidP="00F95C08">
      <w:pPr>
        <w:spacing w:line="240" w:lineRule="auto"/>
      </w:pPr>
    </w:p>
  </w:endnote>
  <w:endnote w:type="continuationSeparator" w:id="0">
    <w:p w14:paraId="06FEAF28" w14:textId="77777777" w:rsidR="00F37D6C" w:rsidRPr="00AC3823" w:rsidRDefault="00F37D6C" w:rsidP="00AC3823">
      <w:pPr>
        <w:pStyle w:val="Pieddepage"/>
      </w:pPr>
    </w:p>
  </w:endnote>
  <w:endnote w:type="continuationNotice" w:id="1">
    <w:p w14:paraId="4C713AC7" w14:textId="77777777" w:rsidR="00F37D6C" w:rsidRDefault="00F37D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C8B6" w14:textId="0BEAC997" w:rsidR="00166242" w:rsidRPr="00166242" w:rsidRDefault="00166242" w:rsidP="00166242">
    <w:pPr>
      <w:pStyle w:val="Pieddepage"/>
      <w:tabs>
        <w:tab w:val="right" w:pos="9638"/>
      </w:tabs>
    </w:pPr>
    <w:r w:rsidRPr="00166242">
      <w:rPr>
        <w:b/>
        <w:sz w:val="18"/>
      </w:rPr>
      <w:fldChar w:fldCharType="begin"/>
    </w:r>
    <w:r w:rsidRPr="00166242">
      <w:rPr>
        <w:b/>
        <w:sz w:val="18"/>
      </w:rPr>
      <w:instrText xml:space="preserve"> PAGE  \* MERGEFORMAT </w:instrText>
    </w:r>
    <w:r w:rsidRPr="00166242">
      <w:rPr>
        <w:b/>
        <w:sz w:val="18"/>
      </w:rPr>
      <w:fldChar w:fldCharType="separate"/>
    </w:r>
    <w:r w:rsidRPr="00166242">
      <w:rPr>
        <w:b/>
        <w:noProof/>
        <w:sz w:val="18"/>
      </w:rPr>
      <w:t>2</w:t>
    </w:r>
    <w:r w:rsidRPr="00166242">
      <w:rPr>
        <w:b/>
        <w:sz w:val="18"/>
      </w:rPr>
      <w:fldChar w:fldCharType="end"/>
    </w:r>
    <w:r>
      <w:rPr>
        <w:b/>
        <w:sz w:val="18"/>
      </w:rPr>
      <w:tab/>
    </w:r>
    <w:r>
      <w:t>GE.23-24375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CD87" w14:textId="7055FEBA" w:rsidR="00166242" w:rsidRPr="00166242" w:rsidRDefault="00166242" w:rsidP="00166242">
    <w:pPr>
      <w:pStyle w:val="Pieddepage"/>
      <w:tabs>
        <w:tab w:val="right" w:pos="9638"/>
      </w:tabs>
      <w:rPr>
        <w:b/>
        <w:sz w:val="18"/>
      </w:rPr>
    </w:pPr>
    <w:r>
      <w:t>GE.23-24375</w:t>
    </w:r>
    <w:r>
      <w:tab/>
    </w:r>
    <w:r w:rsidRPr="00166242">
      <w:rPr>
        <w:b/>
        <w:sz w:val="18"/>
      </w:rPr>
      <w:fldChar w:fldCharType="begin"/>
    </w:r>
    <w:r w:rsidRPr="00166242">
      <w:rPr>
        <w:b/>
        <w:sz w:val="18"/>
      </w:rPr>
      <w:instrText xml:space="preserve"> PAGE  \* MERGEFORMAT </w:instrText>
    </w:r>
    <w:r w:rsidRPr="00166242">
      <w:rPr>
        <w:b/>
        <w:sz w:val="18"/>
      </w:rPr>
      <w:fldChar w:fldCharType="separate"/>
    </w:r>
    <w:r w:rsidRPr="00166242">
      <w:rPr>
        <w:b/>
        <w:noProof/>
        <w:sz w:val="18"/>
      </w:rPr>
      <w:t>3</w:t>
    </w:r>
    <w:r w:rsidRPr="001662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528A" w14:textId="21116470" w:rsidR="007F20FA" w:rsidRPr="00166242" w:rsidRDefault="00166242" w:rsidP="0016624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D570695" wp14:editId="13430F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23-24375  (F)</w:t>
    </w:r>
    <w:r>
      <w:rPr>
        <w:noProof/>
        <w:sz w:val="20"/>
      </w:rPr>
      <w:drawing>
        <wp:anchor distT="0" distB="0" distL="114300" distR="114300" simplePos="0" relativeHeight="251660288" behindDoc="0" locked="0" layoutInCell="1" allowOverlap="1" wp14:anchorId="507FA115" wp14:editId="56BDEF59">
          <wp:simplePos x="0" y="0"/>
          <wp:positionH relativeFrom="margin">
            <wp:posOffset>5489575</wp:posOffset>
          </wp:positionH>
          <wp:positionV relativeFrom="margin">
            <wp:posOffset>8891905</wp:posOffset>
          </wp:positionV>
          <wp:extent cx="561975" cy="561975"/>
          <wp:effectExtent l="0" t="0" r="9525" b="9525"/>
          <wp:wrapNone/>
          <wp:docPr id="7020512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E9D">
      <w:rPr>
        <w:sz w:val="20"/>
      </w:rPr>
      <w:t xml:space="preserve">    281223    281223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4150" w14:textId="77777777" w:rsidR="00F37D6C" w:rsidRPr="00AC3823" w:rsidRDefault="00F37D6C" w:rsidP="00AC3823">
      <w:pPr>
        <w:pStyle w:val="Pieddepage"/>
        <w:tabs>
          <w:tab w:val="right" w:pos="2155"/>
        </w:tabs>
        <w:spacing w:after="80" w:line="240" w:lineRule="atLeast"/>
        <w:ind w:left="680"/>
        <w:rPr>
          <w:u w:val="single"/>
        </w:rPr>
      </w:pPr>
      <w:r>
        <w:rPr>
          <w:u w:val="single"/>
        </w:rPr>
        <w:tab/>
      </w:r>
    </w:p>
  </w:footnote>
  <w:footnote w:type="continuationSeparator" w:id="0">
    <w:p w14:paraId="12F9C481" w14:textId="77777777" w:rsidR="00F37D6C" w:rsidRPr="00AC3823" w:rsidRDefault="00F37D6C" w:rsidP="00AC3823">
      <w:pPr>
        <w:pStyle w:val="Pieddepage"/>
        <w:tabs>
          <w:tab w:val="right" w:pos="2155"/>
        </w:tabs>
        <w:spacing w:after="80" w:line="240" w:lineRule="atLeast"/>
        <w:ind w:left="680"/>
        <w:rPr>
          <w:u w:val="single"/>
        </w:rPr>
      </w:pPr>
      <w:r>
        <w:rPr>
          <w:u w:val="single"/>
        </w:rPr>
        <w:tab/>
      </w:r>
    </w:p>
  </w:footnote>
  <w:footnote w:type="continuationNotice" w:id="1">
    <w:p w14:paraId="412E4B16" w14:textId="77777777" w:rsidR="00F37D6C" w:rsidRPr="00AC3823" w:rsidRDefault="00F37D6C">
      <w:pPr>
        <w:spacing w:line="240" w:lineRule="auto"/>
        <w:rPr>
          <w:sz w:val="2"/>
          <w:szCs w:val="2"/>
        </w:rPr>
      </w:pPr>
    </w:p>
  </w:footnote>
  <w:footnote w:id="2">
    <w:p w14:paraId="61C0A461" w14:textId="77777777" w:rsidR="00DF5FAF" w:rsidRPr="00270A5C" w:rsidRDefault="00DF5FAF" w:rsidP="00DF5FAF">
      <w:pPr>
        <w:pStyle w:val="Notedebasdepage"/>
        <w:rPr>
          <w:lang w:val="fr-FR"/>
        </w:rPr>
      </w:pPr>
      <w:r>
        <w:rPr>
          <w:lang w:val="fr-FR"/>
        </w:rPr>
        <w:tab/>
      </w:r>
      <w:r w:rsidRPr="002C7228">
        <w:rPr>
          <w:rStyle w:val="Appelnotedebasdep"/>
        </w:rPr>
        <w:footnoteRef/>
      </w:r>
      <w:r>
        <w:rPr>
          <w:lang w:val="fr-FR"/>
        </w:rPr>
        <w:tab/>
        <w:t>www.unece.org/tir/tir-depositary_notification.html.</w:t>
      </w:r>
    </w:p>
  </w:footnote>
  <w:footnote w:id="3">
    <w:p w14:paraId="366F0996" w14:textId="0DED623F" w:rsidR="00DF5FAF" w:rsidRPr="00270A5C" w:rsidRDefault="00DF5FAF" w:rsidP="00DF5FAF">
      <w:pPr>
        <w:pStyle w:val="Notedebasdepage"/>
      </w:pPr>
      <w:r>
        <w:rPr>
          <w:lang w:val="fr-FR"/>
        </w:rPr>
        <w:tab/>
      </w:r>
      <w:r w:rsidRPr="002C7228">
        <w:rPr>
          <w:rStyle w:val="Appelnotedebasdep"/>
        </w:rPr>
        <w:footnoteRef/>
      </w:r>
      <w:r>
        <w:rPr>
          <w:lang w:val="fr-FR"/>
        </w:rPr>
        <w:tab/>
        <w:t>Union internationale des transports routiers.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D99" w14:textId="1289BE89" w:rsidR="00166242" w:rsidRPr="00166242" w:rsidRDefault="00166242">
    <w:pPr>
      <w:pStyle w:val="En-tte"/>
    </w:pPr>
    <w:fldSimple w:instr=" TITLE  \* MERGEFORMAT ">
      <w:r w:rsidR="00FC6C6C">
        <w:t>ECE/TRANS/2024/27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3F8A" w14:textId="6517CDE9" w:rsidR="00166242" w:rsidRPr="00166242" w:rsidRDefault="00166242" w:rsidP="00166242">
    <w:pPr>
      <w:pStyle w:val="En-tte"/>
      <w:jc w:val="right"/>
    </w:pPr>
    <w:fldSimple w:instr=" TITLE  \* MERGEFORMAT ">
      <w:r w:rsidR="00FC6C6C">
        <w:t>ECE/TRANS/2024/27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3813961">
    <w:abstractNumId w:val="12"/>
  </w:num>
  <w:num w:numId="2" w16cid:durableId="118382035">
    <w:abstractNumId w:val="11"/>
  </w:num>
  <w:num w:numId="3" w16cid:durableId="1497527694">
    <w:abstractNumId w:val="10"/>
  </w:num>
  <w:num w:numId="4" w16cid:durableId="1544057441">
    <w:abstractNumId w:val="8"/>
  </w:num>
  <w:num w:numId="5" w16cid:durableId="448086115">
    <w:abstractNumId w:val="3"/>
  </w:num>
  <w:num w:numId="6" w16cid:durableId="296573029">
    <w:abstractNumId w:val="2"/>
  </w:num>
  <w:num w:numId="7" w16cid:durableId="1360282465">
    <w:abstractNumId w:val="1"/>
  </w:num>
  <w:num w:numId="8" w16cid:durableId="470246089">
    <w:abstractNumId w:val="0"/>
  </w:num>
  <w:num w:numId="9" w16cid:durableId="472018540">
    <w:abstractNumId w:val="9"/>
  </w:num>
  <w:num w:numId="10" w16cid:durableId="1954289572">
    <w:abstractNumId w:val="7"/>
  </w:num>
  <w:num w:numId="11" w16cid:durableId="376391659">
    <w:abstractNumId w:val="6"/>
  </w:num>
  <w:num w:numId="12" w16cid:durableId="1682664508">
    <w:abstractNumId w:val="5"/>
  </w:num>
  <w:num w:numId="13" w16cid:durableId="1004626334">
    <w:abstractNumId w:val="4"/>
  </w:num>
  <w:num w:numId="14" w16cid:durableId="1448159682">
    <w:abstractNumId w:val="12"/>
  </w:num>
  <w:num w:numId="15" w16cid:durableId="141966943">
    <w:abstractNumId w:val="11"/>
  </w:num>
  <w:num w:numId="16" w16cid:durableId="1051073608">
    <w:abstractNumId w:val="10"/>
  </w:num>
  <w:num w:numId="17" w16cid:durableId="2098281928">
    <w:abstractNumId w:val="12"/>
  </w:num>
  <w:num w:numId="18" w16cid:durableId="2078433516">
    <w:abstractNumId w:val="12"/>
  </w:num>
  <w:num w:numId="19" w16cid:durableId="2117945943">
    <w:abstractNumId w:val="12"/>
  </w:num>
  <w:num w:numId="20" w16cid:durableId="713693656">
    <w:abstractNumId w:val="12"/>
  </w:num>
  <w:num w:numId="21" w16cid:durableId="691223098">
    <w:abstractNumId w:val="12"/>
  </w:num>
  <w:num w:numId="22" w16cid:durableId="1626234337">
    <w:abstractNumId w:val="12"/>
  </w:num>
  <w:num w:numId="23" w16cid:durableId="514225539">
    <w:abstractNumId w:val="12"/>
  </w:num>
  <w:num w:numId="24" w16cid:durableId="1486702758">
    <w:abstractNumId w:val="12"/>
  </w:num>
  <w:num w:numId="25" w16cid:durableId="1690527145">
    <w:abstractNumId w:val="12"/>
  </w:num>
  <w:num w:numId="26" w16cid:durableId="1369840685">
    <w:abstractNumId w:val="12"/>
  </w:num>
  <w:num w:numId="27" w16cid:durableId="1307976668">
    <w:abstractNumId w:val="12"/>
  </w:num>
  <w:num w:numId="28" w16cid:durableId="1640458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6C"/>
    <w:rsid w:val="00017F94"/>
    <w:rsid w:val="00023842"/>
    <w:rsid w:val="000334F9"/>
    <w:rsid w:val="00035285"/>
    <w:rsid w:val="00045FEB"/>
    <w:rsid w:val="0007796D"/>
    <w:rsid w:val="000B7790"/>
    <w:rsid w:val="000F7E9D"/>
    <w:rsid w:val="00111F2F"/>
    <w:rsid w:val="0014365E"/>
    <w:rsid w:val="00143C66"/>
    <w:rsid w:val="00166242"/>
    <w:rsid w:val="00176178"/>
    <w:rsid w:val="001F525A"/>
    <w:rsid w:val="00201148"/>
    <w:rsid w:val="00223272"/>
    <w:rsid w:val="0024779E"/>
    <w:rsid w:val="00257168"/>
    <w:rsid w:val="002612F7"/>
    <w:rsid w:val="002744B8"/>
    <w:rsid w:val="002832AC"/>
    <w:rsid w:val="002D7C93"/>
    <w:rsid w:val="00305801"/>
    <w:rsid w:val="003916DE"/>
    <w:rsid w:val="00421996"/>
    <w:rsid w:val="00441C3B"/>
    <w:rsid w:val="00446FE5"/>
    <w:rsid w:val="00452396"/>
    <w:rsid w:val="004772DE"/>
    <w:rsid w:val="00477EB2"/>
    <w:rsid w:val="004837D8"/>
    <w:rsid w:val="004E2799"/>
    <w:rsid w:val="004E2EED"/>
    <w:rsid w:val="004E468C"/>
    <w:rsid w:val="00533FC3"/>
    <w:rsid w:val="005453D7"/>
    <w:rsid w:val="005505B7"/>
    <w:rsid w:val="00573BE5"/>
    <w:rsid w:val="00586ED3"/>
    <w:rsid w:val="00596AA9"/>
    <w:rsid w:val="006E6B0B"/>
    <w:rsid w:val="0071601D"/>
    <w:rsid w:val="007A62E6"/>
    <w:rsid w:val="007F20FA"/>
    <w:rsid w:val="0080684C"/>
    <w:rsid w:val="00871C75"/>
    <w:rsid w:val="008776DC"/>
    <w:rsid w:val="008D5EF9"/>
    <w:rsid w:val="009446C0"/>
    <w:rsid w:val="009705C8"/>
    <w:rsid w:val="009C1CF4"/>
    <w:rsid w:val="009F6B74"/>
    <w:rsid w:val="00A244B5"/>
    <w:rsid w:val="00A3029F"/>
    <w:rsid w:val="00A30353"/>
    <w:rsid w:val="00AC3823"/>
    <w:rsid w:val="00AE323C"/>
    <w:rsid w:val="00AF0CB5"/>
    <w:rsid w:val="00B00181"/>
    <w:rsid w:val="00B00B0D"/>
    <w:rsid w:val="00B45F2E"/>
    <w:rsid w:val="00B60B44"/>
    <w:rsid w:val="00B765F7"/>
    <w:rsid w:val="00B77993"/>
    <w:rsid w:val="00BA0CA9"/>
    <w:rsid w:val="00C02897"/>
    <w:rsid w:val="00C97039"/>
    <w:rsid w:val="00CE67D3"/>
    <w:rsid w:val="00D3439C"/>
    <w:rsid w:val="00D7622E"/>
    <w:rsid w:val="00DB1831"/>
    <w:rsid w:val="00DD3BFD"/>
    <w:rsid w:val="00DF5FAF"/>
    <w:rsid w:val="00DF6678"/>
    <w:rsid w:val="00DF7CE3"/>
    <w:rsid w:val="00E0299A"/>
    <w:rsid w:val="00E85C74"/>
    <w:rsid w:val="00EA6547"/>
    <w:rsid w:val="00ED7237"/>
    <w:rsid w:val="00EF2E22"/>
    <w:rsid w:val="00F35BAF"/>
    <w:rsid w:val="00F37D6C"/>
    <w:rsid w:val="00F660DF"/>
    <w:rsid w:val="00F94664"/>
    <w:rsid w:val="00F9573C"/>
    <w:rsid w:val="00F95C08"/>
    <w:rsid w:val="00FC6C6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667"/>
  <w15:docId w15:val="{78BD08E5-0295-43F1-ABA5-5D1C2A1C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F5FA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8</Pages>
  <Words>2987</Words>
  <Characters>20914</Characters>
  <Application>Microsoft Office Word</Application>
  <DocSecurity>0</DocSecurity>
  <Lines>1742</Lines>
  <Paragraphs>956</Paragraphs>
  <ScaleCrop>false</ScaleCrop>
  <HeadingPairs>
    <vt:vector size="2" baseType="variant">
      <vt:variant>
        <vt:lpstr>Titre</vt:lpstr>
      </vt:variant>
      <vt:variant>
        <vt:i4>1</vt:i4>
      </vt:variant>
    </vt:vector>
  </HeadingPairs>
  <TitlesOfParts>
    <vt:vector size="1" baseType="lpstr">
      <vt:lpstr>ECE/TRANS/2024/27</vt:lpstr>
    </vt:vector>
  </TitlesOfParts>
  <Company>DCM</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ECE/TRANS/2024/27</dc:title>
  <dc:subject/>
  <dc:creator>Julien OKRZESIK</dc:creator>
  <cp:keywords/>
  <cp:lastModifiedBy>Julien Okrzesik</cp:lastModifiedBy>
  <cp:revision>3</cp:revision>
  <cp:lastPrinted>2023-12-28T16:53:00Z</cp:lastPrinted>
  <dcterms:created xsi:type="dcterms:W3CDTF">2023-12-28T16:53:00Z</dcterms:created>
  <dcterms:modified xsi:type="dcterms:W3CDTF">2023-12-28T16:54:00Z</dcterms:modified>
</cp:coreProperties>
</file>