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0E24A69" w14:textId="77777777" w:rsidTr="00B20551">
        <w:trPr>
          <w:cantSplit/>
          <w:trHeight w:hRule="exact" w:val="851"/>
        </w:trPr>
        <w:tc>
          <w:tcPr>
            <w:tcW w:w="1276" w:type="dxa"/>
            <w:tcBorders>
              <w:bottom w:val="single" w:sz="4" w:space="0" w:color="auto"/>
            </w:tcBorders>
            <w:vAlign w:val="bottom"/>
          </w:tcPr>
          <w:p w14:paraId="6716F317" w14:textId="77777777" w:rsidR="009E6CB7" w:rsidRDefault="009E6CB7" w:rsidP="00B20551">
            <w:pPr>
              <w:spacing w:after="80"/>
            </w:pPr>
          </w:p>
        </w:tc>
        <w:tc>
          <w:tcPr>
            <w:tcW w:w="2268" w:type="dxa"/>
            <w:tcBorders>
              <w:bottom w:val="single" w:sz="4" w:space="0" w:color="auto"/>
            </w:tcBorders>
            <w:vAlign w:val="bottom"/>
          </w:tcPr>
          <w:p w14:paraId="76789D6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3AA540" w14:textId="6B8FA1EC" w:rsidR="009E6CB7" w:rsidRPr="00D47EEA" w:rsidRDefault="00703B2D" w:rsidP="00703B2D">
            <w:pPr>
              <w:jc w:val="right"/>
            </w:pPr>
            <w:r w:rsidRPr="00703B2D">
              <w:rPr>
                <w:sz w:val="40"/>
              </w:rPr>
              <w:t>ECE</w:t>
            </w:r>
            <w:r>
              <w:t>/TRANS/WP.29/2024/15</w:t>
            </w:r>
          </w:p>
        </w:tc>
      </w:tr>
      <w:tr w:rsidR="009E6CB7" w14:paraId="7673CBDF" w14:textId="77777777" w:rsidTr="00B20551">
        <w:trPr>
          <w:cantSplit/>
          <w:trHeight w:hRule="exact" w:val="2835"/>
        </w:trPr>
        <w:tc>
          <w:tcPr>
            <w:tcW w:w="1276" w:type="dxa"/>
            <w:tcBorders>
              <w:top w:val="single" w:sz="4" w:space="0" w:color="auto"/>
              <w:bottom w:val="single" w:sz="12" w:space="0" w:color="auto"/>
            </w:tcBorders>
          </w:tcPr>
          <w:p w14:paraId="444D86E5" w14:textId="77777777" w:rsidR="009E6CB7" w:rsidRDefault="00686A48" w:rsidP="00B20551">
            <w:pPr>
              <w:spacing w:before="120"/>
            </w:pPr>
            <w:r>
              <w:rPr>
                <w:noProof/>
                <w:lang w:val="fr-CH" w:eastAsia="fr-CH"/>
              </w:rPr>
              <w:drawing>
                <wp:inline distT="0" distB="0" distL="0" distR="0" wp14:anchorId="4DF71BD5" wp14:editId="1BF39E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3CD67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D313D30" w14:textId="77777777" w:rsidR="009E6CB7" w:rsidRDefault="00703B2D" w:rsidP="00703B2D">
            <w:pPr>
              <w:spacing w:before="240" w:line="240" w:lineRule="exact"/>
            </w:pPr>
            <w:r>
              <w:t>Distr.: General</w:t>
            </w:r>
          </w:p>
          <w:p w14:paraId="291335A9" w14:textId="77777777" w:rsidR="00703B2D" w:rsidRDefault="00703B2D" w:rsidP="00703B2D">
            <w:pPr>
              <w:spacing w:line="240" w:lineRule="exact"/>
            </w:pPr>
            <w:r>
              <w:t>21 December 2023</w:t>
            </w:r>
          </w:p>
          <w:p w14:paraId="1A5976AC" w14:textId="77777777" w:rsidR="00703B2D" w:rsidRDefault="00703B2D" w:rsidP="00703B2D">
            <w:pPr>
              <w:spacing w:line="240" w:lineRule="exact"/>
            </w:pPr>
          </w:p>
          <w:p w14:paraId="51FD1DF9" w14:textId="752A6286" w:rsidR="00703B2D" w:rsidRDefault="00703B2D" w:rsidP="00703B2D">
            <w:pPr>
              <w:spacing w:line="240" w:lineRule="exact"/>
            </w:pPr>
            <w:r>
              <w:t>Original: English</w:t>
            </w:r>
          </w:p>
        </w:tc>
      </w:tr>
    </w:tbl>
    <w:p w14:paraId="22EC1642" w14:textId="77777777" w:rsidR="00703B2D" w:rsidRPr="001D703D" w:rsidRDefault="00703B2D" w:rsidP="00A36AC2">
      <w:pPr>
        <w:spacing w:before="120"/>
        <w:rPr>
          <w:b/>
          <w:sz w:val="28"/>
          <w:szCs w:val="28"/>
        </w:rPr>
      </w:pPr>
      <w:r w:rsidRPr="001D703D">
        <w:rPr>
          <w:b/>
          <w:sz w:val="28"/>
          <w:szCs w:val="28"/>
        </w:rPr>
        <w:t>Economic Commission for Europe</w:t>
      </w:r>
    </w:p>
    <w:p w14:paraId="561EA590" w14:textId="77777777" w:rsidR="00703B2D" w:rsidRPr="001D703D" w:rsidRDefault="00703B2D" w:rsidP="00A36AC2">
      <w:pPr>
        <w:spacing w:before="120"/>
        <w:rPr>
          <w:sz w:val="28"/>
          <w:szCs w:val="28"/>
        </w:rPr>
      </w:pPr>
      <w:r w:rsidRPr="001D703D">
        <w:rPr>
          <w:sz w:val="28"/>
          <w:szCs w:val="28"/>
        </w:rPr>
        <w:t>Inland Transport Committee</w:t>
      </w:r>
    </w:p>
    <w:p w14:paraId="70C25901" w14:textId="77777777" w:rsidR="00703B2D" w:rsidRPr="001D703D" w:rsidRDefault="00703B2D" w:rsidP="00A36AC2">
      <w:pPr>
        <w:spacing w:before="120"/>
        <w:rPr>
          <w:b/>
          <w:sz w:val="24"/>
          <w:szCs w:val="24"/>
        </w:rPr>
      </w:pPr>
      <w:r w:rsidRPr="001D703D">
        <w:rPr>
          <w:b/>
          <w:sz w:val="24"/>
          <w:szCs w:val="24"/>
        </w:rPr>
        <w:t>World Forum for Harmonization of Vehicle Regulations</w:t>
      </w:r>
    </w:p>
    <w:p w14:paraId="619B5B03" w14:textId="77777777" w:rsidR="00FC3D67" w:rsidRPr="006D33D9" w:rsidRDefault="00FC3D67" w:rsidP="00FC3D67">
      <w:pPr>
        <w:spacing w:before="120"/>
        <w:rPr>
          <w:b/>
          <w:lang w:val="en-US"/>
        </w:rPr>
      </w:pPr>
      <w:r>
        <w:rPr>
          <w:b/>
          <w:lang w:val="en-US"/>
        </w:rPr>
        <w:t xml:space="preserve">192nd </w:t>
      </w:r>
      <w:r w:rsidRPr="006D33D9">
        <w:rPr>
          <w:b/>
          <w:lang w:val="en-US"/>
        </w:rPr>
        <w:t>session</w:t>
      </w:r>
    </w:p>
    <w:p w14:paraId="1FFF715C" w14:textId="77777777" w:rsidR="00FC3D67" w:rsidRPr="00C64574" w:rsidRDefault="00FC3D67" w:rsidP="00FC3D67">
      <w:r w:rsidRPr="00C64574">
        <w:t xml:space="preserve">Geneva, </w:t>
      </w:r>
      <w:r>
        <w:t>5</w:t>
      </w:r>
      <w:r w:rsidRPr="002A5241">
        <w:t>–</w:t>
      </w:r>
      <w:r>
        <w:t xml:space="preserve">8 March </w:t>
      </w:r>
      <w:r w:rsidRPr="00C64574">
        <w:t>20</w:t>
      </w:r>
      <w:r>
        <w:t>24</w:t>
      </w:r>
    </w:p>
    <w:p w14:paraId="25ACA626" w14:textId="77777777" w:rsidR="00FC3D67" w:rsidRDefault="00FC3D67" w:rsidP="00FC3D67">
      <w:r>
        <w:t>Item 4.8.5 of the provisional agenda</w:t>
      </w:r>
    </w:p>
    <w:p w14:paraId="6B6EBD78" w14:textId="77777777" w:rsidR="00FC3D67" w:rsidRDefault="00FC3D67" w:rsidP="00FC3D67">
      <w:pPr>
        <w:rPr>
          <w:b/>
        </w:rPr>
      </w:pPr>
      <w:r>
        <w:rPr>
          <w:b/>
        </w:rPr>
        <w:t>1958 Agreement:</w:t>
      </w:r>
    </w:p>
    <w:p w14:paraId="1267913E" w14:textId="77777777" w:rsidR="00FC3D67" w:rsidRDefault="00FC3D67" w:rsidP="00FC3D67">
      <w:pPr>
        <w:rPr>
          <w:b/>
        </w:rPr>
      </w:pPr>
      <w:r>
        <w:rPr>
          <w:b/>
        </w:rPr>
        <w:t>Consideration of draft amendments to existing</w:t>
      </w:r>
    </w:p>
    <w:p w14:paraId="2A3BB9B0" w14:textId="77777777" w:rsidR="00FC3D67" w:rsidRDefault="00FC3D67" w:rsidP="00FC3D67">
      <w:pPr>
        <w:rPr>
          <w:b/>
          <w:bCs/>
        </w:rPr>
      </w:pPr>
      <w:r>
        <w:rPr>
          <w:b/>
        </w:rPr>
        <w:t xml:space="preserve">UN Regulations submitted by </w:t>
      </w:r>
      <w:proofErr w:type="gramStart"/>
      <w:r>
        <w:rPr>
          <w:b/>
        </w:rPr>
        <w:t>GRSG</w:t>
      </w:r>
      <w:proofErr w:type="gramEnd"/>
    </w:p>
    <w:p w14:paraId="22CBFFF8" w14:textId="77777777" w:rsidR="00740F54" w:rsidRDefault="00740F54" w:rsidP="00740F54">
      <w:pPr>
        <w:pStyle w:val="HChG"/>
        <w:ind w:left="1124" w:right="1138" w:firstLine="0"/>
      </w:pPr>
      <w:r w:rsidRPr="003C052E">
        <w:t>Proposal for 03 series of amendments to UN Regulation No.</w:t>
      </w:r>
      <w:r>
        <w:t> </w:t>
      </w:r>
      <w:r w:rsidRPr="003C052E">
        <w:t>55 (Mechanical couplings)</w:t>
      </w:r>
      <w:r>
        <w:t xml:space="preserve"> </w:t>
      </w:r>
    </w:p>
    <w:p w14:paraId="0727A48A" w14:textId="77777777" w:rsidR="00740F54" w:rsidRDefault="00740F54" w:rsidP="00740F54">
      <w:pPr>
        <w:pStyle w:val="H1G"/>
        <w:rPr>
          <w:szCs w:val="24"/>
        </w:rPr>
      </w:pPr>
      <w:r>
        <w:tab/>
      </w:r>
      <w:r>
        <w:tab/>
      </w:r>
      <w:r>
        <w:rPr>
          <w:szCs w:val="24"/>
        </w:rPr>
        <w:t>Submitted by the Working Party on General Safety Provisions</w:t>
      </w:r>
      <w:r w:rsidRPr="00CB6F40">
        <w:footnoteReference w:customMarkFollows="1" w:id="2"/>
        <w:t>*</w:t>
      </w:r>
    </w:p>
    <w:p w14:paraId="16DFF4A3" w14:textId="77777777" w:rsidR="00740F54" w:rsidRDefault="00740F54" w:rsidP="00740F54">
      <w:pPr>
        <w:pStyle w:val="SingleTxtG"/>
        <w:ind w:firstLine="567"/>
        <w:rPr>
          <w:sz w:val="24"/>
          <w:szCs w:val="24"/>
          <w:lang w:eastAsia="zh-CN"/>
        </w:rPr>
      </w:pPr>
      <w:r>
        <w:rPr>
          <w:lang w:val="en-US"/>
        </w:rPr>
        <w:t>The text reproduced below was adopted by the Working Party on General Safety Provisions (GRSG) at its 126</w:t>
      </w:r>
      <w:r w:rsidRPr="00FE4D5D">
        <w:rPr>
          <w:vertAlign w:val="superscript"/>
          <w:lang w:val="en-US"/>
        </w:rPr>
        <w:t>th</w:t>
      </w:r>
      <w:r>
        <w:rPr>
          <w:lang w:val="en-US"/>
        </w:rPr>
        <w:t xml:space="preserve"> session (EC</w:t>
      </w:r>
      <w:r w:rsidRPr="00D6385D">
        <w:rPr>
          <w:lang w:val="en-US"/>
        </w:rPr>
        <w:t>E/TRANS/WP.29/GR</w:t>
      </w:r>
      <w:r>
        <w:rPr>
          <w:lang w:val="en-US"/>
        </w:rPr>
        <w:t>SG</w:t>
      </w:r>
      <w:r w:rsidRPr="00D6385D">
        <w:rPr>
          <w:lang w:val="en-US"/>
        </w:rPr>
        <w:t>/</w:t>
      </w:r>
      <w:r>
        <w:rPr>
          <w:lang w:val="en-US"/>
        </w:rPr>
        <w:t>105</w:t>
      </w:r>
      <w:r w:rsidRPr="00D6385D">
        <w:rPr>
          <w:lang w:val="en-US"/>
        </w:rPr>
        <w:t>, para.</w:t>
      </w:r>
      <w:r w:rsidRPr="009C1B21">
        <w:rPr>
          <w:lang w:val="en-US"/>
        </w:rPr>
        <w:t xml:space="preserve"> </w:t>
      </w:r>
      <w:r>
        <w:rPr>
          <w:lang w:val="en-US"/>
        </w:rPr>
        <w:t>17).</w:t>
      </w:r>
      <w:r w:rsidRPr="00555980">
        <w:rPr>
          <w:lang w:eastAsia="en-GB"/>
        </w:rPr>
        <w:t xml:space="preserve"> </w:t>
      </w:r>
      <w:r w:rsidRPr="00FE018D">
        <w:rPr>
          <w:lang w:eastAsia="en-GB"/>
        </w:rPr>
        <w:t>ECE/TRANS/WP.29/GRSG/202</w:t>
      </w:r>
      <w:r>
        <w:rPr>
          <w:lang w:eastAsia="en-GB"/>
        </w:rPr>
        <w:t>3</w:t>
      </w:r>
      <w:r w:rsidRPr="00FE018D">
        <w:rPr>
          <w:lang w:eastAsia="en-GB"/>
        </w:rPr>
        <w:t>/</w:t>
      </w:r>
      <w:r>
        <w:rPr>
          <w:lang w:eastAsia="en-GB"/>
        </w:rPr>
        <w:t>18</w:t>
      </w:r>
      <w:r w:rsidRPr="00F1523C">
        <w:t xml:space="preserve">, as </w:t>
      </w:r>
      <w:r>
        <w:t>amended</w:t>
      </w:r>
      <w:r w:rsidRPr="00F1523C">
        <w:t xml:space="preserve"> by annex </w:t>
      </w:r>
      <w:r>
        <w:t>VI</w:t>
      </w:r>
      <w:r w:rsidRPr="00F1523C">
        <w:t xml:space="preserve"> to the report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2024 </w:t>
      </w:r>
      <w:r w:rsidRPr="00496D41">
        <w:rPr>
          <w:lang w:val="en-US"/>
        </w:rPr>
        <w:t>sessions</w:t>
      </w:r>
      <w:r>
        <w:rPr>
          <w:lang w:val="en-US"/>
        </w:rPr>
        <w:t xml:space="preserve">. </w:t>
      </w:r>
      <w:r>
        <w:rPr>
          <w:sz w:val="24"/>
          <w:szCs w:val="24"/>
          <w:lang w:eastAsia="zh-CN"/>
        </w:rPr>
        <w:t xml:space="preserve"> </w:t>
      </w:r>
    </w:p>
    <w:p w14:paraId="28B8D507" w14:textId="77777777" w:rsidR="00740F54" w:rsidRPr="006F6536" w:rsidRDefault="00740F54" w:rsidP="00740F54">
      <w:pPr>
        <w:pStyle w:val="SingleTxtG"/>
        <w:ind w:firstLine="567"/>
        <w:rPr>
          <w:szCs w:val="24"/>
        </w:rPr>
      </w:pPr>
    </w:p>
    <w:p w14:paraId="55D12FC7" w14:textId="77777777" w:rsidR="00740F54" w:rsidRPr="00687A45" w:rsidRDefault="00740F54" w:rsidP="00740F54">
      <w:pPr>
        <w:pStyle w:val="SingleTxtG"/>
        <w:ind w:left="1138" w:right="1138" w:firstLine="563"/>
      </w:pPr>
      <w:r w:rsidRPr="00687A45">
        <w:t>.</w:t>
      </w:r>
    </w:p>
    <w:p w14:paraId="5522D503" w14:textId="77777777" w:rsidR="00740F54" w:rsidRPr="00687A45" w:rsidRDefault="00740F54" w:rsidP="00740F54">
      <w:pPr>
        <w:spacing w:line="240" w:lineRule="auto"/>
      </w:pPr>
      <w:r w:rsidRPr="00687A45">
        <w:br w:type="page"/>
      </w:r>
    </w:p>
    <w:p w14:paraId="3452A743" w14:textId="77777777" w:rsidR="00740F54" w:rsidRPr="00982193" w:rsidRDefault="00740F54" w:rsidP="00740F54">
      <w:pPr>
        <w:spacing w:after="120" w:line="240" w:lineRule="auto"/>
        <w:ind w:left="567" w:firstLine="567"/>
      </w:pPr>
      <w:r w:rsidRPr="00982193">
        <w:rPr>
          <w:i/>
        </w:rPr>
        <w:lastRenderedPageBreak/>
        <w:t>Insert new paragraphs 13.6. to 13.10.</w:t>
      </w:r>
      <w:r w:rsidRPr="00982193">
        <w:rPr>
          <w:iCs/>
        </w:rPr>
        <w:t>,</w:t>
      </w:r>
      <w:r w:rsidRPr="00982193">
        <w:rPr>
          <w:i/>
        </w:rPr>
        <w:t xml:space="preserve"> </w:t>
      </w:r>
      <w:r w:rsidRPr="00982193">
        <w:t>to read:</w:t>
      </w:r>
    </w:p>
    <w:p w14:paraId="61E780A4" w14:textId="77777777" w:rsidR="00740F54" w:rsidRPr="00982193" w:rsidRDefault="00740F54" w:rsidP="00740F54">
      <w:pPr>
        <w:pStyle w:val="para"/>
      </w:pPr>
      <w:r w:rsidRPr="00982193">
        <w:t>"13.6.</w:t>
      </w:r>
      <w:r w:rsidRPr="00982193">
        <w:tab/>
        <w:t>As from the official date of entry into force of the 03 series of amendments, no Contracting Party applying this Regulation shall refuse to grant or refuse to accept type approvals under this Regulation as amended by the 03 series of amendments.</w:t>
      </w:r>
    </w:p>
    <w:p w14:paraId="093F027A" w14:textId="77777777" w:rsidR="00740F54" w:rsidRPr="00982193" w:rsidRDefault="00740F54" w:rsidP="00740F54">
      <w:pPr>
        <w:pStyle w:val="para"/>
      </w:pPr>
      <w:r w:rsidRPr="00982193">
        <w:t>13.7.</w:t>
      </w:r>
      <w:r w:rsidRPr="00982193">
        <w:tab/>
        <w:t>As from 1 September 2025, Contracting Parties applying this Regulation shall not be obliged to accept type approvals issued to the preceding series of amendments to this Regulation.</w:t>
      </w:r>
    </w:p>
    <w:p w14:paraId="514EAF34" w14:textId="77777777" w:rsidR="00740F54" w:rsidRPr="00982193" w:rsidRDefault="00740F54" w:rsidP="00740F54">
      <w:pPr>
        <w:pStyle w:val="para"/>
      </w:pPr>
      <w:r w:rsidRPr="00982193">
        <w:t>13.8.</w:t>
      </w:r>
      <w:r w:rsidRPr="00982193">
        <w:tab/>
        <w:t>Notwithstanding paragraph 13.7., Contracting Parties applying this Regulation shall continue to accept type approvals of mechanical coupling devices and components issued according to the preceding series of amendments to this Regulation.</w:t>
      </w:r>
    </w:p>
    <w:p w14:paraId="52A43029" w14:textId="77777777" w:rsidR="00740F54" w:rsidRPr="00982193" w:rsidRDefault="00740F54" w:rsidP="00740F54">
      <w:pPr>
        <w:pStyle w:val="para"/>
      </w:pPr>
      <w:r w:rsidRPr="00982193">
        <w:t>13.9.</w:t>
      </w:r>
      <w:r w:rsidRPr="00982193">
        <w:tab/>
        <w:t>Notwithstanding paragraph 13.7., Contracting Parties applying this Regulation shall continue to accept type approvals issued according to the preceding series of amendments to this Regulation, for the vehicles which are not affected by the changes introduced by the 0</w:t>
      </w:r>
      <w:r>
        <w:t>3</w:t>
      </w:r>
      <w:r w:rsidRPr="00982193">
        <w:t xml:space="preserve"> series of amendments.</w:t>
      </w:r>
    </w:p>
    <w:p w14:paraId="7FD87FAA" w14:textId="77777777" w:rsidR="00740F54" w:rsidRPr="00982193" w:rsidRDefault="00740F54" w:rsidP="00740F54">
      <w:pPr>
        <w:pStyle w:val="para"/>
      </w:pPr>
      <w:r w:rsidRPr="00982193">
        <w:t>13.10.</w:t>
      </w:r>
      <w:r w:rsidRPr="00982193">
        <w:tab/>
        <w:t>Contracting Parties applying this Regulation shall not refuse to grant type approvals according to any preceding series of amendments to this Regulation or extensions thereof."</w:t>
      </w:r>
    </w:p>
    <w:p w14:paraId="2FA696BE" w14:textId="77777777" w:rsidR="00740F54" w:rsidRDefault="00740F54" w:rsidP="00740F54">
      <w:pPr>
        <w:pStyle w:val="para"/>
        <w:spacing w:before="240"/>
        <w:rPr>
          <w:bCs/>
          <w:i/>
          <w:iCs/>
        </w:rPr>
      </w:pPr>
      <w:r>
        <w:rPr>
          <w:bCs/>
          <w:i/>
          <w:iCs/>
        </w:rPr>
        <w:t xml:space="preserve">Annex 3, </w:t>
      </w:r>
      <w:r>
        <w:rPr>
          <w:bCs/>
        </w:rPr>
        <w:t>amend to read</w:t>
      </w:r>
      <w:r>
        <w:rPr>
          <w:bCs/>
          <w:i/>
          <w:iCs/>
        </w:rPr>
        <w:t>:</w:t>
      </w:r>
    </w:p>
    <w:p w14:paraId="24F1C5C6" w14:textId="77777777" w:rsidR="00740F54" w:rsidRDefault="00740F54" w:rsidP="00740F54">
      <w:pPr>
        <w:pStyle w:val="HChG"/>
        <w:rPr>
          <w:lang w:eastAsia="en-GB"/>
        </w:rPr>
      </w:pPr>
      <w:bookmarkStart w:id="0" w:name="_Toc401757969"/>
      <w:r>
        <w:rPr>
          <w:lang w:eastAsia="en-GB"/>
        </w:rPr>
        <w:t>"Annex 3</w:t>
      </w:r>
      <w:bookmarkEnd w:id="0"/>
    </w:p>
    <w:p w14:paraId="6A3D1318" w14:textId="77777777" w:rsidR="00740F54" w:rsidRDefault="00740F54" w:rsidP="00740F54">
      <w:pPr>
        <w:pStyle w:val="HChG"/>
        <w:rPr>
          <w:lang w:eastAsia="en-GB"/>
        </w:rPr>
      </w:pPr>
      <w:r>
        <w:rPr>
          <w:position w:val="1"/>
          <w:lang w:eastAsia="en-GB"/>
        </w:rPr>
        <w:tab/>
      </w:r>
      <w:r>
        <w:rPr>
          <w:position w:val="1"/>
          <w:lang w:eastAsia="en-GB"/>
        </w:rPr>
        <w:tab/>
      </w:r>
      <w:bookmarkStart w:id="1" w:name="_Toc401757970"/>
      <w:r>
        <w:rPr>
          <w:position w:val="1"/>
          <w:lang w:eastAsia="en-GB"/>
        </w:rPr>
        <w:t>Example of an arrangement of the approval mark</w:t>
      </w:r>
      <w:bookmarkEnd w:id="1"/>
    </w:p>
    <w:p w14:paraId="44127B93" w14:textId="77777777" w:rsidR="00740F54" w:rsidRDefault="00740F54" w:rsidP="00740F54">
      <w:pPr>
        <w:widowControl w:val="0"/>
        <w:autoSpaceDE w:val="0"/>
        <w:autoSpaceDN w:val="0"/>
        <w:adjustRightInd w:val="0"/>
        <w:spacing w:before="1" w:line="240" w:lineRule="exact"/>
        <w:rPr>
          <w:sz w:val="24"/>
          <w:szCs w:val="24"/>
          <w:lang w:eastAsia="en-GB"/>
        </w:rPr>
      </w:pPr>
    </w:p>
    <w:p w14:paraId="141B99E9" w14:textId="77777777" w:rsidR="00740F54" w:rsidRDefault="00740F54" w:rsidP="00740F54">
      <w:pPr>
        <w:widowControl w:val="0"/>
        <w:autoSpaceDE w:val="0"/>
        <w:autoSpaceDN w:val="0"/>
        <w:adjustRightInd w:val="0"/>
        <w:spacing w:line="240" w:lineRule="auto"/>
        <w:ind w:left="1134" w:right="-20"/>
        <w:rPr>
          <w:lang w:eastAsia="en-GB"/>
        </w:rPr>
      </w:pPr>
      <w:r>
        <w:rPr>
          <w:noProof/>
          <w:lang w:eastAsia="en-GB"/>
        </w:rPr>
        <w:drawing>
          <wp:inline distT="0" distB="0" distL="0" distR="0" wp14:anchorId="7F7E5774" wp14:editId="2CEE049D">
            <wp:extent cx="50673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190750"/>
                    </a:xfrm>
                    <a:prstGeom prst="rect">
                      <a:avLst/>
                    </a:prstGeom>
                    <a:noFill/>
                    <a:ln>
                      <a:noFill/>
                    </a:ln>
                  </pic:spPr>
                </pic:pic>
              </a:graphicData>
            </a:graphic>
          </wp:inline>
        </w:drawing>
      </w:r>
    </w:p>
    <w:p w14:paraId="01EC3B84" w14:textId="77777777" w:rsidR="00740F54" w:rsidRDefault="00740F54" w:rsidP="00740F54">
      <w:pPr>
        <w:widowControl w:val="0"/>
        <w:autoSpaceDE w:val="0"/>
        <w:autoSpaceDN w:val="0"/>
        <w:adjustRightInd w:val="0"/>
        <w:spacing w:before="41" w:line="240" w:lineRule="auto"/>
        <w:ind w:right="1127"/>
        <w:jc w:val="right"/>
        <w:rPr>
          <w:lang w:eastAsia="en-GB"/>
        </w:rPr>
      </w:pPr>
      <w:r>
        <w:rPr>
          <w:lang w:eastAsia="en-GB"/>
        </w:rPr>
        <w:t xml:space="preserve">a = 8 </w:t>
      </w:r>
      <w:r>
        <w:rPr>
          <w:spacing w:val="-1"/>
          <w:lang w:eastAsia="en-GB"/>
        </w:rPr>
        <w:t>m</w:t>
      </w:r>
      <w:r>
        <w:rPr>
          <w:lang w:eastAsia="en-GB"/>
        </w:rPr>
        <w:t xml:space="preserve">m </w:t>
      </w:r>
      <w:r>
        <w:rPr>
          <w:spacing w:val="-1"/>
          <w:lang w:eastAsia="en-GB"/>
        </w:rPr>
        <w:t>minimum</w:t>
      </w:r>
    </w:p>
    <w:p w14:paraId="5EB3EF73" w14:textId="77777777" w:rsidR="00740F54" w:rsidRDefault="00740F54" w:rsidP="00740F54">
      <w:pPr>
        <w:widowControl w:val="0"/>
        <w:autoSpaceDE w:val="0"/>
        <w:autoSpaceDN w:val="0"/>
        <w:adjustRightInd w:val="0"/>
        <w:spacing w:line="200" w:lineRule="exact"/>
        <w:rPr>
          <w:lang w:eastAsia="en-GB"/>
        </w:rPr>
      </w:pPr>
    </w:p>
    <w:p w14:paraId="37F5E6F9" w14:textId="77777777" w:rsidR="00740F54" w:rsidRDefault="00740F54" w:rsidP="00740F54">
      <w:pPr>
        <w:pStyle w:val="SingleTxtG"/>
        <w:ind w:firstLine="567"/>
        <w:rPr>
          <w:i/>
          <w:lang w:eastAsia="en-GB"/>
        </w:rPr>
      </w:pPr>
      <w:r>
        <w:rPr>
          <w:lang w:eastAsia="en-GB"/>
        </w:rPr>
        <w:t>The mechanical coupling device or component or vehicle bearing the approval mark shown above is a device or component approved in the Netherlands (E 4), under approval number 2439, meeting the requirements of the 0</w:t>
      </w:r>
      <w:r w:rsidRPr="004C697C">
        <w:rPr>
          <w:lang w:eastAsia="en-GB"/>
        </w:rPr>
        <w:t>3</w:t>
      </w:r>
      <w:r>
        <w:rPr>
          <w:lang w:eastAsia="en-GB"/>
        </w:rPr>
        <w:t xml:space="preserve"> series of amendments to this Regulation.</w:t>
      </w:r>
    </w:p>
    <w:p w14:paraId="6FAAA0EA" w14:textId="77777777" w:rsidR="00740F54" w:rsidRDefault="00740F54" w:rsidP="00740F54">
      <w:pPr>
        <w:pStyle w:val="SingleTxtG"/>
        <w:ind w:firstLine="567"/>
        <w:rPr>
          <w:lang w:eastAsia="en-GB"/>
        </w:rPr>
      </w:pPr>
      <w:r>
        <w:rPr>
          <w:i/>
          <w:lang w:eastAsia="en-GB"/>
        </w:rPr>
        <w:t>…</w:t>
      </w:r>
      <w:r>
        <w:rPr>
          <w:lang w:eastAsia="en-GB"/>
        </w:rPr>
        <w:t xml:space="preserve"> "</w:t>
      </w:r>
    </w:p>
    <w:p w14:paraId="7FEC35A1" w14:textId="77777777" w:rsidR="00740F54" w:rsidRDefault="00740F54" w:rsidP="00740F54">
      <w:pPr>
        <w:spacing w:line="240" w:lineRule="auto"/>
        <w:rPr>
          <w:lang w:eastAsia="en-GB"/>
        </w:rPr>
      </w:pPr>
      <w:r>
        <w:rPr>
          <w:lang w:eastAsia="en-GB"/>
        </w:rPr>
        <w:br w:type="page"/>
      </w:r>
    </w:p>
    <w:p w14:paraId="23D24ED0" w14:textId="77777777" w:rsidR="00740F54" w:rsidRPr="00982193" w:rsidRDefault="00740F54" w:rsidP="00740F54">
      <w:pPr>
        <w:pStyle w:val="SingleTxtG"/>
        <w:rPr>
          <w:rFonts w:eastAsia="Malgun Gothic"/>
          <w:lang w:val="en-US" w:eastAsia="ko-KR"/>
        </w:rPr>
      </w:pPr>
      <w:r w:rsidRPr="00982193">
        <w:rPr>
          <w:rFonts w:eastAsia="Malgun Gothic"/>
          <w:i/>
          <w:iCs/>
          <w:lang w:val="en-US" w:eastAsia="ko-KR"/>
        </w:rPr>
        <w:lastRenderedPageBreak/>
        <w:t>Annex 7, paragraph 1.4. to 1.4.3.,</w:t>
      </w:r>
      <w:r w:rsidRPr="00982193">
        <w:rPr>
          <w:rFonts w:eastAsia="Malgun Gothic"/>
          <w:lang w:val="en-US" w:eastAsia="ko-KR"/>
        </w:rPr>
        <w:t xml:space="preserve"> amend to read:</w:t>
      </w:r>
    </w:p>
    <w:p w14:paraId="562635A3" w14:textId="77777777" w:rsidR="00740F54" w:rsidRPr="00982193" w:rsidRDefault="00740F54" w:rsidP="00740F54">
      <w:pPr>
        <w:pStyle w:val="para"/>
        <w:rPr>
          <w:lang w:eastAsia="en-GB"/>
        </w:rPr>
      </w:pPr>
      <w:r w:rsidRPr="00982193">
        <w:rPr>
          <w:rFonts w:eastAsia="Malgun Gothic"/>
          <w:lang w:eastAsia="ko-KR"/>
        </w:rPr>
        <w:t>"</w:t>
      </w:r>
      <w:r w:rsidRPr="00982193">
        <w:rPr>
          <w:lang w:eastAsia="en-GB"/>
        </w:rPr>
        <w:t>1.4.</w:t>
      </w:r>
      <w:r w:rsidRPr="00982193">
        <w:rPr>
          <w:lang w:eastAsia="en-GB"/>
        </w:rPr>
        <w:tab/>
        <w:t>Attachment of coupling devices and drawbars on trailers.</w:t>
      </w:r>
    </w:p>
    <w:p w14:paraId="12E49146" w14:textId="77777777" w:rsidR="00740F54" w:rsidRDefault="00740F54" w:rsidP="00740F54">
      <w:pPr>
        <w:pStyle w:val="para"/>
        <w:rPr>
          <w:lang w:eastAsia="en-GB"/>
        </w:rPr>
      </w:pPr>
      <w:r w:rsidRPr="00982193">
        <w:rPr>
          <w:lang w:eastAsia="en-GB"/>
        </w:rPr>
        <w:t>1.4.1.</w:t>
      </w:r>
      <w:r w:rsidRPr="00982193">
        <w:rPr>
          <w:lang w:eastAsia="en-GB"/>
        </w:rPr>
        <w:tab/>
        <w:t xml:space="preserve">Drawbars for centre axle trailers shall have a support device which is adjustable </w:t>
      </w:r>
      <w:r w:rsidRPr="00982193">
        <w:rPr>
          <w:rFonts w:cs="Courier New"/>
        </w:rPr>
        <w:t>in height if the bearing mass at the coupling device on the trailer exceeds 50 kg, when the trailer is</w:t>
      </w:r>
      <w:r w:rsidRPr="00982193">
        <w:rPr>
          <w:lang w:eastAsia="en-GB"/>
        </w:rPr>
        <w:t xml:space="preserve"> uniformly loaded to its technically permissible maximum mass.</w:t>
      </w:r>
    </w:p>
    <w:p w14:paraId="65A5E2D9" w14:textId="77777777" w:rsidR="00740F54" w:rsidRPr="00982193" w:rsidRDefault="00740F54" w:rsidP="00740F54">
      <w:pPr>
        <w:pStyle w:val="para"/>
        <w:ind w:firstLine="0"/>
        <w:rPr>
          <w:lang w:eastAsia="en-GB"/>
        </w:rPr>
      </w:pPr>
      <w:r w:rsidRPr="009D6E7C">
        <w:rPr>
          <w:lang w:eastAsia="en-GB"/>
        </w:rPr>
        <w:t>This requirement shall not apply in the case of trailers designed for special operations where they are normally only separated in a workshop (</w:t>
      </w:r>
      <w:proofErr w:type="gramStart"/>
      <w:r w:rsidRPr="009D6E7C">
        <w:rPr>
          <w:lang w:eastAsia="en-GB"/>
        </w:rPr>
        <w:t>i.e.</w:t>
      </w:r>
      <w:proofErr w:type="gramEnd"/>
      <w:r w:rsidRPr="009D6E7C">
        <w:rPr>
          <w:lang w:eastAsia="en-GB"/>
        </w:rPr>
        <w:t xml:space="preserve"> Class T couplings) or when loading and unloading in specifically designed operating areas.</w:t>
      </w:r>
    </w:p>
    <w:p w14:paraId="27FC966B" w14:textId="77777777" w:rsidR="00740F54" w:rsidRPr="00982193" w:rsidRDefault="00740F54" w:rsidP="00740F54">
      <w:pPr>
        <w:pStyle w:val="para"/>
        <w:rPr>
          <w:lang w:eastAsia="en-GB"/>
        </w:rPr>
      </w:pPr>
      <w:r w:rsidRPr="00982193">
        <w:rPr>
          <w:lang w:eastAsia="en-GB"/>
        </w:rPr>
        <w:t>1.4.2.</w:t>
      </w:r>
      <w:r w:rsidRPr="00982193">
        <w:rPr>
          <w:lang w:eastAsia="en-GB"/>
        </w:rPr>
        <w:tab/>
        <w:t>When attaching coupling device and drawbar to centre-axle trailers with a maximum mass, C, of more than 3.5 tonnes and more than one axle, the trailers shall be equipped with device for axle load sharing.</w:t>
      </w:r>
    </w:p>
    <w:p w14:paraId="20235CD1" w14:textId="77777777" w:rsidR="00740F54" w:rsidRPr="00982193" w:rsidRDefault="00740F54" w:rsidP="00740F54">
      <w:pPr>
        <w:pStyle w:val="para"/>
        <w:rPr>
          <w:lang w:eastAsia="en-GB"/>
        </w:rPr>
      </w:pPr>
      <w:r w:rsidRPr="00982193">
        <w:rPr>
          <w:lang w:eastAsia="en-GB"/>
        </w:rPr>
        <w:t>1.4.3.</w:t>
      </w:r>
      <w:r w:rsidRPr="00982193">
        <w:rPr>
          <w:lang w:eastAsia="en-GB"/>
        </w:rPr>
        <w:tab/>
        <w:t>Hinged drawbars shall be clear of the ground. They shall not fall below a height of 200 mm from the ground when released from the horizontal position. See also Annex 5, paragraphs 5.3. and 5.4."</w:t>
      </w:r>
    </w:p>
    <w:p w14:paraId="07AC7E85" w14:textId="77777777" w:rsidR="00740F54" w:rsidRPr="00687A45" w:rsidRDefault="00740F54" w:rsidP="00740F54">
      <w:pPr>
        <w:spacing w:before="240"/>
        <w:ind w:right="1134"/>
        <w:jc w:val="center"/>
        <w:rPr>
          <w:u w:val="single"/>
        </w:rPr>
      </w:pPr>
      <w:r w:rsidRPr="00687A45">
        <w:rPr>
          <w:u w:val="single"/>
        </w:rPr>
        <w:tab/>
      </w:r>
      <w:r w:rsidRPr="00687A45">
        <w:rPr>
          <w:u w:val="single"/>
        </w:rPr>
        <w:tab/>
      </w:r>
      <w:r w:rsidRPr="00687A45">
        <w:rPr>
          <w:u w:val="single"/>
        </w:rPr>
        <w:tab/>
      </w:r>
    </w:p>
    <w:p w14:paraId="6921A637" w14:textId="77777777" w:rsidR="001C6663" w:rsidRPr="00703B2D" w:rsidRDefault="001C6663" w:rsidP="00FC3D67">
      <w:pPr>
        <w:tabs>
          <w:tab w:val="center" w:pos="4819"/>
        </w:tabs>
        <w:spacing w:before="120"/>
      </w:pPr>
    </w:p>
    <w:sectPr w:rsidR="001C6663" w:rsidRPr="00703B2D" w:rsidSect="00703B2D">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2776" w14:textId="77777777" w:rsidR="00291A32" w:rsidRDefault="00291A32"/>
  </w:endnote>
  <w:endnote w:type="continuationSeparator" w:id="0">
    <w:p w14:paraId="62122F80" w14:textId="77777777" w:rsidR="00291A32" w:rsidRDefault="00291A32"/>
  </w:endnote>
  <w:endnote w:type="continuationNotice" w:id="1">
    <w:p w14:paraId="37287049" w14:textId="77777777" w:rsidR="00291A32" w:rsidRDefault="0029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3964" w14:textId="40933B76" w:rsidR="00703B2D" w:rsidRPr="00703B2D" w:rsidRDefault="00703B2D" w:rsidP="00703B2D">
    <w:pPr>
      <w:pStyle w:val="Footer"/>
      <w:tabs>
        <w:tab w:val="right" w:pos="9638"/>
      </w:tabs>
      <w:rPr>
        <w:sz w:val="18"/>
      </w:rPr>
    </w:pPr>
    <w:r w:rsidRPr="00703B2D">
      <w:rPr>
        <w:b/>
        <w:sz w:val="18"/>
      </w:rPr>
      <w:fldChar w:fldCharType="begin"/>
    </w:r>
    <w:r w:rsidRPr="00703B2D">
      <w:rPr>
        <w:b/>
        <w:sz w:val="18"/>
      </w:rPr>
      <w:instrText xml:space="preserve"> PAGE  \* MERGEFORMAT </w:instrText>
    </w:r>
    <w:r w:rsidRPr="00703B2D">
      <w:rPr>
        <w:b/>
        <w:sz w:val="18"/>
      </w:rPr>
      <w:fldChar w:fldCharType="separate"/>
    </w:r>
    <w:r w:rsidRPr="00703B2D">
      <w:rPr>
        <w:b/>
        <w:noProof/>
        <w:sz w:val="18"/>
      </w:rPr>
      <w:t>2</w:t>
    </w:r>
    <w:r w:rsidRPr="00703B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B7A7" w14:textId="5A993312" w:rsidR="00703B2D" w:rsidRPr="00703B2D" w:rsidRDefault="00703B2D" w:rsidP="00703B2D">
    <w:pPr>
      <w:pStyle w:val="Footer"/>
      <w:tabs>
        <w:tab w:val="right" w:pos="9638"/>
      </w:tabs>
      <w:rPr>
        <w:b/>
        <w:sz w:val="18"/>
      </w:rPr>
    </w:pPr>
    <w:r>
      <w:tab/>
    </w:r>
    <w:r w:rsidRPr="00703B2D">
      <w:rPr>
        <w:b/>
        <w:sz w:val="18"/>
      </w:rPr>
      <w:fldChar w:fldCharType="begin"/>
    </w:r>
    <w:r w:rsidRPr="00703B2D">
      <w:rPr>
        <w:b/>
        <w:sz w:val="18"/>
      </w:rPr>
      <w:instrText xml:space="preserve"> PAGE  \* MERGEFORMAT </w:instrText>
    </w:r>
    <w:r w:rsidRPr="00703B2D">
      <w:rPr>
        <w:b/>
        <w:sz w:val="18"/>
      </w:rPr>
      <w:fldChar w:fldCharType="separate"/>
    </w:r>
    <w:r w:rsidRPr="00703B2D">
      <w:rPr>
        <w:b/>
        <w:noProof/>
        <w:sz w:val="18"/>
      </w:rPr>
      <w:t>3</w:t>
    </w:r>
    <w:r w:rsidRPr="00703B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43DC" w14:textId="1984E472" w:rsidR="00F11E4A" w:rsidRDefault="00F11E4A" w:rsidP="00F11E4A">
    <w:pPr>
      <w:pStyle w:val="Footer"/>
    </w:pPr>
    <w:r w:rsidRPr="0027112F">
      <w:rPr>
        <w:noProof/>
        <w:lang w:val="en-US"/>
      </w:rPr>
      <w:drawing>
        <wp:anchor distT="0" distB="0" distL="114300" distR="114300" simplePos="0" relativeHeight="251659264" behindDoc="0" locked="1" layoutInCell="1" allowOverlap="1" wp14:anchorId="75F8389F" wp14:editId="4EA135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3C971F" w14:textId="7FF776DF" w:rsidR="00F11E4A" w:rsidRPr="00F11E4A" w:rsidRDefault="00F11E4A" w:rsidP="00F11E4A">
    <w:pPr>
      <w:pStyle w:val="Footer"/>
      <w:ind w:right="1134"/>
      <w:rPr>
        <w:sz w:val="20"/>
      </w:rPr>
    </w:pPr>
    <w:r>
      <w:rPr>
        <w:sz w:val="20"/>
      </w:rPr>
      <w:t>GE.23-25758(E)</w:t>
    </w:r>
    <w:r>
      <w:rPr>
        <w:noProof/>
        <w:sz w:val="20"/>
      </w:rPr>
      <w:drawing>
        <wp:anchor distT="0" distB="0" distL="114300" distR="114300" simplePos="0" relativeHeight="251660288" behindDoc="0" locked="0" layoutInCell="1" allowOverlap="1" wp14:anchorId="286DCE9F" wp14:editId="3F5AEDED">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D15B" w14:textId="77777777" w:rsidR="00291A32" w:rsidRPr="000B175B" w:rsidRDefault="00291A32" w:rsidP="000B175B">
      <w:pPr>
        <w:tabs>
          <w:tab w:val="right" w:pos="2155"/>
        </w:tabs>
        <w:spacing w:after="80"/>
        <w:ind w:left="680"/>
        <w:rPr>
          <w:u w:val="single"/>
        </w:rPr>
      </w:pPr>
      <w:r>
        <w:rPr>
          <w:u w:val="single"/>
        </w:rPr>
        <w:tab/>
      </w:r>
    </w:p>
  </w:footnote>
  <w:footnote w:type="continuationSeparator" w:id="0">
    <w:p w14:paraId="4EF547D5" w14:textId="77777777" w:rsidR="00291A32" w:rsidRPr="00FC68B7" w:rsidRDefault="00291A32" w:rsidP="00FC68B7">
      <w:pPr>
        <w:tabs>
          <w:tab w:val="left" w:pos="2155"/>
        </w:tabs>
        <w:spacing w:after="80"/>
        <w:ind w:left="680"/>
        <w:rPr>
          <w:u w:val="single"/>
        </w:rPr>
      </w:pPr>
      <w:r>
        <w:rPr>
          <w:u w:val="single"/>
        </w:rPr>
        <w:tab/>
      </w:r>
    </w:p>
  </w:footnote>
  <w:footnote w:type="continuationNotice" w:id="1">
    <w:p w14:paraId="2E11F4F2" w14:textId="77777777" w:rsidR="00291A32" w:rsidRDefault="00291A32"/>
  </w:footnote>
  <w:footnote w:id="2">
    <w:p w14:paraId="4233BE19" w14:textId="77777777" w:rsidR="00740F54" w:rsidRPr="00EA370C" w:rsidRDefault="00740F54" w:rsidP="00740F5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685" w14:textId="67D6C8AD" w:rsidR="00703B2D" w:rsidRPr="00703B2D" w:rsidRDefault="00701036">
    <w:pPr>
      <w:pStyle w:val="Header"/>
    </w:pPr>
    <w:r>
      <w:fldChar w:fldCharType="begin"/>
    </w:r>
    <w:r>
      <w:instrText xml:space="preserve"> TITLE  \* MERGEFORMAT </w:instrText>
    </w:r>
    <w:r>
      <w:fldChar w:fldCharType="separate"/>
    </w:r>
    <w:r w:rsidR="00703B2D">
      <w:t>ECE/TRANS/WP.29/2024/15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439C" w14:textId="778BECE5" w:rsidR="00703B2D" w:rsidRPr="00703B2D" w:rsidRDefault="00701036" w:rsidP="00703B2D">
    <w:pPr>
      <w:pStyle w:val="Header"/>
      <w:jc w:val="right"/>
    </w:pPr>
    <w:r>
      <w:fldChar w:fldCharType="begin"/>
    </w:r>
    <w:r>
      <w:instrText xml:space="preserve"> TITLE  \* MERGEFORMAT </w:instrText>
    </w:r>
    <w:r>
      <w:fldChar w:fldCharType="separate"/>
    </w:r>
    <w:r w:rsidR="00703B2D">
      <w:t>ECE/TRANS/WP.29/2024/15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46719926">
    <w:abstractNumId w:val="1"/>
  </w:num>
  <w:num w:numId="2" w16cid:durableId="654606237">
    <w:abstractNumId w:val="0"/>
  </w:num>
  <w:num w:numId="3" w16cid:durableId="1238130084">
    <w:abstractNumId w:val="2"/>
  </w:num>
  <w:num w:numId="4" w16cid:durableId="1836921436">
    <w:abstractNumId w:val="3"/>
  </w:num>
  <w:num w:numId="5" w16cid:durableId="1853491081">
    <w:abstractNumId w:val="8"/>
  </w:num>
  <w:num w:numId="6" w16cid:durableId="314573124">
    <w:abstractNumId w:val="9"/>
  </w:num>
  <w:num w:numId="7" w16cid:durableId="1532570146">
    <w:abstractNumId w:val="7"/>
  </w:num>
  <w:num w:numId="8" w16cid:durableId="545458019">
    <w:abstractNumId w:val="6"/>
  </w:num>
  <w:num w:numId="9" w16cid:durableId="1779137306">
    <w:abstractNumId w:val="5"/>
  </w:num>
  <w:num w:numId="10" w16cid:durableId="280301720">
    <w:abstractNumId w:val="4"/>
  </w:num>
  <w:num w:numId="11" w16cid:durableId="1458914378">
    <w:abstractNumId w:val="15"/>
  </w:num>
  <w:num w:numId="12" w16cid:durableId="277415701">
    <w:abstractNumId w:val="14"/>
  </w:num>
  <w:num w:numId="13" w16cid:durableId="1937060497">
    <w:abstractNumId w:val="10"/>
  </w:num>
  <w:num w:numId="14" w16cid:durableId="708148988">
    <w:abstractNumId w:val="12"/>
  </w:num>
  <w:num w:numId="15" w16cid:durableId="1244532200">
    <w:abstractNumId w:val="16"/>
  </w:num>
  <w:num w:numId="16" w16cid:durableId="62072610">
    <w:abstractNumId w:val="13"/>
  </w:num>
  <w:num w:numId="17" w16cid:durableId="1964143465">
    <w:abstractNumId w:val="17"/>
  </w:num>
  <w:num w:numId="18" w16cid:durableId="1948393407">
    <w:abstractNumId w:val="18"/>
  </w:num>
  <w:num w:numId="19" w16cid:durableId="103855314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2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1A32"/>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3B2D"/>
    <w:rsid w:val="0070701E"/>
    <w:rsid w:val="0072632A"/>
    <w:rsid w:val="007358E8"/>
    <w:rsid w:val="00736ECE"/>
    <w:rsid w:val="00740F54"/>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5779C"/>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11E4A"/>
    <w:rsid w:val="00F21786"/>
    <w:rsid w:val="00F25D06"/>
    <w:rsid w:val="00F31CFF"/>
    <w:rsid w:val="00F3742B"/>
    <w:rsid w:val="00F41FDB"/>
    <w:rsid w:val="00F50597"/>
    <w:rsid w:val="00F56D63"/>
    <w:rsid w:val="00F609A9"/>
    <w:rsid w:val="00F80C99"/>
    <w:rsid w:val="00F867EC"/>
    <w:rsid w:val="00F91B2B"/>
    <w:rsid w:val="00FC03CD"/>
    <w:rsid w:val="00FC0646"/>
    <w:rsid w:val="00FC3D67"/>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5A4F1"/>
  <w15:docId w15:val="{731ED4B9-4CA7-42AE-AEC8-12B1F443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locked/>
    <w:rsid w:val="00740F54"/>
    <w:rPr>
      <w:lang w:val="en-GB"/>
    </w:rPr>
  </w:style>
  <w:style w:type="character" w:customStyle="1" w:styleId="HChGChar">
    <w:name w:val="_ H _Ch_G Char"/>
    <w:link w:val="HChG"/>
    <w:locked/>
    <w:rsid w:val="00740F54"/>
    <w:rPr>
      <w:b/>
      <w:sz w:val="28"/>
      <w:lang w:val="en-GB"/>
    </w:rPr>
  </w:style>
  <w:style w:type="character" w:customStyle="1" w:styleId="H1GChar">
    <w:name w:val="_ H_1_G Char"/>
    <w:link w:val="H1G"/>
    <w:locked/>
    <w:rsid w:val="00740F54"/>
    <w:rPr>
      <w:b/>
      <w:sz w:val="24"/>
      <w:lang w:val="en-GB"/>
    </w:rPr>
  </w:style>
  <w:style w:type="character" w:customStyle="1" w:styleId="paraChar">
    <w:name w:val="para Char"/>
    <w:link w:val="para"/>
    <w:locked/>
    <w:rsid w:val="00740F54"/>
    <w:rPr>
      <w:lang w:val="en-GB" w:eastAsia="en-US"/>
    </w:rPr>
  </w:style>
  <w:style w:type="paragraph" w:customStyle="1" w:styleId="para">
    <w:name w:val="para"/>
    <w:basedOn w:val="SingleTxtG"/>
    <w:link w:val="paraChar"/>
    <w:qFormat/>
    <w:rsid w:val="00740F54"/>
    <w:pPr>
      <w:tabs>
        <w:tab w:val="clear" w:pos="1701"/>
        <w:tab w:val="clear" w:pos="2268"/>
        <w:tab w:val="clear" w:pos="2835"/>
      </w:tabs>
      <w:suppressAutoHyphens/>
      <w:ind w:left="2268" w:hanging="1134"/>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2.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C3D467D0-FD06-45AA-A48B-47647CCA9133}"/>
</file>

<file path=docProps/app.xml><?xml version="1.0" encoding="utf-8"?>
<Properties xmlns="http://schemas.openxmlformats.org/officeDocument/2006/extended-properties" xmlns:vt="http://schemas.openxmlformats.org/officeDocument/2006/docPropsVTypes">
  <Template>TRANS_WP29_E.dotm</Template>
  <TotalTime>0</TotalTime>
  <Pages>3</Pages>
  <Words>547</Words>
  <Characters>2989</Characters>
  <Application>Microsoft Office Word</Application>
  <DocSecurity>0</DocSecurity>
  <Lines>77</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ECE/TRANS/WP.29/2024/15</vt:lpstr>
      <vt:lpstr/>
    </vt:vector>
  </TitlesOfParts>
  <Company>CSD</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ECE/TRANS/WP.29/2024/15</dc:title>
  <dc:subject>2325758</dc:subject>
  <dc:creator>Secretariat</dc:creator>
  <cp:keywords/>
  <dc:description/>
  <cp:lastModifiedBy>Pauline Anne Escalante</cp:lastModifiedBy>
  <cp:revision>2</cp:revision>
  <cp:lastPrinted>2009-02-18T09:36:00Z</cp:lastPrinted>
  <dcterms:created xsi:type="dcterms:W3CDTF">2023-12-21T09:51:00Z</dcterms:created>
  <dcterms:modified xsi:type="dcterms:W3CDTF">2023-12-21T09:51:00Z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0x010100C351874580DE274AB11582BCB027F582</vt:lpwstr>
  </property>
</Properties>
</file>