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8363D8" w14:textId="77777777" w:rsidTr="00C97039">
        <w:trPr>
          <w:trHeight w:hRule="exact" w:val="851"/>
        </w:trPr>
        <w:tc>
          <w:tcPr>
            <w:tcW w:w="1276" w:type="dxa"/>
            <w:tcBorders>
              <w:bottom w:val="single" w:sz="4" w:space="0" w:color="auto"/>
            </w:tcBorders>
          </w:tcPr>
          <w:p w14:paraId="38B89210" w14:textId="77777777" w:rsidR="00F35BAF" w:rsidRPr="00DB58B5" w:rsidRDefault="00F35BAF" w:rsidP="000B600E"/>
        </w:tc>
        <w:tc>
          <w:tcPr>
            <w:tcW w:w="2268" w:type="dxa"/>
            <w:tcBorders>
              <w:bottom w:val="single" w:sz="4" w:space="0" w:color="auto"/>
            </w:tcBorders>
            <w:vAlign w:val="bottom"/>
          </w:tcPr>
          <w:p w14:paraId="1BC84C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2B986C" w14:textId="6A2CBE9A" w:rsidR="00F35BAF" w:rsidRPr="00DB58B5" w:rsidRDefault="000B600E" w:rsidP="000B600E">
            <w:pPr>
              <w:jc w:val="right"/>
            </w:pPr>
            <w:r w:rsidRPr="000B600E">
              <w:rPr>
                <w:sz w:val="40"/>
              </w:rPr>
              <w:t>ECE</w:t>
            </w:r>
            <w:r>
              <w:t>/TRANS/WP.15/AC.1/2024/2</w:t>
            </w:r>
          </w:p>
        </w:tc>
      </w:tr>
      <w:tr w:rsidR="00F35BAF" w:rsidRPr="00DB58B5" w14:paraId="3E5DBFA0" w14:textId="77777777" w:rsidTr="00C97039">
        <w:trPr>
          <w:trHeight w:hRule="exact" w:val="2835"/>
        </w:trPr>
        <w:tc>
          <w:tcPr>
            <w:tcW w:w="1276" w:type="dxa"/>
            <w:tcBorders>
              <w:top w:val="single" w:sz="4" w:space="0" w:color="auto"/>
              <w:bottom w:val="single" w:sz="12" w:space="0" w:color="auto"/>
            </w:tcBorders>
          </w:tcPr>
          <w:p w14:paraId="609A0BA4" w14:textId="77777777" w:rsidR="00F35BAF" w:rsidRPr="00DB58B5" w:rsidRDefault="00F35BAF" w:rsidP="00C97039">
            <w:pPr>
              <w:spacing w:before="120"/>
              <w:jc w:val="center"/>
            </w:pPr>
            <w:r>
              <w:rPr>
                <w:noProof/>
                <w:lang w:eastAsia="fr-CH"/>
              </w:rPr>
              <w:drawing>
                <wp:inline distT="0" distB="0" distL="0" distR="0" wp14:anchorId="1889E87E" wp14:editId="7DA8E5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D78E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03BE9F" w14:textId="77777777" w:rsidR="00F35BAF" w:rsidRDefault="000B600E" w:rsidP="00C97039">
            <w:pPr>
              <w:spacing w:before="240"/>
            </w:pPr>
            <w:r>
              <w:t>Distr. générale</w:t>
            </w:r>
          </w:p>
          <w:p w14:paraId="691A0F99" w14:textId="77777777" w:rsidR="000B600E" w:rsidRDefault="000B600E" w:rsidP="000B600E">
            <w:pPr>
              <w:spacing w:line="240" w:lineRule="exact"/>
            </w:pPr>
            <w:r>
              <w:t>13 décembre 2023</w:t>
            </w:r>
          </w:p>
          <w:p w14:paraId="3EA3D2B1" w14:textId="77777777" w:rsidR="000B600E" w:rsidRDefault="000B600E" w:rsidP="000B600E">
            <w:pPr>
              <w:spacing w:line="240" w:lineRule="exact"/>
            </w:pPr>
            <w:r>
              <w:t>Français</w:t>
            </w:r>
          </w:p>
          <w:p w14:paraId="4FD520F2" w14:textId="1F7DB66D" w:rsidR="000B600E" w:rsidRPr="00DB58B5" w:rsidRDefault="000B600E" w:rsidP="000B600E">
            <w:pPr>
              <w:spacing w:line="240" w:lineRule="exact"/>
            </w:pPr>
            <w:r>
              <w:t>Original : anglais</w:t>
            </w:r>
          </w:p>
        </w:tc>
      </w:tr>
    </w:tbl>
    <w:p w14:paraId="2D8D438E" w14:textId="77777777" w:rsidR="007F20FA" w:rsidRPr="000312C0" w:rsidRDefault="007F20FA" w:rsidP="007F20FA">
      <w:pPr>
        <w:spacing w:before="120"/>
        <w:rPr>
          <w:b/>
          <w:sz w:val="28"/>
          <w:szCs w:val="28"/>
        </w:rPr>
      </w:pPr>
      <w:r w:rsidRPr="000312C0">
        <w:rPr>
          <w:b/>
          <w:sz w:val="28"/>
          <w:szCs w:val="28"/>
        </w:rPr>
        <w:t>Commission économique pour l’Europe</w:t>
      </w:r>
    </w:p>
    <w:p w14:paraId="1F655DAE" w14:textId="77777777" w:rsidR="007F20FA" w:rsidRDefault="007F20FA" w:rsidP="007F20FA">
      <w:pPr>
        <w:spacing w:before="120"/>
        <w:rPr>
          <w:sz w:val="28"/>
          <w:szCs w:val="28"/>
        </w:rPr>
      </w:pPr>
      <w:r w:rsidRPr="00685843">
        <w:rPr>
          <w:sz w:val="28"/>
          <w:szCs w:val="28"/>
        </w:rPr>
        <w:t>Comité des transports intérieurs</w:t>
      </w:r>
    </w:p>
    <w:p w14:paraId="00F6AD6C" w14:textId="77777777" w:rsidR="000B600E" w:rsidRPr="009E01B8" w:rsidRDefault="000B600E" w:rsidP="00AF0CB5">
      <w:pPr>
        <w:spacing w:before="120"/>
        <w:rPr>
          <w:b/>
          <w:sz w:val="24"/>
          <w:szCs w:val="24"/>
        </w:rPr>
      </w:pPr>
      <w:r w:rsidRPr="009E01B8">
        <w:rPr>
          <w:b/>
          <w:sz w:val="24"/>
          <w:szCs w:val="24"/>
        </w:rPr>
        <w:t>Groupe de travail des transports de marchandises dangereuses</w:t>
      </w:r>
    </w:p>
    <w:p w14:paraId="1267C5C1" w14:textId="77777777" w:rsidR="000B600E" w:rsidRPr="00926E87" w:rsidRDefault="000B600E"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5E632F09" w14:textId="77777777" w:rsidR="000B600E" w:rsidRPr="00EE6614" w:rsidRDefault="000B600E" w:rsidP="000B600E">
      <w:pPr>
        <w:rPr>
          <w:lang w:val="fr-FR"/>
        </w:rPr>
      </w:pPr>
      <w:r>
        <w:rPr>
          <w:lang w:val="fr-FR"/>
        </w:rPr>
        <w:t>Berne, 25-28 mars 2024</w:t>
      </w:r>
    </w:p>
    <w:p w14:paraId="1E104DE7" w14:textId="158B6DFF" w:rsidR="000B600E" w:rsidRPr="00EE6614" w:rsidRDefault="000B600E" w:rsidP="000B600E">
      <w:pPr>
        <w:rPr>
          <w:lang w:val="fr-FR"/>
        </w:rPr>
      </w:pPr>
      <w:r>
        <w:rPr>
          <w:lang w:val="fr-FR"/>
        </w:rPr>
        <w:t>Point 5</w:t>
      </w:r>
      <w:r>
        <w:rPr>
          <w:lang w:val="fr-FR"/>
        </w:rPr>
        <w:t> </w:t>
      </w:r>
      <w:r>
        <w:rPr>
          <w:lang w:val="fr-FR"/>
        </w:rPr>
        <w:t>b) de l’ordre du jour provisoire</w:t>
      </w:r>
    </w:p>
    <w:p w14:paraId="72896464" w14:textId="3B8ADB30" w:rsidR="000B600E" w:rsidRPr="00EE6614" w:rsidRDefault="000B600E" w:rsidP="000B600E">
      <w:pPr>
        <w:rPr>
          <w:b/>
          <w:bCs/>
          <w:lang w:val="fr-FR"/>
        </w:rPr>
      </w:pPr>
      <w:r>
        <w:rPr>
          <w:b/>
          <w:bCs/>
          <w:lang w:val="fr-FR"/>
        </w:rPr>
        <w:t>Propositions d’amendements au RID, à l’ADR et à l’ADN</w:t>
      </w:r>
      <w:r>
        <w:rPr>
          <w:b/>
          <w:bCs/>
          <w:lang w:val="fr-FR"/>
        </w:rPr>
        <w:t> </w:t>
      </w:r>
      <w:r>
        <w:rPr>
          <w:b/>
          <w:bCs/>
          <w:lang w:val="fr-FR"/>
        </w:rPr>
        <w:t>:</w:t>
      </w:r>
    </w:p>
    <w:p w14:paraId="1BDD497D" w14:textId="77777777" w:rsidR="000B600E" w:rsidRPr="00EE6614" w:rsidRDefault="000B600E" w:rsidP="000B600E">
      <w:pPr>
        <w:rPr>
          <w:b/>
          <w:bCs/>
          <w:lang w:val="fr-FR"/>
        </w:rPr>
      </w:pPr>
      <w:r>
        <w:rPr>
          <w:b/>
          <w:bCs/>
          <w:lang w:val="fr-FR"/>
        </w:rPr>
        <w:t>Nouvelles propositions</w:t>
      </w:r>
    </w:p>
    <w:p w14:paraId="13590F50" w14:textId="77777777" w:rsidR="000B600E" w:rsidRPr="00EE6614" w:rsidRDefault="000B600E" w:rsidP="000B600E">
      <w:pPr>
        <w:pStyle w:val="HChG"/>
        <w:rPr>
          <w:lang w:val="fr-FR"/>
        </w:rPr>
      </w:pPr>
      <w:r>
        <w:rPr>
          <w:lang w:val="fr-FR"/>
        </w:rPr>
        <w:tab/>
      </w:r>
      <w:r>
        <w:rPr>
          <w:lang w:val="fr-FR"/>
        </w:rPr>
        <w:tab/>
        <w:t>Remplissage des conteneurs à gaz à éléments multiples</w:t>
      </w:r>
    </w:p>
    <w:p w14:paraId="5AAD2DCD" w14:textId="4680DA75" w:rsidR="000B600E" w:rsidRPr="00EE6614" w:rsidRDefault="000B600E" w:rsidP="000B600E">
      <w:pPr>
        <w:pStyle w:val="H1G"/>
        <w:rPr>
          <w:sz w:val="20"/>
          <w:vertAlign w:val="superscript"/>
          <w:lang w:val="fr-FR"/>
        </w:rPr>
      </w:pPr>
      <w:r>
        <w:rPr>
          <w:lang w:val="fr-FR"/>
        </w:rPr>
        <w:tab/>
      </w:r>
      <w:r>
        <w:rPr>
          <w:lang w:val="fr-FR"/>
        </w:rPr>
        <w:tab/>
        <w:t>Communication du Gouvernement espagnol</w:t>
      </w:r>
      <w:r w:rsidRPr="000B600E">
        <w:rPr>
          <w:rStyle w:val="Appelnotedebasdep"/>
          <w:b w:val="0"/>
          <w:bCs/>
          <w:sz w:val="20"/>
          <w:vertAlign w:val="baseline"/>
          <w:lang w:val="fr-FR"/>
        </w:rPr>
        <w:footnoteReference w:customMarkFollows="1" w:id="2"/>
        <w:t>*</w:t>
      </w:r>
      <w:r w:rsidRPr="000B600E">
        <w:rPr>
          <w:b w:val="0"/>
          <w:bCs/>
          <w:sz w:val="20"/>
          <w:vertAlign w:val="superscript"/>
          <w:lang w:val="fr-FR"/>
        </w:rPr>
        <w:t>,</w:t>
      </w:r>
      <w:r>
        <w:rPr>
          <w:b w:val="0"/>
          <w:bCs/>
          <w:sz w:val="20"/>
          <w:lang w:val="fr-FR"/>
        </w:rPr>
        <w:t xml:space="preserve"> </w:t>
      </w:r>
      <w:r w:rsidRPr="000B600E">
        <w:rPr>
          <w:rStyle w:val="Appelnotedebasdep"/>
          <w:b w:val="0"/>
          <w:bCs/>
          <w:sz w:val="20"/>
          <w:vertAlign w:val="baseline"/>
          <w:lang w:val="fr-FR"/>
        </w:rPr>
        <w:footnoteReference w:customMarkFollows="1" w:id="3"/>
        <w:t>**</w:t>
      </w:r>
    </w:p>
    <w:p w14:paraId="40C30516" w14:textId="77777777" w:rsidR="000B600E" w:rsidRPr="00EE6614" w:rsidRDefault="000B600E" w:rsidP="000B600E">
      <w:pPr>
        <w:pStyle w:val="HChG"/>
        <w:rPr>
          <w:lang w:val="fr-FR"/>
        </w:rPr>
      </w:pPr>
      <w:r>
        <w:rPr>
          <w:lang w:val="fr-FR"/>
        </w:rPr>
        <w:tab/>
      </w:r>
      <w:r>
        <w:rPr>
          <w:lang w:val="fr-FR"/>
        </w:rPr>
        <w:tab/>
        <w:t>Introduction</w:t>
      </w:r>
    </w:p>
    <w:p w14:paraId="14A70140" w14:textId="77777777" w:rsidR="000B600E" w:rsidRPr="00EE6614" w:rsidRDefault="000B600E" w:rsidP="000B600E">
      <w:pPr>
        <w:pStyle w:val="SingleTxtG"/>
        <w:rPr>
          <w:lang w:val="fr-FR"/>
        </w:rPr>
      </w:pPr>
      <w:r>
        <w:rPr>
          <w:lang w:val="fr-FR"/>
        </w:rPr>
        <w:t>1.</w:t>
      </w:r>
      <w:r>
        <w:rPr>
          <w:lang w:val="fr-FR"/>
        </w:rPr>
        <w:tab/>
        <w:t>Le chapitre 4.2 du RID et de l’ADR contient les prescriptions ci-après, propres au remplissage des conteneurs à gaz à éléments multiples (CGEM) :</w:t>
      </w:r>
    </w:p>
    <w:p w14:paraId="65E7A913" w14:textId="104C8EC8" w:rsidR="000B600E" w:rsidRPr="00EE6614" w:rsidRDefault="000B600E" w:rsidP="000B600E">
      <w:pPr>
        <w:pStyle w:val="SingleTxtG"/>
        <w:rPr>
          <w:b/>
          <w:bCs/>
          <w:lang w:val="fr-FR"/>
        </w:rPr>
      </w:pPr>
      <w:r w:rsidRPr="000B600E">
        <w:rPr>
          <w:lang w:val="fr-FR"/>
        </w:rPr>
        <w:t>«</w:t>
      </w:r>
      <w:r w:rsidRPr="000B600E">
        <w:rPr>
          <w:lang w:val="fr-FR"/>
        </w:rPr>
        <w:t> </w:t>
      </w:r>
      <w:r>
        <w:rPr>
          <w:b/>
          <w:bCs/>
          <w:lang w:val="fr-FR"/>
        </w:rPr>
        <w:t>4.2.4.5</w:t>
      </w:r>
      <w:r>
        <w:rPr>
          <w:lang w:val="fr-FR"/>
        </w:rPr>
        <w:tab/>
      </w:r>
      <w:r>
        <w:rPr>
          <w:b/>
          <w:bCs/>
          <w:lang w:val="fr-FR"/>
        </w:rPr>
        <w:t>Remplissage</w:t>
      </w:r>
    </w:p>
    <w:p w14:paraId="034E19EB" w14:textId="77777777" w:rsidR="000B600E" w:rsidRPr="00EE6614" w:rsidRDefault="000B600E" w:rsidP="000B600E">
      <w:pPr>
        <w:pStyle w:val="SingleTxtG"/>
        <w:ind w:left="2268" w:hanging="1134"/>
        <w:rPr>
          <w:lang w:val="fr-FR"/>
        </w:rPr>
      </w:pPr>
      <w:r>
        <w:rPr>
          <w:lang w:val="fr-FR"/>
        </w:rPr>
        <w:t>4.2.4.5.1</w:t>
      </w:r>
      <w:r>
        <w:rPr>
          <w:lang w:val="fr-FR"/>
        </w:rPr>
        <w:tab/>
        <w:t>Avant le remplissage, le CGEM doit être inspecté pour s’assurer qu’il est du type agréé pour le gaz à transporter et que les dispositions applicables du RID/de l’ADR sont respectées.</w:t>
      </w:r>
    </w:p>
    <w:p w14:paraId="664501F1" w14:textId="58498954" w:rsidR="000B600E" w:rsidRPr="00EE6614" w:rsidRDefault="000B600E" w:rsidP="000B600E">
      <w:pPr>
        <w:pStyle w:val="SingleTxtG"/>
        <w:ind w:left="2268" w:hanging="1134"/>
        <w:rPr>
          <w:lang w:val="fr-FR"/>
        </w:rPr>
      </w:pPr>
      <w:r>
        <w:rPr>
          <w:lang w:val="fr-FR"/>
        </w:rPr>
        <w:t>4.2.4.5.2</w:t>
      </w:r>
      <w:r>
        <w:rPr>
          <w:lang w:val="fr-FR"/>
        </w:rPr>
        <w:tab/>
        <w:t>Les éléments des CGEM doivent être remplis conformément aux pressions de service, aux taux de remplissage et aux dispositions de remplissage prescrits dans l’instruction d’emballage P200 du 4.1.4.1 pour chaque gaz spécifique utilisé pour remplir chaque élément. En aucun cas, un CGEM ou un groupe d’éléments doivent être remplis, comme unité, au-delà de la pression de service la plus basse de n’importe quel élément donné.</w:t>
      </w:r>
    </w:p>
    <w:p w14:paraId="006875E4" w14:textId="15C07959" w:rsidR="000B600E" w:rsidRPr="00EE6614" w:rsidRDefault="000B600E" w:rsidP="000B600E">
      <w:pPr>
        <w:pStyle w:val="SingleTxtG"/>
        <w:ind w:left="2268" w:hanging="1134"/>
        <w:rPr>
          <w:lang w:val="fr-FR"/>
        </w:rPr>
      </w:pPr>
      <w:r>
        <w:rPr>
          <w:lang w:val="fr-FR"/>
        </w:rPr>
        <w:t>4.2.4.5.3</w:t>
      </w:r>
      <w:r>
        <w:rPr>
          <w:lang w:val="fr-FR"/>
        </w:rPr>
        <w:tab/>
        <w:t>Les CGEM ne doivent pas être remplis au-delà de leur masse brute maximale admissible.</w:t>
      </w:r>
      <w:r>
        <w:rPr>
          <w:lang w:val="fr-FR"/>
        </w:rPr>
        <w:t> </w:t>
      </w:r>
      <w:r>
        <w:rPr>
          <w:lang w:val="fr-FR"/>
        </w:rPr>
        <w:t>».</w:t>
      </w:r>
    </w:p>
    <w:p w14:paraId="427F4F32" w14:textId="3CA4642A" w:rsidR="000B600E" w:rsidRPr="00EE6614" w:rsidRDefault="000B600E" w:rsidP="000B600E">
      <w:pPr>
        <w:pStyle w:val="SingleTxtG"/>
        <w:rPr>
          <w:lang w:val="fr-FR"/>
        </w:rPr>
      </w:pPr>
      <w:r>
        <w:rPr>
          <w:lang w:val="fr-FR"/>
        </w:rPr>
        <w:t>2.</w:t>
      </w:r>
      <w:r>
        <w:rPr>
          <w:lang w:val="fr-FR"/>
        </w:rPr>
        <w:tab/>
        <w:t>Les CGEM visés au chapitre 4.2 sont des CGEM «</w:t>
      </w:r>
      <w:r>
        <w:rPr>
          <w:lang w:val="fr-FR"/>
        </w:rPr>
        <w:t> </w:t>
      </w:r>
      <w:r>
        <w:rPr>
          <w:lang w:val="fr-FR"/>
        </w:rPr>
        <w:t>UN</w:t>
      </w:r>
      <w:r>
        <w:rPr>
          <w:lang w:val="fr-FR"/>
        </w:rPr>
        <w:t> </w:t>
      </w:r>
      <w:r>
        <w:rPr>
          <w:lang w:val="fr-FR"/>
        </w:rPr>
        <w:t>», or les prescriptions générales énoncées au chapitre 4.1 et les prescriptions particulières applicables aux CGEM autres que les CGEM «</w:t>
      </w:r>
      <w:r>
        <w:rPr>
          <w:lang w:val="fr-FR"/>
        </w:rPr>
        <w:t> </w:t>
      </w:r>
      <w:r>
        <w:rPr>
          <w:lang w:val="fr-FR"/>
        </w:rPr>
        <w:t>UN</w:t>
      </w:r>
      <w:r>
        <w:rPr>
          <w:lang w:val="fr-FR"/>
        </w:rPr>
        <w:t> </w:t>
      </w:r>
      <w:r>
        <w:rPr>
          <w:lang w:val="fr-FR"/>
        </w:rPr>
        <w:t>» sont moins détaillées en ce qui concerne le remplissage.</w:t>
      </w:r>
    </w:p>
    <w:p w14:paraId="290E00D1" w14:textId="1BB1BFD6" w:rsidR="000B600E" w:rsidRPr="00EE6614" w:rsidRDefault="000B600E" w:rsidP="000B600E">
      <w:pPr>
        <w:pStyle w:val="SingleTxtG"/>
        <w:rPr>
          <w:lang w:val="fr-FR"/>
        </w:rPr>
      </w:pPr>
      <w:r>
        <w:rPr>
          <w:lang w:val="fr-FR"/>
        </w:rPr>
        <w:t>3.</w:t>
      </w:r>
      <w:r>
        <w:rPr>
          <w:lang w:val="fr-FR"/>
        </w:rPr>
        <w:tab/>
        <w:t xml:space="preserve">Les prescriptions du 4.2.4.5 devraient s’appliquer au remplissage </w:t>
      </w:r>
      <w:r w:rsidRPr="009C6C8F">
        <w:rPr>
          <w:lang w:val="fr-FR"/>
        </w:rPr>
        <w:t xml:space="preserve">non seulement </w:t>
      </w:r>
      <w:r>
        <w:rPr>
          <w:lang w:val="fr-FR"/>
        </w:rPr>
        <w:t>des CGEM «</w:t>
      </w:r>
      <w:r>
        <w:rPr>
          <w:lang w:val="fr-FR"/>
        </w:rPr>
        <w:t> </w:t>
      </w:r>
      <w:r>
        <w:rPr>
          <w:lang w:val="fr-FR"/>
        </w:rPr>
        <w:t>UN</w:t>
      </w:r>
      <w:r>
        <w:rPr>
          <w:lang w:val="fr-FR"/>
        </w:rPr>
        <w:t> </w:t>
      </w:r>
      <w:r>
        <w:rPr>
          <w:lang w:val="fr-FR"/>
        </w:rPr>
        <w:t xml:space="preserve">» mais aussi des autres CGEM car il s’agit de dispositions de sécurité d’ordre </w:t>
      </w:r>
      <w:r>
        <w:rPr>
          <w:lang w:val="fr-FR"/>
        </w:rPr>
        <w:lastRenderedPageBreak/>
        <w:t>général qui concernent tous les types de CGEM. L’Espagne estime donc qu’il est nécessaire de faire figurer au chapitre 4.3 les prescriptions énoncées au 4.2.4.5.</w:t>
      </w:r>
    </w:p>
    <w:p w14:paraId="19421703" w14:textId="3D6CD885" w:rsidR="000B600E" w:rsidRPr="00EE6614" w:rsidRDefault="000B600E" w:rsidP="000B600E">
      <w:pPr>
        <w:pStyle w:val="HChG"/>
        <w:rPr>
          <w:lang w:val="fr-FR"/>
        </w:rPr>
      </w:pPr>
      <w:r>
        <w:rPr>
          <w:lang w:val="fr-FR"/>
        </w:rPr>
        <w:tab/>
      </w:r>
      <w:r>
        <w:rPr>
          <w:lang w:val="fr-FR"/>
        </w:rPr>
        <w:t>I.</w:t>
      </w:r>
      <w:r>
        <w:rPr>
          <w:lang w:val="fr-FR"/>
        </w:rPr>
        <w:tab/>
        <w:t>Proposition</w:t>
      </w:r>
    </w:p>
    <w:p w14:paraId="177993B3" w14:textId="77777777" w:rsidR="000B600E" w:rsidRPr="00EE6614" w:rsidRDefault="000B600E" w:rsidP="000B600E">
      <w:pPr>
        <w:pStyle w:val="SingleTxtG"/>
        <w:rPr>
          <w:lang w:val="fr-FR"/>
        </w:rPr>
      </w:pPr>
      <w:r>
        <w:rPr>
          <w:lang w:val="fr-FR"/>
        </w:rPr>
        <w:t>4.</w:t>
      </w:r>
      <w:r>
        <w:rPr>
          <w:lang w:val="fr-FR"/>
        </w:rPr>
        <w:tab/>
        <w:t>Il est proposé soit de faire référence au 4.2.4.5 dans le chapitre 4.3, soit d’y ajouter les mêmes dispositions, à l’emplacement qui convient.</w:t>
      </w:r>
    </w:p>
    <w:p w14:paraId="2E240A0D" w14:textId="77777777" w:rsidR="000B600E" w:rsidRPr="00EE6614" w:rsidRDefault="000B600E" w:rsidP="000B600E">
      <w:pPr>
        <w:pStyle w:val="SingleTxtG"/>
        <w:rPr>
          <w:b/>
          <w:bCs/>
          <w:u w:val="single"/>
          <w:lang w:val="fr-FR"/>
        </w:rPr>
      </w:pPr>
      <w:r>
        <w:rPr>
          <w:b/>
          <w:bCs/>
          <w:u w:val="single"/>
          <w:lang w:val="fr-FR"/>
        </w:rPr>
        <w:t>Option 1</w:t>
      </w:r>
    </w:p>
    <w:p w14:paraId="37A26E43" w14:textId="0D194299" w:rsidR="000B600E" w:rsidRPr="00EE6614" w:rsidRDefault="000B600E" w:rsidP="000B600E">
      <w:pPr>
        <w:pStyle w:val="SingleTxtG"/>
        <w:rPr>
          <w:lang w:val="fr-FR"/>
        </w:rPr>
      </w:pPr>
      <w:r>
        <w:rPr>
          <w:lang w:val="fr-FR"/>
        </w:rPr>
        <w:t>5.</w:t>
      </w:r>
      <w:r>
        <w:rPr>
          <w:lang w:val="fr-FR"/>
        </w:rPr>
        <w:tab/>
        <w:t>Ajouter le nouveau 4.3.3.2.5, libellé comme suit</w:t>
      </w:r>
      <w:r>
        <w:rPr>
          <w:lang w:val="fr-FR"/>
        </w:rPr>
        <w:t> </w:t>
      </w:r>
      <w:r>
        <w:rPr>
          <w:lang w:val="fr-FR"/>
        </w:rPr>
        <w:t>:</w:t>
      </w:r>
    </w:p>
    <w:p w14:paraId="6D6CDC80" w14:textId="7134CE4D" w:rsidR="000B600E" w:rsidRPr="00EE6614" w:rsidRDefault="000B600E" w:rsidP="000B600E">
      <w:pPr>
        <w:pStyle w:val="SingleTxtG"/>
        <w:ind w:left="2268" w:hanging="1134"/>
        <w:rPr>
          <w:bCs/>
          <w:lang w:val="fr-FR"/>
        </w:rPr>
      </w:pPr>
      <w:r>
        <w:rPr>
          <w:lang w:val="fr-FR"/>
        </w:rPr>
        <w:t>«</w:t>
      </w:r>
      <w:r>
        <w:rPr>
          <w:lang w:val="fr-FR"/>
        </w:rPr>
        <w:t> </w:t>
      </w:r>
      <w:r>
        <w:rPr>
          <w:lang w:val="fr-FR"/>
        </w:rPr>
        <w:t>4.3.3.2.5</w:t>
      </w:r>
      <w:r>
        <w:rPr>
          <w:lang w:val="fr-FR"/>
        </w:rPr>
        <w:tab/>
        <w:t>Les CGEM doivent être remplis conformément au 4.2.4.5.</w:t>
      </w:r>
      <w:r>
        <w:rPr>
          <w:lang w:val="fr-FR"/>
        </w:rPr>
        <w:t> </w:t>
      </w:r>
      <w:r>
        <w:rPr>
          <w:lang w:val="fr-FR"/>
        </w:rPr>
        <w:t>».</w:t>
      </w:r>
    </w:p>
    <w:p w14:paraId="04540461" w14:textId="77777777" w:rsidR="000B600E" w:rsidRPr="00EE6614" w:rsidRDefault="000B600E" w:rsidP="000B600E">
      <w:pPr>
        <w:pStyle w:val="SingleTxtG"/>
        <w:rPr>
          <w:b/>
          <w:bCs/>
          <w:u w:val="single"/>
          <w:lang w:val="fr-FR"/>
        </w:rPr>
      </w:pPr>
      <w:r>
        <w:rPr>
          <w:b/>
          <w:bCs/>
          <w:u w:val="single"/>
          <w:lang w:val="fr-FR"/>
        </w:rPr>
        <w:t>Option 2</w:t>
      </w:r>
    </w:p>
    <w:p w14:paraId="2638A3AE" w14:textId="2595AC3C" w:rsidR="000B600E" w:rsidRPr="00EE6614" w:rsidRDefault="000B600E" w:rsidP="000B600E">
      <w:pPr>
        <w:pStyle w:val="SingleTxtG"/>
        <w:rPr>
          <w:lang w:val="fr-FR"/>
        </w:rPr>
      </w:pPr>
      <w:r>
        <w:rPr>
          <w:lang w:val="fr-FR"/>
        </w:rPr>
        <w:t>6.</w:t>
      </w:r>
      <w:r>
        <w:rPr>
          <w:lang w:val="fr-FR"/>
        </w:rPr>
        <w:tab/>
        <w:t xml:space="preserve">Ajouter le nouveau 4.3.3.2.5, libellé comme suit </w:t>
      </w:r>
      <w:r w:rsidRPr="00C63E4B">
        <w:rPr>
          <w:lang w:val="fr-FR"/>
        </w:rPr>
        <w:t>(</w:t>
      </w:r>
      <w:r>
        <w:rPr>
          <w:lang w:val="fr-FR"/>
        </w:rPr>
        <w:t xml:space="preserve">dispositions </w:t>
      </w:r>
      <w:r w:rsidRPr="00C63E4B">
        <w:rPr>
          <w:lang w:val="fr-FR"/>
        </w:rPr>
        <w:t>identique</w:t>
      </w:r>
      <w:r>
        <w:rPr>
          <w:lang w:val="fr-FR"/>
        </w:rPr>
        <w:t>s</w:t>
      </w:r>
      <w:r w:rsidRPr="00C63E4B">
        <w:rPr>
          <w:lang w:val="fr-FR"/>
        </w:rPr>
        <w:t xml:space="preserve"> aux 4.2.4.5.1 à 4.2.4.5.3)</w:t>
      </w:r>
      <w:r>
        <w:rPr>
          <w:lang w:val="fr-FR"/>
        </w:rPr>
        <w:t> </w:t>
      </w:r>
      <w:r>
        <w:rPr>
          <w:lang w:val="fr-FR"/>
        </w:rPr>
        <w:t>:</w:t>
      </w:r>
    </w:p>
    <w:p w14:paraId="65EC04A7" w14:textId="03B6CA0D" w:rsidR="000B600E" w:rsidRPr="00EE6614" w:rsidRDefault="000B600E" w:rsidP="000B600E">
      <w:pPr>
        <w:pStyle w:val="SingleTxtG"/>
        <w:ind w:left="2268" w:hanging="1134"/>
        <w:rPr>
          <w:rFonts w:cs="Arial"/>
          <w:bCs/>
          <w:lang w:val="fr-FR"/>
        </w:rPr>
      </w:pPr>
      <w:r>
        <w:rPr>
          <w:lang w:val="fr-FR"/>
        </w:rPr>
        <w:t>«</w:t>
      </w:r>
      <w:r>
        <w:rPr>
          <w:lang w:val="fr-FR"/>
        </w:rPr>
        <w:t> </w:t>
      </w:r>
      <w:r>
        <w:rPr>
          <w:lang w:val="fr-FR"/>
        </w:rPr>
        <w:t>4.3.3.2.5</w:t>
      </w:r>
      <w:r>
        <w:rPr>
          <w:lang w:val="fr-FR"/>
        </w:rPr>
        <w:tab/>
        <w:t>Avant le remplissage, le CGEM doit être inspecté pour s’assurer qu’il est du type agréé pour le gaz à transporter et que les dispositions applicables du RID/de l’ADR sont respectées. Les éléments des CGEM doivent être remplis conformément aux pressions de service, aux taux de remplissage et aux dispositions de remplissage prescrits dans l’instruction d’emballage P200 du 4.1.4.1 pour chaque gaz spécifique utilisé pour remplir chaque élément. En aucun cas, un CGEM ou un groupe d’éléments doivent être remplis, comme unité, au-delà de la pression de service la plus basse de n’importe quel élément donné. Les CGEM ne doivent pas être remplis au-delà de leur masse brute maximale admissible.</w:t>
      </w:r>
      <w:r>
        <w:rPr>
          <w:lang w:val="fr-FR"/>
        </w:rPr>
        <w:t> </w:t>
      </w:r>
      <w:r>
        <w:rPr>
          <w:lang w:val="fr-FR"/>
        </w:rPr>
        <w:t>».</w:t>
      </w:r>
    </w:p>
    <w:p w14:paraId="2A7B6E95" w14:textId="16720CD9" w:rsidR="000B600E" w:rsidRPr="00EE6614" w:rsidRDefault="000B600E" w:rsidP="000B600E">
      <w:pPr>
        <w:pStyle w:val="HChG"/>
        <w:rPr>
          <w:lang w:val="fr-FR"/>
        </w:rPr>
      </w:pPr>
      <w:r>
        <w:rPr>
          <w:lang w:val="fr-FR"/>
        </w:rPr>
        <w:tab/>
      </w:r>
      <w:r>
        <w:rPr>
          <w:lang w:val="fr-FR"/>
        </w:rPr>
        <w:t>II.</w:t>
      </w:r>
      <w:r>
        <w:rPr>
          <w:lang w:val="fr-FR"/>
        </w:rPr>
        <w:tab/>
        <w:t>Amendements de conséquence</w:t>
      </w:r>
    </w:p>
    <w:p w14:paraId="5C4E23E4" w14:textId="77777777" w:rsidR="000B600E" w:rsidRPr="00EE6614" w:rsidRDefault="000B600E" w:rsidP="000B600E">
      <w:pPr>
        <w:pStyle w:val="SingleTxtG"/>
        <w:rPr>
          <w:lang w:val="fr-FR"/>
        </w:rPr>
      </w:pPr>
      <w:r>
        <w:rPr>
          <w:lang w:val="fr-FR"/>
        </w:rPr>
        <w:t>7.</w:t>
      </w:r>
      <w:r>
        <w:rPr>
          <w:lang w:val="fr-FR"/>
        </w:rPr>
        <w:tab/>
        <w:t>Le 4.3.3.2.5 devient le 4.3.3.2.6.</w:t>
      </w:r>
    </w:p>
    <w:p w14:paraId="3CC3D2E5" w14:textId="2849305F" w:rsidR="000B600E" w:rsidRPr="00EE6614" w:rsidRDefault="000B600E" w:rsidP="000B600E">
      <w:pPr>
        <w:pStyle w:val="SingleTxtG"/>
        <w:rPr>
          <w:lang w:val="fr-FR"/>
        </w:rPr>
      </w:pPr>
      <w:r>
        <w:rPr>
          <w:lang w:val="fr-FR"/>
        </w:rPr>
        <w:t>8.</w:t>
      </w:r>
      <w:r>
        <w:rPr>
          <w:lang w:val="fr-FR"/>
        </w:rPr>
        <w:tab/>
        <w:t>Modifier les 4.3.3.1.1, 6.8.2.4.1 et 6.8.3.4.2 comme suit</w:t>
      </w:r>
      <w:r>
        <w:rPr>
          <w:lang w:val="fr-FR"/>
        </w:rPr>
        <w:t> </w:t>
      </w:r>
      <w:r>
        <w:rPr>
          <w:lang w:val="fr-FR"/>
        </w:rPr>
        <w:t>:</w:t>
      </w:r>
    </w:p>
    <w:p w14:paraId="3F7E78B4" w14:textId="1516A6E6" w:rsidR="000B600E" w:rsidRPr="00EE6614" w:rsidRDefault="000B600E" w:rsidP="000B600E">
      <w:pPr>
        <w:pStyle w:val="SingleTxtG"/>
        <w:ind w:left="2268" w:hanging="1134"/>
        <w:rPr>
          <w:lang w:val="fr-FR"/>
        </w:rPr>
      </w:pPr>
      <w:r>
        <w:rPr>
          <w:lang w:val="fr-FR"/>
        </w:rPr>
        <w:t>« </w:t>
      </w:r>
      <w:r>
        <w:rPr>
          <w:lang w:val="fr-FR"/>
        </w:rPr>
        <w:t>4.3.3.1.1</w:t>
      </w:r>
      <w:r>
        <w:rPr>
          <w:lang w:val="fr-FR"/>
        </w:rPr>
        <w:tab/>
        <w:t xml:space="preserve">Dans la ligne 2, </w:t>
      </w:r>
      <w:r>
        <w:t>“</w:t>
      </w:r>
      <w:r>
        <w:rPr>
          <w:lang w:val="fr-FR"/>
        </w:rPr>
        <w:t>Pression de calcul</w:t>
      </w:r>
      <w:r>
        <w:t>”</w:t>
      </w:r>
      <w:r>
        <w:rPr>
          <w:lang w:val="fr-FR"/>
        </w:rPr>
        <w:t xml:space="preserve">, colonne </w:t>
      </w:r>
      <w:r>
        <w:t>“</w:t>
      </w:r>
      <w:r>
        <w:rPr>
          <w:lang w:val="fr-FR"/>
        </w:rPr>
        <w:t>Code-citerne</w:t>
      </w:r>
      <w:r>
        <w:t>”</w:t>
      </w:r>
      <w:r>
        <w:rPr>
          <w:lang w:val="fr-FR"/>
        </w:rPr>
        <w:t xml:space="preserve">, du tableau, </w:t>
      </w:r>
      <w:r>
        <w:t>“</w:t>
      </w:r>
      <w:r>
        <w:rPr>
          <w:lang w:val="fr-FR"/>
        </w:rPr>
        <w:t>4.3.2.2.5</w:t>
      </w:r>
      <w:r>
        <w:t>”</w:t>
      </w:r>
      <w:r>
        <w:rPr>
          <w:lang w:val="fr-FR"/>
        </w:rPr>
        <w:t xml:space="preserve"> devient </w:t>
      </w:r>
      <w:r>
        <w:t>“</w:t>
      </w:r>
      <w:r>
        <w:rPr>
          <w:lang w:val="fr-FR"/>
        </w:rPr>
        <w:t>4.3.2.2.6</w:t>
      </w:r>
      <w:r>
        <w:t>”</w:t>
      </w:r>
      <w:r>
        <w:rPr>
          <w:lang w:val="fr-FR"/>
        </w:rPr>
        <w:t xml:space="preserve"> dans la définition de </w:t>
      </w:r>
      <w:r>
        <w:t>“</w:t>
      </w:r>
      <w:r>
        <w:rPr>
          <w:lang w:val="fr-FR"/>
        </w:rPr>
        <w:t>X</w:t>
      </w:r>
      <w:r>
        <w:t>”</w:t>
      </w:r>
      <w:r>
        <w:rPr>
          <w:lang w:val="fr-FR"/>
        </w:rPr>
        <w:t>.</w:t>
      </w:r>
    </w:p>
    <w:p w14:paraId="71E95F3D" w14:textId="3DCE5730" w:rsidR="000B600E" w:rsidRPr="00EE6614" w:rsidRDefault="000B600E" w:rsidP="000B600E">
      <w:pPr>
        <w:pStyle w:val="SingleTxtG"/>
        <w:rPr>
          <w:b/>
          <w:bCs/>
          <w:lang w:val="fr-FR"/>
        </w:rPr>
      </w:pPr>
      <w:r>
        <w:rPr>
          <w:lang w:val="fr-FR"/>
        </w:rPr>
        <w:t>6.8.2.4.1</w:t>
      </w:r>
      <w:r>
        <w:rPr>
          <w:lang w:val="fr-FR"/>
        </w:rPr>
        <w:tab/>
        <w:t xml:space="preserve">Dans la phrase suivant le tableau, </w:t>
      </w:r>
      <w:r>
        <w:t>“</w:t>
      </w:r>
      <w:r>
        <w:rPr>
          <w:lang w:val="fr-FR"/>
        </w:rPr>
        <w:t>4.3.3.2.5</w:t>
      </w:r>
      <w:r>
        <w:t>”</w:t>
      </w:r>
      <w:r>
        <w:rPr>
          <w:lang w:val="fr-FR"/>
        </w:rPr>
        <w:t xml:space="preserve"> devient </w:t>
      </w:r>
      <w:r>
        <w:t>“</w:t>
      </w:r>
      <w:r>
        <w:rPr>
          <w:lang w:val="fr-FR"/>
        </w:rPr>
        <w:t>4.3.3.2.6</w:t>
      </w:r>
      <w:r>
        <w:t>”</w:t>
      </w:r>
      <w:r>
        <w:rPr>
          <w:lang w:val="fr-FR"/>
        </w:rPr>
        <w:t>.</w:t>
      </w:r>
    </w:p>
    <w:p w14:paraId="20F79CCD" w14:textId="662C1A70" w:rsidR="000B600E" w:rsidRPr="00EE6614" w:rsidRDefault="000B600E" w:rsidP="000B600E">
      <w:pPr>
        <w:pStyle w:val="SingleTxtG"/>
        <w:rPr>
          <w:lang w:val="fr-FR"/>
        </w:rPr>
      </w:pPr>
      <w:r>
        <w:rPr>
          <w:lang w:val="fr-FR"/>
        </w:rPr>
        <w:t>6.8.3.4.2</w:t>
      </w:r>
      <w:r>
        <w:rPr>
          <w:lang w:val="fr-FR"/>
        </w:rPr>
        <w:tab/>
      </w:r>
      <w:r>
        <w:t>“</w:t>
      </w:r>
      <w:r>
        <w:rPr>
          <w:lang w:val="fr-FR"/>
        </w:rPr>
        <w:t>4.3.3.2.5</w:t>
      </w:r>
      <w:r>
        <w:t>”</w:t>
      </w:r>
      <w:r>
        <w:rPr>
          <w:lang w:val="fr-FR"/>
        </w:rPr>
        <w:t xml:space="preserve"> devient </w:t>
      </w:r>
      <w:r>
        <w:t>“</w:t>
      </w:r>
      <w:r>
        <w:rPr>
          <w:lang w:val="fr-FR"/>
        </w:rPr>
        <w:t>4.3.3.2.6</w:t>
      </w:r>
      <w:r>
        <w:t>”</w:t>
      </w:r>
      <w:r>
        <w:t>.</w:t>
      </w:r>
      <w:r>
        <w:rPr>
          <w:lang w:val="fr-FR"/>
        </w:rPr>
        <w:t> </w:t>
      </w:r>
      <w:r>
        <w:rPr>
          <w:lang w:val="fr-FR"/>
        </w:rPr>
        <w:t>».</w:t>
      </w:r>
    </w:p>
    <w:p w14:paraId="56471ED7" w14:textId="44FF3831" w:rsidR="000B600E" w:rsidRPr="00EE6614" w:rsidRDefault="000B600E" w:rsidP="000B600E">
      <w:pPr>
        <w:pStyle w:val="HChG"/>
        <w:rPr>
          <w:lang w:val="fr-FR"/>
        </w:rPr>
      </w:pPr>
      <w:r>
        <w:rPr>
          <w:lang w:val="fr-FR"/>
        </w:rPr>
        <w:tab/>
      </w:r>
      <w:r>
        <w:rPr>
          <w:lang w:val="fr-FR"/>
        </w:rPr>
        <w:t>III.</w:t>
      </w:r>
      <w:r>
        <w:rPr>
          <w:lang w:val="fr-FR"/>
        </w:rPr>
        <w:tab/>
        <w:t>Justification</w:t>
      </w:r>
    </w:p>
    <w:p w14:paraId="01770B0E" w14:textId="77777777" w:rsidR="000B600E" w:rsidRPr="00EE6614" w:rsidRDefault="000B600E" w:rsidP="000B600E">
      <w:pPr>
        <w:pStyle w:val="SingleTxtG"/>
        <w:rPr>
          <w:lang w:val="fr-FR"/>
        </w:rPr>
      </w:pPr>
      <w:r>
        <w:rPr>
          <w:lang w:val="fr-FR"/>
        </w:rPr>
        <w:t>9.</w:t>
      </w:r>
      <w:r>
        <w:rPr>
          <w:lang w:val="fr-FR"/>
        </w:rPr>
        <w:tab/>
        <w:t>La présente proposition a pour but de faire figurer au chapitre 4.3 les prescriptions qui conviennent concernant le remplissage des CGEM.</w:t>
      </w:r>
    </w:p>
    <w:p w14:paraId="4EEFCF9B" w14:textId="6546D58D" w:rsidR="000B600E" w:rsidRPr="00EE6614" w:rsidRDefault="000B600E" w:rsidP="000B600E">
      <w:pPr>
        <w:pStyle w:val="SingleTxtG"/>
        <w:rPr>
          <w:lang w:val="fr-FR"/>
        </w:rPr>
      </w:pPr>
      <w:r>
        <w:rPr>
          <w:lang w:val="fr-FR"/>
        </w:rPr>
        <w:t>10.</w:t>
      </w:r>
      <w:r>
        <w:rPr>
          <w:lang w:val="fr-FR"/>
        </w:rPr>
        <w:tab/>
        <w:t xml:space="preserve">Le fait d’adopter une approche plus systématique et plus logique dans le RID et l’ADR permet de clarifier le cadre juridique et d’éviter que des critères différents soient appliqués selon les Parties contractantes ou les États parties et les services de contrôle, ce qui est conforme à l’objectif de développement durable </w:t>
      </w:r>
      <w:r w:rsidRPr="000B600E">
        <w:rPr>
          <w:rFonts w:eastAsia="MS Mincho"/>
          <w:lang w:val="fr-FR"/>
        </w:rPr>
        <w:t>n</w:t>
      </w:r>
      <w:r w:rsidRPr="000B600E">
        <w:rPr>
          <w:rFonts w:eastAsia="MS Mincho"/>
          <w:vertAlign w:val="superscript"/>
          <w:lang w:val="fr-FR"/>
        </w:rPr>
        <w:t>o</w:t>
      </w:r>
      <w:r>
        <w:rPr>
          <w:lang w:val="fr-FR"/>
        </w:rPr>
        <w:t xml:space="preserve"> </w:t>
      </w:r>
      <w:r>
        <w:rPr>
          <w:lang w:val="fr-FR"/>
        </w:rPr>
        <w:t>16 (Paix, justice et institutions efficaces).</w:t>
      </w:r>
    </w:p>
    <w:p w14:paraId="60FC5E00" w14:textId="5472DD18" w:rsidR="000B600E" w:rsidRPr="00EE6614" w:rsidRDefault="000B600E" w:rsidP="000B600E">
      <w:pPr>
        <w:pStyle w:val="SingleTxtG"/>
        <w:rPr>
          <w:lang w:val="fr-FR"/>
        </w:rPr>
      </w:pPr>
      <w:r>
        <w:rPr>
          <w:lang w:val="fr-FR"/>
        </w:rPr>
        <w:t>11.</w:t>
      </w:r>
      <w:r>
        <w:rPr>
          <w:lang w:val="fr-FR"/>
        </w:rPr>
        <w:tab/>
        <w:t xml:space="preserve">L’application des règlements relatifs au transport des marchandises dangereuses fondés sur le Règlement type, tels que ceux élaborés par la Réunion commune, garantit la sécurité des transports. Les entreprises, les pays, les travailleurs et les consommateurs peuvent donc disposer en toute sécurité des produits qu’ils importent, produisent, manipulent, transportent ou utilisent, ce qui contribue à préserver leur santé physique et à réduire les dangers pour l’environnement tout au long du cycle de vie desdits produits et va ainsi dans le sens de la réalisation de l’objectif de développement durable </w:t>
      </w:r>
      <w:r w:rsidRPr="000B600E">
        <w:rPr>
          <w:rFonts w:eastAsia="MS Mincho"/>
          <w:lang w:val="fr-FR"/>
        </w:rPr>
        <w:t>n</w:t>
      </w:r>
      <w:r w:rsidRPr="000B600E">
        <w:rPr>
          <w:rFonts w:eastAsia="MS Mincho"/>
          <w:vertAlign w:val="superscript"/>
          <w:lang w:val="fr-FR"/>
        </w:rPr>
        <w:t>o</w:t>
      </w:r>
      <w:r>
        <w:rPr>
          <w:lang w:val="fr-FR"/>
        </w:rPr>
        <w:t xml:space="preserve"> 3 des Nations </w:t>
      </w:r>
      <w:r>
        <w:rPr>
          <w:lang w:val="fr-FR"/>
        </w:rPr>
        <w:t>U</w:t>
      </w:r>
      <w:r>
        <w:rPr>
          <w:lang w:val="fr-FR"/>
        </w:rPr>
        <w:t>nies</w:t>
      </w:r>
      <w:r>
        <w:rPr>
          <w:lang w:val="fr-FR"/>
        </w:rPr>
        <w:t> </w:t>
      </w:r>
      <w:r>
        <w:rPr>
          <w:lang w:val="fr-FR"/>
        </w:rPr>
        <w:t>: Bonne santé et bien-être.</w:t>
      </w:r>
    </w:p>
    <w:p w14:paraId="7E852C6A" w14:textId="2CB172B5" w:rsidR="00F9573C" w:rsidRPr="000B600E" w:rsidRDefault="000B600E" w:rsidP="000B600E">
      <w:pPr>
        <w:spacing w:before="240"/>
        <w:jc w:val="center"/>
        <w:rPr>
          <w:u w:val="single"/>
          <w:lang w:val="fr-FR"/>
        </w:rPr>
      </w:pPr>
      <w:r w:rsidRPr="00EE6614">
        <w:rPr>
          <w:u w:val="single"/>
          <w:lang w:val="fr-FR"/>
        </w:rPr>
        <w:tab/>
      </w:r>
      <w:r w:rsidRPr="00EE6614">
        <w:rPr>
          <w:u w:val="single"/>
          <w:lang w:val="fr-FR"/>
        </w:rPr>
        <w:tab/>
      </w:r>
      <w:r w:rsidRPr="00EE6614">
        <w:rPr>
          <w:u w:val="single"/>
          <w:lang w:val="fr-FR"/>
        </w:rPr>
        <w:tab/>
      </w:r>
    </w:p>
    <w:sectPr w:rsidR="00F9573C" w:rsidRPr="000B600E" w:rsidSect="000B60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899A" w14:textId="77777777" w:rsidR="007C398E" w:rsidRDefault="007C398E" w:rsidP="00F95C08">
      <w:pPr>
        <w:spacing w:line="240" w:lineRule="auto"/>
      </w:pPr>
    </w:p>
  </w:endnote>
  <w:endnote w:type="continuationSeparator" w:id="0">
    <w:p w14:paraId="286C4066" w14:textId="77777777" w:rsidR="007C398E" w:rsidRPr="00AC3823" w:rsidRDefault="007C398E" w:rsidP="00AC3823">
      <w:pPr>
        <w:pStyle w:val="Pieddepage"/>
      </w:pPr>
    </w:p>
  </w:endnote>
  <w:endnote w:type="continuationNotice" w:id="1">
    <w:p w14:paraId="090DE43D" w14:textId="77777777" w:rsidR="007C398E" w:rsidRDefault="007C3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E776" w14:textId="5D49765F" w:rsidR="000B600E" w:rsidRPr="000B600E" w:rsidRDefault="000B600E" w:rsidP="000B600E">
    <w:pPr>
      <w:pStyle w:val="Pieddepage"/>
      <w:tabs>
        <w:tab w:val="right" w:pos="9638"/>
      </w:tabs>
    </w:pPr>
    <w:r w:rsidRPr="000B600E">
      <w:rPr>
        <w:b/>
        <w:sz w:val="18"/>
      </w:rPr>
      <w:fldChar w:fldCharType="begin"/>
    </w:r>
    <w:r w:rsidRPr="000B600E">
      <w:rPr>
        <w:b/>
        <w:sz w:val="18"/>
      </w:rPr>
      <w:instrText xml:space="preserve"> PAGE  \* MERGEFORMAT </w:instrText>
    </w:r>
    <w:r w:rsidRPr="000B600E">
      <w:rPr>
        <w:b/>
        <w:sz w:val="18"/>
      </w:rPr>
      <w:fldChar w:fldCharType="separate"/>
    </w:r>
    <w:r w:rsidRPr="000B600E">
      <w:rPr>
        <w:b/>
        <w:noProof/>
        <w:sz w:val="18"/>
      </w:rPr>
      <w:t>2</w:t>
    </w:r>
    <w:r w:rsidRPr="000B600E">
      <w:rPr>
        <w:b/>
        <w:sz w:val="18"/>
      </w:rPr>
      <w:fldChar w:fldCharType="end"/>
    </w:r>
    <w:r>
      <w:rPr>
        <w:b/>
        <w:sz w:val="18"/>
      </w:rPr>
      <w:tab/>
    </w:r>
    <w:r>
      <w:t>GE.23-25221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AF13" w14:textId="202515C1" w:rsidR="000B600E" w:rsidRPr="000B600E" w:rsidRDefault="000B600E" w:rsidP="000B600E">
    <w:pPr>
      <w:pStyle w:val="Pieddepage"/>
      <w:tabs>
        <w:tab w:val="right" w:pos="9638"/>
      </w:tabs>
      <w:rPr>
        <w:b/>
        <w:sz w:val="18"/>
      </w:rPr>
    </w:pPr>
    <w:r>
      <w:t>GE.23-25221</w:t>
    </w:r>
    <w:r>
      <w:tab/>
    </w:r>
    <w:r w:rsidRPr="000B600E">
      <w:rPr>
        <w:b/>
        <w:sz w:val="18"/>
      </w:rPr>
      <w:fldChar w:fldCharType="begin"/>
    </w:r>
    <w:r w:rsidRPr="000B600E">
      <w:rPr>
        <w:b/>
        <w:sz w:val="18"/>
      </w:rPr>
      <w:instrText xml:space="preserve"> PAGE  \* MERGEFORMAT </w:instrText>
    </w:r>
    <w:r w:rsidRPr="000B600E">
      <w:rPr>
        <w:b/>
        <w:sz w:val="18"/>
      </w:rPr>
      <w:fldChar w:fldCharType="separate"/>
    </w:r>
    <w:r w:rsidRPr="000B600E">
      <w:rPr>
        <w:b/>
        <w:noProof/>
        <w:sz w:val="18"/>
      </w:rPr>
      <w:t>3</w:t>
    </w:r>
    <w:r w:rsidRPr="000B60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3684" w14:textId="6967968C" w:rsidR="007F20FA" w:rsidRPr="000B600E" w:rsidRDefault="000B600E" w:rsidP="000B600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A2E61B3" wp14:editId="3144B8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23-25221  (F)</w:t>
    </w:r>
    <w:r>
      <w:rPr>
        <w:noProof/>
        <w:sz w:val="20"/>
      </w:rPr>
      <w:drawing>
        <wp:anchor distT="0" distB="0" distL="114300" distR="114300" simplePos="0" relativeHeight="251660288" behindDoc="0" locked="0" layoutInCell="1" allowOverlap="1" wp14:anchorId="767A268E" wp14:editId="16E125A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150124    150124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23F4" w14:textId="77777777" w:rsidR="007C398E" w:rsidRPr="00AC3823" w:rsidRDefault="007C398E" w:rsidP="00AC3823">
      <w:pPr>
        <w:pStyle w:val="Pieddepage"/>
        <w:tabs>
          <w:tab w:val="right" w:pos="2155"/>
        </w:tabs>
        <w:spacing w:after="80" w:line="240" w:lineRule="atLeast"/>
        <w:ind w:left="680"/>
        <w:rPr>
          <w:u w:val="single"/>
        </w:rPr>
      </w:pPr>
      <w:r>
        <w:rPr>
          <w:u w:val="single"/>
        </w:rPr>
        <w:tab/>
      </w:r>
    </w:p>
  </w:footnote>
  <w:footnote w:type="continuationSeparator" w:id="0">
    <w:p w14:paraId="774B237D" w14:textId="77777777" w:rsidR="007C398E" w:rsidRPr="00AC3823" w:rsidRDefault="007C398E" w:rsidP="00AC3823">
      <w:pPr>
        <w:pStyle w:val="Pieddepage"/>
        <w:tabs>
          <w:tab w:val="right" w:pos="2155"/>
        </w:tabs>
        <w:spacing w:after="80" w:line="240" w:lineRule="atLeast"/>
        <w:ind w:left="680"/>
        <w:rPr>
          <w:u w:val="single"/>
        </w:rPr>
      </w:pPr>
      <w:r>
        <w:rPr>
          <w:u w:val="single"/>
        </w:rPr>
        <w:tab/>
      </w:r>
    </w:p>
  </w:footnote>
  <w:footnote w:type="continuationNotice" w:id="1">
    <w:p w14:paraId="6868BA8E" w14:textId="77777777" w:rsidR="007C398E" w:rsidRPr="00AC3823" w:rsidRDefault="007C398E">
      <w:pPr>
        <w:spacing w:line="240" w:lineRule="auto"/>
        <w:rPr>
          <w:sz w:val="2"/>
          <w:szCs w:val="2"/>
        </w:rPr>
      </w:pPr>
    </w:p>
  </w:footnote>
  <w:footnote w:id="2">
    <w:p w14:paraId="73656C93" w14:textId="316E92E2" w:rsidR="000B600E" w:rsidRPr="00EE6614" w:rsidRDefault="000B600E" w:rsidP="000B600E">
      <w:pPr>
        <w:pStyle w:val="Notedebasdepage"/>
        <w:rPr>
          <w:lang w:val="fr-FR"/>
        </w:rPr>
      </w:pPr>
      <w:r>
        <w:rPr>
          <w:lang w:val="fr-FR"/>
        </w:rPr>
        <w:tab/>
      </w:r>
      <w:r w:rsidRPr="000B600E">
        <w:rPr>
          <w:sz w:val="20"/>
          <w:lang w:val="fr-FR"/>
        </w:rPr>
        <w:t>*</w:t>
      </w:r>
      <w:r>
        <w:rPr>
          <w:lang w:val="fr-FR"/>
        </w:rPr>
        <w:tab/>
        <w:t>A/78/6 (Sect. 20), tableau 20.5</w:t>
      </w:r>
      <w:r>
        <w:rPr>
          <w:lang w:val="fr-FR"/>
        </w:rPr>
        <w:t>.</w:t>
      </w:r>
    </w:p>
  </w:footnote>
  <w:footnote w:id="3">
    <w:p w14:paraId="15032676" w14:textId="3FE67FC6" w:rsidR="000B600E" w:rsidRPr="00EE6614" w:rsidRDefault="000B600E" w:rsidP="000B600E">
      <w:pPr>
        <w:pStyle w:val="Notedebasdepage"/>
        <w:rPr>
          <w:lang w:val="fr-FR"/>
        </w:rPr>
      </w:pPr>
      <w:r>
        <w:rPr>
          <w:lang w:val="fr-FR"/>
        </w:rPr>
        <w:tab/>
      </w:r>
      <w:r w:rsidRPr="000B600E">
        <w:rPr>
          <w:sz w:val="20"/>
          <w:lang w:val="fr-FR"/>
        </w:rPr>
        <w:t>**</w:t>
      </w:r>
      <w:r>
        <w:rPr>
          <w:lang w:val="fr-FR"/>
        </w:rPr>
        <w:tab/>
        <w:t>Diffusée par l’Organisation intergouvernementale pour les transports internationaux ferroviaires (OTIF) sous la cote</w:t>
      </w:r>
      <w:r>
        <w:rPr>
          <w:lang w:val="fr-FR"/>
        </w:rPr>
        <w:t> </w:t>
      </w:r>
      <w:r>
        <w:rPr>
          <w:lang w:val="fr-FR"/>
        </w:rPr>
        <w:t>OTIF/RID/RC/2024/2.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C78D" w14:textId="557CE7A9" w:rsidR="000B600E" w:rsidRPr="000B600E" w:rsidRDefault="000B600E">
    <w:pPr>
      <w:pStyle w:val="En-tte"/>
    </w:pPr>
    <w:fldSimple w:instr=" TITLE  \* MERGEFORMAT ">
      <w:r>
        <w:t>ECE/TRANS/WP.15/AC.1/2024/2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BAC3" w14:textId="3A1755EC" w:rsidR="000B600E" w:rsidRPr="000B600E" w:rsidRDefault="000B600E" w:rsidP="000B600E">
    <w:pPr>
      <w:pStyle w:val="En-tte"/>
      <w:jc w:val="right"/>
    </w:pPr>
    <w:fldSimple w:instr=" TITLE  \* MERGEFORMAT ">
      <w:r>
        <w:t>ECE/TRANS/WP.15/AC.1/2024/2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38815940">
    <w:abstractNumId w:val="12"/>
  </w:num>
  <w:num w:numId="2" w16cid:durableId="579485198">
    <w:abstractNumId w:val="11"/>
  </w:num>
  <w:num w:numId="3" w16cid:durableId="1101684038">
    <w:abstractNumId w:val="10"/>
  </w:num>
  <w:num w:numId="4" w16cid:durableId="1759400075">
    <w:abstractNumId w:val="8"/>
  </w:num>
  <w:num w:numId="5" w16cid:durableId="1625424185">
    <w:abstractNumId w:val="3"/>
  </w:num>
  <w:num w:numId="6" w16cid:durableId="1688287170">
    <w:abstractNumId w:val="2"/>
  </w:num>
  <w:num w:numId="7" w16cid:durableId="1421024105">
    <w:abstractNumId w:val="1"/>
  </w:num>
  <w:num w:numId="8" w16cid:durableId="484857381">
    <w:abstractNumId w:val="0"/>
  </w:num>
  <w:num w:numId="9" w16cid:durableId="1807237347">
    <w:abstractNumId w:val="9"/>
  </w:num>
  <w:num w:numId="10" w16cid:durableId="415714424">
    <w:abstractNumId w:val="7"/>
  </w:num>
  <w:num w:numId="11" w16cid:durableId="1908110543">
    <w:abstractNumId w:val="6"/>
  </w:num>
  <w:num w:numId="12" w16cid:durableId="989863939">
    <w:abstractNumId w:val="5"/>
  </w:num>
  <w:num w:numId="13" w16cid:durableId="57364214">
    <w:abstractNumId w:val="4"/>
  </w:num>
  <w:num w:numId="14" w16cid:durableId="141124043">
    <w:abstractNumId w:val="12"/>
  </w:num>
  <w:num w:numId="15" w16cid:durableId="1202666800">
    <w:abstractNumId w:val="11"/>
  </w:num>
  <w:num w:numId="16" w16cid:durableId="1752655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8E"/>
    <w:rsid w:val="00017F94"/>
    <w:rsid w:val="00023842"/>
    <w:rsid w:val="000334F9"/>
    <w:rsid w:val="00045FEB"/>
    <w:rsid w:val="0007796D"/>
    <w:rsid w:val="000B600E"/>
    <w:rsid w:val="000B7790"/>
    <w:rsid w:val="00111F2F"/>
    <w:rsid w:val="0014365E"/>
    <w:rsid w:val="00143C66"/>
    <w:rsid w:val="00176178"/>
    <w:rsid w:val="001F525A"/>
    <w:rsid w:val="00201148"/>
    <w:rsid w:val="00223272"/>
    <w:rsid w:val="00223B3B"/>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C398E"/>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6524C"/>
  <w15:docId w15:val="{278C315E-5D11-4856-87FB-14220D7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B600E"/>
    <w:rPr>
      <w:rFonts w:ascii="Times New Roman" w:eastAsiaTheme="minorHAnsi" w:hAnsi="Times New Roman" w:cs="Times New Roman"/>
      <w:sz w:val="20"/>
      <w:szCs w:val="20"/>
      <w:lang w:eastAsia="en-US"/>
    </w:rPr>
  </w:style>
  <w:style w:type="character" w:customStyle="1" w:styleId="H1GChar">
    <w:name w:val="_ H_1_G Char"/>
    <w:link w:val="H1G"/>
    <w:rsid w:val="000B600E"/>
    <w:rPr>
      <w:rFonts w:ascii="Times New Roman" w:eastAsiaTheme="minorHAnsi" w:hAnsi="Times New Roman" w:cs="Times New Roman"/>
      <w:b/>
      <w:sz w:val="24"/>
      <w:szCs w:val="20"/>
      <w:lang w:eastAsia="en-US"/>
    </w:rPr>
  </w:style>
  <w:style w:type="character" w:customStyle="1" w:styleId="HChGChar">
    <w:name w:val="_ H _Ch_G Char"/>
    <w:link w:val="HChG"/>
    <w:rsid w:val="000B600E"/>
    <w:rPr>
      <w:rFonts w:ascii="Times New Roman" w:eastAsiaTheme="minorHAnsi" w:hAnsi="Times New Roman" w:cs="Times New Roman"/>
      <w:b/>
      <w:sz w:val="28"/>
      <w:szCs w:val="20"/>
      <w:lang w:eastAsia="en-US"/>
    </w:rPr>
  </w:style>
  <w:style w:type="paragraph" w:styleId="Paragraphedeliste">
    <w:name w:val="List Paragraph"/>
    <w:basedOn w:val="Normal"/>
    <w:uiPriority w:val="34"/>
    <w:semiHidden/>
    <w:qFormat/>
    <w:rsid w:val="000B600E"/>
    <w:pPr>
      <w:kinsoku/>
      <w:overflowPunct/>
      <w:autoSpaceDE/>
      <w:autoSpaceDN/>
      <w:adjustRightInd/>
      <w:snapToGrid/>
      <w:ind w:left="720"/>
      <w:contextualSpacing/>
    </w:pPr>
    <w:rPr>
      <w:rFonts w:eastAsia="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DFBE6-84F3-4403-9155-E37020FD1C22}"/>
</file>

<file path=customXml/itemProps2.xml><?xml version="1.0" encoding="utf-8"?>
<ds:datastoreItem xmlns:ds="http://schemas.openxmlformats.org/officeDocument/2006/customXml" ds:itemID="{1A1EDEFA-BB1B-43AC-BE6C-5CF63408E0F8}"/>
</file>

<file path=docProps/app.xml><?xml version="1.0" encoding="utf-8"?>
<Properties xmlns="http://schemas.openxmlformats.org/officeDocument/2006/extended-properties" xmlns:vt="http://schemas.openxmlformats.org/officeDocument/2006/docPropsVTypes">
  <Template>ECE_TRANS.dotm</Template>
  <TotalTime>0</TotalTime>
  <Pages>2</Pages>
  <Words>743</Words>
  <Characters>4090</Characters>
  <Application>Microsoft Office Word</Application>
  <DocSecurity>0</DocSecurity>
  <Lines>84</Lines>
  <Paragraphs>43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dc:title>
  <dc:subject/>
  <dc:creator>Sandrine CLERE</dc:creator>
  <cp:keywords/>
  <cp:lastModifiedBy>Sandrine Clere</cp:lastModifiedBy>
  <cp:revision>2</cp:revision>
  <cp:lastPrinted>2014-05-14T10:59:00Z</cp:lastPrinted>
  <dcterms:created xsi:type="dcterms:W3CDTF">2024-01-15T13:37:00Z</dcterms:created>
  <dcterms:modified xsi:type="dcterms:W3CDTF">2024-01-15T13:37:00Z</dcterms:modified>
</cp:coreProperties>
</file>