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8AC44E4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722E8782" w14:textId="77777777" w:rsidR="00F35BAF" w:rsidRPr="00DB58B5" w:rsidRDefault="00F35BAF" w:rsidP="006C480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7E11790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7F5C72C7" w14:textId="437C5D44" w:rsidR="00F35BAF" w:rsidRPr="00DB58B5" w:rsidRDefault="006C480A" w:rsidP="006C480A">
            <w:pPr>
              <w:jc w:val="right"/>
            </w:pPr>
            <w:r w:rsidRPr="006C480A">
              <w:rPr>
                <w:sz w:val="40"/>
              </w:rPr>
              <w:t>ECE</w:t>
            </w:r>
            <w:r>
              <w:t>/TRANS/WP.15/AC.1/2024/3</w:t>
            </w:r>
          </w:p>
        </w:tc>
      </w:tr>
      <w:tr w:rsidR="00F35BAF" w:rsidRPr="00DB58B5" w14:paraId="325354EA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3DB9767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22432E94" wp14:editId="065EA1B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A4C0337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4B477547" w14:textId="77777777" w:rsidR="00F35BAF" w:rsidRDefault="006C480A" w:rsidP="00C97039">
            <w:pPr>
              <w:spacing w:before="240"/>
            </w:pPr>
            <w:r>
              <w:t>Distr. générale</w:t>
            </w:r>
          </w:p>
          <w:p w14:paraId="3AF3086B" w14:textId="77777777" w:rsidR="006C480A" w:rsidRDefault="006C480A" w:rsidP="006C480A">
            <w:pPr>
              <w:spacing w:line="240" w:lineRule="exact"/>
            </w:pPr>
            <w:r>
              <w:t>14 décembre 2023</w:t>
            </w:r>
          </w:p>
          <w:p w14:paraId="367AF46F" w14:textId="77777777" w:rsidR="006C480A" w:rsidRDefault="006C480A" w:rsidP="006C480A">
            <w:pPr>
              <w:spacing w:line="240" w:lineRule="exact"/>
            </w:pPr>
            <w:r>
              <w:t>Français</w:t>
            </w:r>
          </w:p>
          <w:p w14:paraId="112422AF" w14:textId="6B94574F" w:rsidR="006C480A" w:rsidRPr="00DB58B5" w:rsidRDefault="006C480A" w:rsidP="006C480A">
            <w:pPr>
              <w:spacing w:line="240" w:lineRule="exact"/>
            </w:pPr>
            <w:r>
              <w:t>Original : anglais</w:t>
            </w:r>
          </w:p>
        </w:tc>
      </w:tr>
    </w:tbl>
    <w:p w14:paraId="41ED5778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494174DA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53F95A0" w14:textId="77777777" w:rsidR="006C480A" w:rsidRPr="009E01B8" w:rsidRDefault="006C480A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135BE8AE" w14:textId="77777777" w:rsidR="006C480A" w:rsidRPr="00926E87" w:rsidRDefault="006C480A" w:rsidP="00AF0CB5">
      <w:pPr>
        <w:spacing w:before="120"/>
        <w:rPr>
          <w:b/>
        </w:rPr>
      </w:pPr>
      <w:r w:rsidRPr="00926E87">
        <w:rPr>
          <w:b/>
        </w:rPr>
        <w:t>Réunion commune de la Commission d’experts du RID</w:t>
      </w:r>
      <w:r>
        <w:rPr>
          <w:b/>
        </w:rPr>
        <w:t xml:space="preserve"> </w:t>
      </w:r>
      <w:r w:rsidRPr="00926E87">
        <w:rPr>
          <w:b/>
        </w:rPr>
        <w:t>et</w:t>
      </w:r>
      <w:r>
        <w:rPr>
          <w:b/>
        </w:rPr>
        <w:br/>
      </w:r>
      <w:r w:rsidRPr="00926E87">
        <w:rPr>
          <w:b/>
        </w:rPr>
        <w:t>du Groupe de travail</w:t>
      </w:r>
      <w:r>
        <w:rPr>
          <w:b/>
        </w:rPr>
        <w:t xml:space="preserve"> </w:t>
      </w:r>
      <w:r w:rsidRPr="00926E87">
        <w:rPr>
          <w:b/>
        </w:rPr>
        <w:t>des transports de marchandises dangereuses</w:t>
      </w:r>
    </w:p>
    <w:p w14:paraId="647F980F" w14:textId="77777777" w:rsidR="006C480A" w:rsidRPr="00256FE8" w:rsidRDefault="006C480A" w:rsidP="006C480A">
      <w:r>
        <w:rPr>
          <w:lang w:val="fr-FR"/>
        </w:rPr>
        <w:t>Berne, 25-28 mars 2024</w:t>
      </w:r>
    </w:p>
    <w:p w14:paraId="0DF96380" w14:textId="6898540F" w:rsidR="006C480A" w:rsidRPr="00256FE8" w:rsidRDefault="006C480A" w:rsidP="006C480A">
      <w:r>
        <w:rPr>
          <w:lang w:val="fr-FR"/>
        </w:rPr>
        <w:t>Point 5</w:t>
      </w:r>
      <w:r>
        <w:rPr>
          <w:lang w:val="fr-FR"/>
        </w:rPr>
        <w:t> </w:t>
      </w:r>
      <w:r>
        <w:rPr>
          <w:lang w:val="fr-FR"/>
        </w:rPr>
        <w:t>b) de l’ordre du jour provisoire</w:t>
      </w:r>
    </w:p>
    <w:p w14:paraId="336AD621" w14:textId="70CADBD3" w:rsidR="006C480A" w:rsidRPr="00256FE8" w:rsidRDefault="006C480A" w:rsidP="006C480A">
      <w:pPr>
        <w:rPr>
          <w:b/>
          <w:bCs/>
        </w:rPr>
      </w:pPr>
      <w:r>
        <w:rPr>
          <w:b/>
          <w:bCs/>
          <w:lang w:val="fr-FR"/>
        </w:rPr>
        <w:t>Propositions d’amendements au RID, à l’ADR et à l’ADN</w:t>
      </w:r>
      <w:r>
        <w:rPr>
          <w:b/>
          <w:bCs/>
          <w:lang w:val="fr-FR"/>
        </w:rPr>
        <w:t> </w:t>
      </w:r>
      <w:r>
        <w:rPr>
          <w:b/>
          <w:bCs/>
          <w:lang w:val="fr-FR"/>
        </w:rPr>
        <w:t>:</w:t>
      </w:r>
    </w:p>
    <w:p w14:paraId="24A58569" w14:textId="77777777" w:rsidR="006C480A" w:rsidRPr="00256FE8" w:rsidRDefault="006C480A" w:rsidP="006C480A">
      <w:pPr>
        <w:rPr>
          <w:b/>
          <w:bCs/>
        </w:rPr>
      </w:pPr>
      <w:r>
        <w:rPr>
          <w:b/>
          <w:bCs/>
          <w:lang w:val="fr-FR"/>
        </w:rPr>
        <w:t>Nouvelles propositions</w:t>
      </w:r>
    </w:p>
    <w:p w14:paraId="7CFBC350" w14:textId="5175C02F" w:rsidR="006C480A" w:rsidRPr="00256FE8" w:rsidRDefault="006C480A" w:rsidP="006C480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Nota destiné à accompagner le nouveau diagramme figurant à la fin de l’instruction d’emballage</w:t>
      </w:r>
      <w:r>
        <w:rPr>
          <w:lang w:val="fr-FR"/>
        </w:rPr>
        <w:t> </w:t>
      </w:r>
      <w:r>
        <w:rPr>
          <w:lang w:val="fr-FR"/>
        </w:rPr>
        <w:t>P200, au 4.1.4.1</w:t>
      </w:r>
    </w:p>
    <w:p w14:paraId="6180E0C7" w14:textId="090F4EC1" w:rsidR="006C480A" w:rsidRPr="00256FE8" w:rsidRDefault="006C480A" w:rsidP="006C480A">
      <w:pPr>
        <w:pStyle w:val="H1G"/>
      </w:pPr>
      <w:r>
        <w:rPr>
          <w:lang w:val="fr-FR"/>
        </w:rPr>
        <w:tab/>
      </w:r>
      <w:r>
        <w:rPr>
          <w:lang w:val="fr-FR"/>
        </w:rPr>
        <w:tab/>
        <w:t xml:space="preserve">Communication de </w:t>
      </w:r>
      <w:proofErr w:type="spellStart"/>
      <w:r>
        <w:rPr>
          <w:lang w:val="fr-FR"/>
        </w:rPr>
        <w:t>Liquid</w:t>
      </w:r>
      <w:proofErr w:type="spellEnd"/>
      <w:r>
        <w:rPr>
          <w:lang w:val="fr-FR"/>
        </w:rPr>
        <w:t xml:space="preserve"> Gas Europe</w:t>
      </w:r>
      <w:r w:rsidRPr="006C480A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2"/>
        <w:t>*</w:t>
      </w:r>
      <w:r w:rsidRPr="006C480A">
        <w:rPr>
          <w:b w:val="0"/>
          <w:bCs/>
          <w:sz w:val="20"/>
          <w:vertAlign w:val="superscript"/>
          <w:lang w:val="fr-FR"/>
        </w:rPr>
        <w:t>,</w:t>
      </w:r>
      <w:r>
        <w:rPr>
          <w:b w:val="0"/>
          <w:bCs/>
          <w:sz w:val="20"/>
          <w:lang w:val="fr-FR"/>
        </w:rPr>
        <w:t xml:space="preserve"> </w:t>
      </w:r>
      <w:r w:rsidRPr="006C480A">
        <w:rPr>
          <w:rStyle w:val="Appelnotedebasdep"/>
          <w:b w:val="0"/>
          <w:bCs/>
          <w:sz w:val="20"/>
          <w:vertAlign w:val="baseline"/>
          <w:lang w:val="fr-FR"/>
        </w:rPr>
        <w:footnoteReference w:customMarkFollows="1" w:id="3"/>
        <w:t>**</w:t>
      </w:r>
      <w:r>
        <w:rPr>
          <w:lang w:val="fr-FR"/>
        </w:rPr>
        <w:t xml:space="preserve"> </w:t>
      </w:r>
    </w:p>
    <w:tbl>
      <w:tblPr>
        <w:tblStyle w:val="Grilledutableau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6C480A" w14:paraId="513D0E82" w14:textId="77777777" w:rsidTr="006C480A">
        <w:trPr>
          <w:jc w:val="center"/>
        </w:trPr>
        <w:tc>
          <w:tcPr>
            <w:tcW w:w="9628" w:type="dxa"/>
            <w:shd w:val="clear" w:color="auto" w:fill="auto"/>
          </w:tcPr>
          <w:p w14:paraId="23E632F1" w14:textId="77777777" w:rsidR="006C480A" w:rsidRDefault="006C480A">
            <w:pPr>
              <w:spacing w:before="240" w:after="120"/>
              <w:ind w:left="255"/>
              <w:rPr>
                <w:i/>
                <w:sz w:val="24"/>
              </w:rPr>
            </w:pPr>
            <w:r>
              <w:rPr>
                <w:i/>
                <w:sz w:val="24"/>
              </w:rPr>
              <w:t>Résumé</w:t>
            </w:r>
          </w:p>
        </w:tc>
      </w:tr>
      <w:tr w:rsidR="006C480A" w14:paraId="10C65BF2" w14:textId="77777777" w:rsidTr="006C480A">
        <w:trPr>
          <w:jc w:val="center"/>
        </w:trPr>
        <w:tc>
          <w:tcPr>
            <w:tcW w:w="9628" w:type="dxa"/>
            <w:shd w:val="clear" w:color="auto" w:fill="auto"/>
          </w:tcPr>
          <w:p w14:paraId="2E626B97" w14:textId="2B4D0759" w:rsidR="006C480A" w:rsidRDefault="006C480A" w:rsidP="006C480A">
            <w:pPr>
              <w:pStyle w:val="SingleTxtG"/>
              <w:ind w:left="3402" w:hanging="2268"/>
            </w:pPr>
            <w:r>
              <w:rPr>
                <w:b/>
                <w:bCs/>
                <w:lang w:val="fr-FR"/>
              </w:rPr>
              <w:t>Résumé analytique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À</w:t>
            </w:r>
            <w:r w:rsidRPr="00DD03B6">
              <w:rPr>
                <w:lang w:val="fr-FR"/>
              </w:rPr>
              <w:t xml:space="preserve"> la session de l</w:t>
            </w:r>
            <w:r>
              <w:rPr>
                <w:lang w:val="fr-FR"/>
              </w:rPr>
              <w:t>’</w:t>
            </w:r>
            <w:r w:rsidRPr="00DD03B6">
              <w:rPr>
                <w:lang w:val="fr-FR"/>
              </w:rPr>
              <w:t>automne 2023 de la Réunion commune, qui s</w:t>
            </w:r>
            <w:r>
              <w:rPr>
                <w:lang w:val="fr-FR"/>
              </w:rPr>
              <w:t>’</w:t>
            </w:r>
            <w:r w:rsidRPr="00DD03B6">
              <w:rPr>
                <w:lang w:val="fr-FR"/>
              </w:rPr>
              <w:t xml:space="preserve">est tenue à Genève en septembre 2023, </w:t>
            </w:r>
            <w:r>
              <w:rPr>
                <w:lang w:val="fr-FR"/>
              </w:rPr>
              <w:t>l’amendement proposé dans le document ECE/TRANS/WP.15/AC.1/2023/45 a été adopté mais le représentant de l’Allemagne a demandé l’ajout d’un nota destiné à préciser que le nouveau diagramme devait servir à choisir le bon taux de remplissage pour les mélanges visés au 2.2.2.3.</w:t>
            </w:r>
          </w:p>
        </w:tc>
      </w:tr>
      <w:tr w:rsidR="006C480A" w14:paraId="786930EF" w14:textId="77777777" w:rsidTr="006C480A">
        <w:trPr>
          <w:jc w:val="center"/>
        </w:trPr>
        <w:tc>
          <w:tcPr>
            <w:tcW w:w="9628" w:type="dxa"/>
            <w:shd w:val="clear" w:color="auto" w:fill="auto"/>
          </w:tcPr>
          <w:p w14:paraId="31AA96D5" w14:textId="44B901D5" w:rsidR="006C480A" w:rsidRDefault="006C480A" w:rsidP="006C480A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Mesure à prendre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 xml:space="preserve">Dans le présent document, établi conjointement par </w:t>
            </w:r>
            <w:proofErr w:type="spellStart"/>
            <w:r>
              <w:rPr>
                <w:lang w:val="fr-FR"/>
              </w:rPr>
              <w:t>Liquid</w:t>
            </w:r>
            <w:proofErr w:type="spellEnd"/>
            <w:r>
              <w:rPr>
                <w:lang w:val="fr-FR"/>
              </w:rPr>
              <w:t xml:space="preserve"> Gas Europe et la délégation allemande, il est proposé d’ajouter un nota à la fin de l’instruction</w:t>
            </w:r>
            <w:r>
              <w:rPr>
                <w:lang w:val="fr-FR"/>
              </w:rPr>
              <w:t> </w:t>
            </w:r>
            <w:r>
              <w:rPr>
                <w:lang w:val="fr-FR"/>
              </w:rPr>
              <w:t>P200, au 4.1.4.1.</w:t>
            </w:r>
          </w:p>
        </w:tc>
      </w:tr>
      <w:tr w:rsidR="006C480A" w14:paraId="0FCEC228" w14:textId="77777777" w:rsidTr="006C480A">
        <w:trPr>
          <w:jc w:val="center"/>
        </w:trPr>
        <w:tc>
          <w:tcPr>
            <w:tcW w:w="9628" w:type="dxa"/>
            <w:shd w:val="clear" w:color="auto" w:fill="auto"/>
          </w:tcPr>
          <w:p w14:paraId="73B2074B" w14:textId="6992B025" w:rsidR="006C480A" w:rsidRDefault="006C480A" w:rsidP="006C480A">
            <w:pPr>
              <w:pStyle w:val="SingleTxtG"/>
              <w:ind w:left="3402" w:hanging="2268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Document connexe</w:t>
            </w:r>
            <w:r>
              <w:rPr>
                <w:b/>
                <w:bCs/>
                <w:lang w:val="fr-FR"/>
              </w:rPr>
              <w:t> </w:t>
            </w:r>
            <w:r>
              <w:rPr>
                <w:b/>
                <w:bCs/>
                <w:lang w:val="fr-FR"/>
              </w:rPr>
              <w:t>:</w:t>
            </w:r>
            <w:r>
              <w:rPr>
                <w:b/>
                <w:bCs/>
                <w:lang w:val="fr-FR"/>
              </w:rPr>
              <w:tab/>
            </w:r>
            <w:r>
              <w:rPr>
                <w:lang w:val="fr-FR"/>
              </w:rPr>
              <w:t>ECE/TRANS/WP.15/AC.1/2023/45</w:t>
            </w:r>
          </w:p>
        </w:tc>
      </w:tr>
      <w:tr w:rsidR="006C480A" w14:paraId="43D7CC5A" w14:textId="77777777" w:rsidTr="006C480A">
        <w:trPr>
          <w:jc w:val="center"/>
        </w:trPr>
        <w:tc>
          <w:tcPr>
            <w:tcW w:w="9628" w:type="dxa"/>
            <w:shd w:val="clear" w:color="auto" w:fill="auto"/>
          </w:tcPr>
          <w:p w14:paraId="24C20F75" w14:textId="77777777" w:rsidR="006C480A" w:rsidRDefault="006C480A"/>
        </w:tc>
      </w:tr>
    </w:tbl>
    <w:p w14:paraId="5B10D8C7" w14:textId="77777777" w:rsidR="006C480A" w:rsidRPr="00256FE8" w:rsidRDefault="006C480A" w:rsidP="006C480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Contexte</w:t>
      </w:r>
    </w:p>
    <w:p w14:paraId="30592495" w14:textId="2C6D567E" w:rsidR="006C480A" w:rsidRPr="00256FE8" w:rsidRDefault="006C480A" w:rsidP="006C480A">
      <w:pPr>
        <w:pStyle w:val="SingleTxtG"/>
      </w:pPr>
      <w:r>
        <w:rPr>
          <w:lang w:val="fr-FR"/>
        </w:rPr>
        <w:t>1.</w:t>
      </w:r>
      <w:r>
        <w:rPr>
          <w:lang w:val="fr-FR"/>
        </w:rPr>
        <w:tab/>
        <w:t>L’amendement figurant dans le document</w:t>
      </w:r>
      <w:r>
        <w:rPr>
          <w:lang w:val="fr-FR"/>
        </w:rPr>
        <w:t> </w:t>
      </w:r>
      <w:r>
        <w:rPr>
          <w:lang w:val="fr-FR"/>
        </w:rPr>
        <w:t>ECE/TRANS/WP.15/AC.1/2023/45 a été adopté par la Réunion commune en septembre 2023.</w:t>
      </w:r>
    </w:p>
    <w:p w14:paraId="66DD3D3F" w14:textId="451FB4E1" w:rsidR="006C480A" w:rsidRPr="00256FE8" w:rsidRDefault="006C480A" w:rsidP="006C480A">
      <w:pPr>
        <w:pStyle w:val="SingleTxtG"/>
      </w:pPr>
      <w:r>
        <w:rPr>
          <w:lang w:val="fr-FR"/>
        </w:rPr>
        <w:lastRenderedPageBreak/>
        <w:t>2.</w:t>
      </w:r>
      <w:r>
        <w:rPr>
          <w:lang w:val="fr-FR"/>
        </w:rPr>
        <w:tab/>
        <w:t>La délégation allemande a toutefois demandé que le diagramme ajouté dans le cadre de cet amendement soit accompagné d’un nota destiné à préciser qu’il devait servir à choisir le bon taux de remplissage pour les mélanges visés au 2.2.2.3.</w:t>
      </w:r>
    </w:p>
    <w:p w14:paraId="508380EA" w14:textId="77777777" w:rsidR="006C480A" w:rsidRPr="00256FE8" w:rsidRDefault="006C480A" w:rsidP="006C480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Proposition</w:t>
      </w:r>
    </w:p>
    <w:p w14:paraId="5FF5617B" w14:textId="589D7705" w:rsidR="006C480A" w:rsidRPr="00256FE8" w:rsidRDefault="006C480A" w:rsidP="006C480A">
      <w:pPr>
        <w:pStyle w:val="SingleTxtG"/>
      </w:pPr>
      <w:r>
        <w:rPr>
          <w:lang w:val="fr-FR"/>
        </w:rPr>
        <w:t>3.</w:t>
      </w:r>
      <w:r>
        <w:rPr>
          <w:lang w:val="fr-FR"/>
        </w:rPr>
        <w:tab/>
        <w:t>Au 4.1.4.1, après le diagramme figurant à la fin de l’instruction</w:t>
      </w:r>
      <w:r>
        <w:rPr>
          <w:lang w:val="fr-FR"/>
        </w:rPr>
        <w:t> </w:t>
      </w:r>
      <w:r>
        <w:rPr>
          <w:lang w:val="fr-FR"/>
        </w:rPr>
        <w:t xml:space="preserve">P200, </w:t>
      </w:r>
      <w:r w:rsidRPr="00F36FB4">
        <w:rPr>
          <w:lang w:val="fr-FR"/>
        </w:rPr>
        <w:t>ajouter un not</w:t>
      </w:r>
      <w:r>
        <w:rPr>
          <w:lang w:val="fr-FR"/>
        </w:rPr>
        <w:t>a, libellé</w:t>
      </w:r>
      <w:r w:rsidRPr="00F36FB4">
        <w:rPr>
          <w:lang w:val="fr-FR"/>
        </w:rPr>
        <w:t xml:space="preserve"> </w:t>
      </w:r>
      <w:r>
        <w:rPr>
          <w:lang w:val="fr-FR"/>
        </w:rPr>
        <w:t>comme suit</w:t>
      </w:r>
      <w:r>
        <w:rPr>
          <w:lang w:val="fr-FR"/>
        </w:rPr>
        <w:t> </w:t>
      </w:r>
      <w:r>
        <w:rPr>
          <w:lang w:val="fr-FR"/>
        </w:rPr>
        <w:t>:</w:t>
      </w:r>
    </w:p>
    <w:p w14:paraId="63A988AB" w14:textId="16103C62" w:rsidR="006C480A" w:rsidRPr="00256FE8" w:rsidRDefault="006C480A" w:rsidP="006C480A">
      <w:pPr>
        <w:pStyle w:val="SingleTxtG"/>
        <w:ind w:left="1701"/>
        <w:rPr>
          <w:b/>
          <w:bCs/>
          <w:i/>
          <w:iCs/>
          <w:color w:val="000000" w:themeColor="text1"/>
        </w:rPr>
      </w:pPr>
      <w:r>
        <w:rPr>
          <w:b/>
          <w:bCs/>
          <w:i/>
          <w:iCs/>
          <w:lang w:val="fr-FR"/>
        </w:rPr>
        <w:t>«</w:t>
      </w:r>
      <w:r>
        <w:rPr>
          <w:b/>
          <w:bCs/>
          <w:i/>
          <w:iCs/>
          <w:lang w:val="fr-FR"/>
        </w:rPr>
        <w:t> </w:t>
      </w:r>
      <w:r>
        <w:rPr>
          <w:b/>
          <w:bCs/>
          <w:i/>
          <w:iCs/>
          <w:lang w:val="fr-FR"/>
        </w:rPr>
        <w:t>NOTA</w:t>
      </w:r>
      <w:r>
        <w:rPr>
          <w:b/>
          <w:bCs/>
          <w:i/>
          <w:iCs/>
          <w:lang w:val="fr-FR"/>
        </w:rPr>
        <w:t> </w:t>
      </w:r>
      <w:r>
        <w:rPr>
          <w:b/>
          <w:bCs/>
          <w:i/>
          <w:iCs/>
          <w:lang w:val="fr-FR"/>
        </w:rPr>
        <w:t>: Le diagramme ci-dessus permet de choisir les taux de remplissage qui conviennent pour les mélanges visés au 2.2.2.3.</w:t>
      </w:r>
      <w:r>
        <w:rPr>
          <w:b/>
          <w:bCs/>
          <w:i/>
          <w:iCs/>
          <w:lang w:val="fr-FR"/>
        </w:rPr>
        <w:t> </w:t>
      </w:r>
      <w:r>
        <w:rPr>
          <w:b/>
          <w:bCs/>
          <w:i/>
          <w:iCs/>
          <w:lang w:val="fr-FR"/>
        </w:rPr>
        <w:t>».</w:t>
      </w:r>
    </w:p>
    <w:p w14:paraId="79ECF1EB" w14:textId="77777777" w:rsidR="006C480A" w:rsidRPr="00256FE8" w:rsidRDefault="006C480A" w:rsidP="006C480A">
      <w:pPr>
        <w:pStyle w:val="HChG"/>
      </w:pPr>
      <w:r>
        <w:rPr>
          <w:lang w:val="fr-FR"/>
        </w:rPr>
        <w:tab/>
      </w:r>
      <w:r>
        <w:rPr>
          <w:lang w:val="fr-FR"/>
        </w:rPr>
        <w:tab/>
        <w:t>Incidences</w:t>
      </w:r>
    </w:p>
    <w:p w14:paraId="1209B07F" w14:textId="1A4C6695" w:rsidR="006C480A" w:rsidRPr="00256FE8" w:rsidRDefault="006C480A" w:rsidP="006C480A">
      <w:pPr>
        <w:pStyle w:val="SingleTxtG"/>
      </w:pPr>
      <w:r>
        <w:rPr>
          <w:lang w:val="fr-FR"/>
        </w:rPr>
        <w:t>4.</w:t>
      </w:r>
      <w:r>
        <w:rPr>
          <w:lang w:val="fr-FR"/>
        </w:rPr>
        <w:tab/>
        <w:t>Le fait de préciser à quoi sert le nouveau diagramme figurant dans l’instruction d’emballage</w:t>
      </w:r>
      <w:r>
        <w:rPr>
          <w:lang w:val="fr-FR"/>
        </w:rPr>
        <w:t> </w:t>
      </w:r>
      <w:r>
        <w:rPr>
          <w:lang w:val="fr-FR"/>
        </w:rPr>
        <w:t xml:space="preserve">P200 du 4.1.4.1, à savoir à déterminer le bon taux de remplissage pour les mélanges visés au 2.2.2.3, permettra d’améliorer la sécurité. La présente proposition contribue à la réalisation des cibles </w:t>
      </w:r>
      <w:r w:rsidRPr="00E8181A">
        <w:rPr>
          <w:lang w:val="fr-FR"/>
        </w:rPr>
        <w:t>7.1, 7.2, 12.2, 12.5, 15.2, 15.4 et 15.5</w:t>
      </w:r>
      <w:r>
        <w:rPr>
          <w:lang w:val="fr-FR"/>
        </w:rPr>
        <w:t xml:space="preserve"> des objectifs de développement durable.</w:t>
      </w:r>
    </w:p>
    <w:p w14:paraId="0C83C110" w14:textId="39AAB5C1" w:rsidR="00F9573C" w:rsidRPr="006C480A" w:rsidRDefault="006C480A" w:rsidP="006C480A">
      <w:pPr>
        <w:spacing w:before="240"/>
        <w:jc w:val="center"/>
        <w:rPr>
          <w:u w:val="single"/>
        </w:rPr>
      </w:pPr>
      <w:r w:rsidRPr="00256FE8">
        <w:rPr>
          <w:u w:val="single"/>
        </w:rPr>
        <w:tab/>
      </w:r>
      <w:r w:rsidRPr="00256FE8">
        <w:rPr>
          <w:u w:val="single"/>
        </w:rPr>
        <w:tab/>
      </w:r>
      <w:r w:rsidRPr="00256FE8">
        <w:rPr>
          <w:u w:val="single"/>
        </w:rPr>
        <w:tab/>
      </w:r>
    </w:p>
    <w:sectPr w:rsidR="00F9573C" w:rsidRPr="006C480A" w:rsidSect="006C480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22019" w14:textId="77777777" w:rsidR="005740DC" w:rsidRDefault="005740DC" w:rsidP="00F95C08">
      <w:pPr>
        <w:spacing w:line="240" w:lineRule="auto"/>
      </w:pPr>
    </w:p>
  </w:endnote>
  <w:endnote w:type="continuationSeparator" w:id="0">
    <w:p w14:paraId="47907088" w14:textId="77777777" w:rsidR="005740DC" w:rsidRPr="00AC3823" w:rsidRDefault="005740DC" w:rsidP="00AC3823">
      <w:pPr>
        <w:pStyle w:val="Pieddepage"/>
      </w:pPr>
    </w:p>
  </w:endnote>
  <w:endnote w:type="continuationNotice" w:id="1">
    <w:p w14:paraId="48DD17BB" w14:textId="77777777" w:rsidR="005740DC" w:rsidRDefault="005740D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1BD9E" w14:textId="304C0CE7" w:rsidR="006C480A" w:rsidRPr="006C480A" w:rsidRDefault="006C480A" w:rsidP="006C480A">
    <w:pPr>
      <w:pStyle w:val="Pieddepage"/>
      <w:tabs>
        <w:tab w:val="right" w:pos="9638"/>
      </w:tabs>
    </w:pPr>
    <w:r w:rsidRPr="006C480A">
      <w:rPr>
        <w:b/>
        <w:sz w:val="18"/>
      </w:rPr>
      <w:fldChar w:fldCharType="begin"/>
    </w:r>
    <w:r w:rsidRPr="006C480A">
      <w:rPr>
        <w:b/>
        <w:sz w:val="18"/>
      </w:rPr>
      <w:instrText xml:space="preserve"> PAGE  \* MERGEFORMAT </w:instrText>
    </w:r>
    <w:r w:rsidRPr="006C480A">
      <w:rPr>
        <w:b/>
        <w:sz w:val="18"/>
      </w:rPr>
      <w:fldChar w:fldCharType="separate"/>
    </w:r>
    <w:r w:rsidRPr="006C480A">
      <w:rPr>
        <w:b/>
        <w:noProof/>
        <w:sz w:val="18"/>
      </w:rPr>
      <w:t>2</w:t>
    </w:r>
    <w:r w:rsidRPr="006C480A">
      <w:rPr>
        <w:b/>
        <w:sz w:val="18"/>
      </w:rPr>
      <w:fldChar w:fldCharType="end"/>
    </w:r>
    <w:r>
      <w:rPr>
        <w:b/>
        <w:sz w:val="18"/>
      </w:rPr>
      <w:tab/>
    </w:r>
    <w:r>
      <w:t>GE.23-25305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CF69" w14:textId="02BA9B8C" w:rsidR="006C480A" w:rsidRPr="006C480A" w:rsidRDefault="006C480A" w:rsidP="006C480A">
    <w:pPr>
      <w:pStyle w:val="Pieddepage"/>
      <w:tabs>
        <w:tab w:val="right" w:pos="9638"/>
      </w:tabs>
      <w:rPr>
        <w:b/>
        <w:sz w:val="18"/>
      </w:rPr>
    </w:pPr>
    <w:r>
      <w:t>GE.23-25305</w:t>
    </w:r>
    <w:r>
      <w:tab/>
    </w:r>
    <w:r w:rsidRPr="006C480A">
      <w:rPr>
        <w:b/>
        <w:sz w:val="18"/>
      </w:rPr>
      <w:fldChar w:fldCharType="begin"/>
    </w:r>
    <w:r w:rsidRPr="006C480A">
      <w:rPr>
        <w:b/>
        <w:sz w:val="18"/>
      </w:rPr>
      <w:instrText xml:space="preserve"> PAGE  \* MERGEFORMAT </w:instrText>
    </w:r>
    <w:r w:rsidRPr="006C480A">
      <w:rPr>
        <w:b/>
        <w:sz w:val="18"/>
      </w:rPr>
      <w:fldChar w:fldCharType="separate"/>
    </w:r>
    <w:r w:rsidRPr="006C480A">
      <w:rPr>
        <w:b/>
        <w:noProof/>
        <w:sz w:val="18"/>
      </w:rPr>
      <w:t>3</w:t>
    </w:r>
    <w:r w:rsidRPr="006C480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DB3E" w14:textId="414BE07A" w:rsidR="007F20FA" w:rsidRPr="006C480A" w:rsidRDefault="006C480A" w:rsidP="006C480A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9823D49" wp14:editId="568E5341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23-25305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42EF9483" wp14:editId="3D768FD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150124    150124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6516" w14:textId="77777777" w:rsidR="005740DC" w:rsidRPr="00AC3823" w:rsidRDefault="005740D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A047C46" w14:textId="77777777" w:rsidR="005740DC" w:rsidRPr="00AC3823" w:rsidRDefault="005740DC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A568232" w14:textId="77777777" w:rsidR="005740DC" w:rsidRPr="00AC3823" w:rsidRDefault="005740DC">
      <w:pPr>
        <w:spacing w:line="240" w:lineRule="auto"/>
        <w:rPr>
          <w:sz w:val="2"/>
          <w:szCs w:val="2"/>
        </w:rPr>
      </w:pPr>
    </w:p>
  </w:footnote>
  <w:footnote w:id="2">
    <w:p w14:paraId="283C10EE" w14:textId="6C6AE384" w:rsidR="006C480A" w:rsidRPr="00256FE8" w:rsidRDefault="006C480A" w:rsidP="006C480A">
      <w:pPr>
        <w:pStyle w:val="Notedebasdepage"/>
      </w:pPr>
      <w:r>
        <w:rPr>
          <w:lang w:val="fr-FR"/>
        </w:rPr>
        <w:tab/>
      </w:r>
      <w:r w:rsidRPr="006C480A">
        <w:rPr>
          <w:sz w:val="20"/>
          <w:lang w:val="fr-FR"/>
        </w:rPr>
        <w:t>*</w:t>
      </w:r>
      <w:r>
        <w:rPr>
          <w:lang w:val="fr-FR"/>
        </w:rPr>
        <w:t xml:space="preserve"> </w:t>
      </w:r>
      <w:r>
        <w:rPr>
          <w:lang w:val="fr-FR"/>
        </w:rPr>
        <w:tab/>
        <w:t>A/78/6 (Sect. 20), tableau 20.5</w:t>
      </w:r>
      <w:r>
        <w:rPr>
          <w:lang w:val="fr-FR"/>
        </w:rPr>
        <w:t>.</w:t>
      </w:r>
    </w:p>
  </w:footnote>
  <w:footnote w:id="3">
    <w:p w14:paraId="23623DC0" w14:textId="54A9E505" w:rsidR="006C480A" w:rsidRPr="00256FE8" w:rsidRDefault="006C480A" w:rsidP="006C480A">
      <w:pPr>
        <w:pStyle w:val="Notedebasdepage"/>
      </w:pPr>
      <w:r>
        <w:rPr>
          <w:lang w:val="fr-FR"/>
        </w:rPr>
        <w:tab/>
      </w:r>
      <w:r w:rsidRPr="006C480A">
        <w:rPr>
          <w:sz w:val="20"/>
          <w:lang w:val="fr-FR"/>
        </w:rPr>
        <w:t>**</w:t>
      </w:r>
      <w:r>
        <w:rPr>
          <w:lang w:val="fr-FR"/>
        </w:rPr>
        <w:tab/>
        <w:t>Diffusée par l’Organisation intergouvernementale pour les transports internationaux ferroviaires (OTIF) sous la cote</w:t>
      </w:r>
      <w:r>
        <w:rPr>
          <w:lang w:val="fr-FR"/>
        </w:rPr>
        <w:t> </w:t>
      </w:r>
      <w:r>
        <w:rPr>
          <w:lang w:val="fr-FR"/>
        </w:rPr>
        <w:t>OTIF/RID/RC/2024/3.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5F33" w14:textId="17CD30BA" w:rsidR="006C480A" w:rsidRPr="006C480A" w:rsidRDefault="006C480A">
    <w:pPr>
      <w:pStyle w:val="En-tte"/>
    </w:pPr>
    <w:fldSimple w:instr=" TITLE  \* MERGEFORMAT ">
      <w:r>
        <w:t>ECE/TRANS/WP.15/AC.1/2024/3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A5E34" w14:textId="29141606" w:rsidR="006C480A" w:rsidRPr="006C480A" w:rsidRDefault="006C480A" w:rsidP="006C480A">
    <w:pPr>
      <w:pStyle w:val="En-tte"/>
      <w:jc w:val="right"/>
    </w:pPr>
    <w:fldSimple w:instr=" TITLE  \* MERGEFORMAT ">
      <w:r>
        <w:t>ECE/TRANS/WP.15/AC.1/2024/3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924608114">
    <w:abstractNumId w:val="12"/>
  </w:num>
  <w:num w:numId="2" w16cid:durableId="525602208">
    <w:abstractNumId w:val="11"/>
  </w:num>
  <w:num w:numId="3" w16cid:durableId="1025866519">
    <w:abstractNumId w:val="10"/>
  </w:num>
  <w:num w:numId="4" w16cid:durableId="1427113010">
    <w:abstractNumId w:val="8"/>
  </w:num>
  <w:num w:numId="5" w16cid:durableId="1069574435">
    <w:abstractNumId w:val="3"/>
  </w:num>
  <w:num w:numId="6" w16cid:durableId="576985546">
    <w:abstractNumId w:val="2"/>
  </w:num>
  <w:num w:numId="7" w16cid:durableId="797141218">
    <w:abstractNumId w:val="1"/>
  </w:num>
  <w:num w:numId="8" w16cid:durableId="1291133201">
    <w:abstractNumId w:val="0"/>
  </w:num>
  <w:num w:numId="9" w16cid:durableId="267742792">
    <w:abstractNumId w:val="9"/>
  </w:num>
  <w:num w:numId="10" w16cid:durableId="1790466493">
    <w:abstractNumId w:val="7"/>
  </w:num>
  <w:num w:numId="11" w16cid:durableId="1245453408">
    <w:abstractNumId w:val="6"/>
  </w:num>
  <w:num w:numId="12" w16cid:durableId="1800764370">
    <w:abstractNumId w:val="5"/>
  </w:num>
  <w:num w:numId="13" w16cid:durableId="131757570">
    <w:abstractNumId w:val="4"/>
  </w:num>
  <w:num w:numId="14" w16cid:durableId="2040348700">
    <w:abstractNumId w:val="12"/>
  </w:num>
  <w:num w:numId="15" w16cid:durableId="1397052460">
    <w:abstractNumId w:val="11"/>
  </w:num>
  <w:num w:numId="16" w16cid:durableId="3334586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0DC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740DC"/>
    <w:rsid w:val="00586ED3"/>
    <w:rsid w:val="00596AA9"/>
    <w:rsid w:val="006C480A"/>
    <w:rsid w:val="0071601D"/>
    <w:rsid w:val="007A62E6"/>
    <w:rsid w:val="007F20FA"/>
    <w:rsid w:val="0080684C"/>
    <w:rsid w:val="00871C75"/>
    <w:rsid w:val="008776DC"/>
    <w:rsid w:val="00895F87"/>
    <w:rsid w:val="008D5EF9"/>
    <w:rsid w:val="009446C0"/>
    <w:rsid w:val="009705C8"/>
    <w:rsid w:val="009C1CF4"/>
    <w:rsid w:val="009F6B74"/>
    <w:rsid w:val="00A3029F"/>
    <w:rsid w:val="00A30353"/>
    <w:rsid w:val="00A7288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97039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1EEF9"/>
  <w15:docId w15:val="{98E48E16-6C51-4E00-B14D-EECDD902D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,Footnote Reference/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C480A"/>
    <w:rPr>
      <w:rFonts w:ascii="Times New Roman" w:eastAsiaTheme="minorHAnsi" w:hAnsi="Times New Roman" w:cs="Times New Roman"/>
      <w:b/>
      <w:sz w:val="28"/>
      <w:szCs w:val="20"/>
      <w:lang w:eastAsia="en-US"/>
    </w:rPr>
  </w:style>
  <w:style w:type="character" w:customStyle="1" w:styleId="H1GChar">
    <w:name w:val="_ H_1_G Char"/>
    <w:link w:val="H1G"/>
    <w:rsid w:val="006C480A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SingleTxtGChar">
    <w:name w:val="_ Single Txt_G Char"/>
    <w:link w:val="SingleTxtG"/>
    <w:qFormat/>
    <w:rsid w:val="006C480A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ée un document." ma:contentTypeScope="" ma:versionID="e18bef637d0f1ddca225288e0d432ec3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a115814b681581b4d823fe6aeb4d21e0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6EE68-AB87-4057-86E2-AFCC3FAA8929}"/>
</file>

<file path=customXml/itemProps2.xml><?xml version="1.0" encoding="utf-8"?>
<ds:datastoreItem xmlns:ds="http://schemas.openxmlformats.org/officeDocument/2006/customXml" ds:itemID="{320C8946-D268-4DF7-AAA9-E41776FFF817}"/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357</Words>
  <Characters>1975</Characters>
  <Application>Microsoft Office Word</Application>
  <DocSecurity>0</DocSecurity>
  <Lines>52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DCM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ECE/TRANS/WP.15/AC.1/2024/3</dc:title>
  <dc:subject/>
  <dc:creator>Sandrine CLERE</dc:creator>
  <cp:keywords/>
  <cp:lastModifiedBy>Sandrine Clere</cp:lastModifiedBy>
  <cp:revision>2</cp:revision>
  <cp:lastPrinted>2014-05-14T10:59:00Z</cp:lastPrinted>
  <dcterms:created xsi:type="dcterms:W3CDTF">2024-01-15T13:19:00Z</dcterms:created>
  <dcterms:modified xsi:type="dcterms:W3CDTF">2024-01-15T13:19:00Z</dcterms:modified>
</cp:coreProperties>
</file>