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E70C68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425654" w14:textId="77777777" w:rsidR="00F35BAF" w:rsidRPr="00DB58B5" w:rsidRDefault="00F35BAF" w:rsidP="003C0DA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F6BB3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7A147D" w14:textId="6EE826B8" w:rsidR="00F35BAF" w:rsidRPr="00DB58B5" w:rsidRDefault="003C0DA1" w:rsidP="003C0DA1">
            <w:pPr>
              <w:jc w:val="right"/>
            </w:pPr>
            <w:r w:rsidRPr="003C0DA1">
              <w:rPr>
                <w:sz w:val="40"/>
              </w:rPr>
              <w:t>ECE</w:t>
            </w:r>
            <w:r>
              <w:t>/TRANS/WP.15/AC.1/2024/9</w:t>
            </w:r>
          </w:p>
        </w:tc>
      </w:tr>
      <w:tr w:rsidR="00F35BAF" w:rsidRPr="00DB58B5" w14:paraId="60CC19B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7C9E4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6D8FC37" wp14:editId="7D50BA1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CFF77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D77458" w14:textId="77777777" w:rsidR="00F35BAF" w:rsidRDefault="003C0DA1" w:rsidP="00C97039">
            <w:pPr>
              <w:spacing w:before="240"/>
            </w:pPr>
            <w:r>
              <w:t>Distr. générale</w:t>
            </w:r>
          </w:p>
          <w:p w14:paraId="74288343" w14:textId="77777777" w:rsidR="003C0DA1" w:rsidRDefault="003C0DA1" w:rsidP="003C0DA1">
            <w:pPr>
              <w:spacing w:line="240" w:lineRule="exact"/>
            </w:pPr>
            <w:r>
              <w:t>15 décembre 2023</w:t>
            </w:r>
          </w:p>
          <w:p w14:paraId="31EA096B" w14:textId="77777777" w:rsidR="003C0DA1" w:rsidRDefault="003C0DA1" w:rsidP="003C0DA1">
            <w:pPr>
              <w:spacing w:line="240" w:lineRule="exact"/>
            </w:pPr>
            <w:r>
              <w:t>Français</w:t>
            </w:r>
          </w:p>
          <w:p w14:paraId="5F552728" w14:textId="6CE35672" w:rsidR="003C0DA1" w:rsidRPr="00DB58B5" w:rsidRDefault="003C0DA1" w:rsidP="003C0DA1">
            <w:pPr>
              <w:spacing w:line="240" w:lineRule="exact"/>
            </w:pPr>
            <w:r>
              <w:t>Original : anglais</w:t>
            </w:r>
          </w:p>
        </w:tc>
      </w:tr>
    </w:tbl>
    <w:p w14:paraId="1102BEA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15898E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20E9F41" w14:textId="77777777" w:rsidR="003C0DA1" w:rsidRPr="009E01B8" w:rsidRDefault="003C0DA1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6F0102F9" w14:textId="77777777" w:rsidR="003C0DA1" w:rsidRPr="005F472F" w:rsidRDefault="003C0DA1" w:rsidP="003C0DA1">
      <w:pPr>
        <w:spacing w:before="120"/>
        <w:rPr>
          <w:b/>
        </w:rPr>
      </w:pPr>
      <w:r w:rsidRPr="005F472F"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 w:rsidRPr="005F472F">
        <w:rPr>
          <w:b/>
          <w:bCs/>
          <w:lang w:val="fr-FR"/>
        </w:rPr>
        <w:t xml:space="preserve">experts du RID </w:t>
      </w:r>
      <w:r>
        <w:rPr>
          <w:b/>
          <w:bCs/>
          <w:lang w:val="fr-FR"/>
        </w:rPr>
        <w:br/>
      </w:r>
      <w:r w:rsidRPr="005F472F">
        <w:rPr>
          <w:b/>
          <w:bCs/>
          <w:lang w:val="fr-FR"/>
        </w:rPr>
        <w:t xml:space="preserve">et du Groupe de travail des transports </w:t>
      </w:r>
      <w:r>
        <w:rPr>
          <w:b/>
          <w:bCs/>
          <w:lang w:val="fr-FR"/>
        </w:rPr>
        <w:br/>
      </w:r>
      <w:r w:rsidRPr="005F472F">
        <w:rPr>
          <w:b/>
          <w:bCs/>
          <w:lang w:val="fr-FR"/>
        </w:rPr>
        <w:t>de marchandises dangereuses</w:t>
      </w:r>
    </w:p>
    <w:p w14:paraId="14DC0079" w14:textId="77777777" w:rsidR="003C0DA1" w:rsidRPr="005F472F" w:rsidRDefault="003C0DA1" w:rsidP="003C0DA1">
      <w:r>
        <w:rPr>
          <w:lang w:val="fr-FR"/>
        </w:rPr>
        <w:t>Berne, 25-28 mars 2024</w:t>
      </w:r>
    </w:p>
    <w:p w14:paraId="570AD8BB" w14:textId="77777777" w:rsidR="003C0DA1" w:rsidRPr="005F472F" w:rsidRDefault="003C0DA1" w:rsidP="003C0DA1">
      <w:r w:rsidRPr="005F472F">
        <w:rPr>
          <w:lang w:val="fr-FR"/>
        </w:rPr>
        <w:t>Point 3 de l</w:t>
      </w:r>
      <w:r>
        <w:rPr>
          <w:lang w:val="fr-FR"/>
        </w:rPr>
        <w:t>’</w:t>
      </w:r>
      <w:r w:rsidRPr="005F472F">
        <w:rPr>
          <w:lang w:val="fr-FR"/>
        </w:rPr>
        <w:t>ordre du jour provisoire</w:t>
      </w:r>
    </w:p>
    <w:p w14:paraId="56294F4E" w14:textId="77777777" w:rsidR="003C0DA1" w:rsidRPr="005F472F" w:rsidRDefault="003C0DA1" w:rsidP="003C0DA1">
      <w:pPr>
        <w:rPr>
          <w:b/>
        </w:rPr>
      </w:pPr>
      <w:r w:rsidRPr="005F472F">
        <w:rPr>
          <w:b/>
          <w:bCs/>
          <w:lang w:val="fr-FR"/>
        </w:rPr>
        <w:t>Normes</w:t>
      </w:r>
    </w:p>
    <w:p w14:paraId="09D44738" w14:textId="77777777" w:rsidR="003C0DA1" w:rsidRPr="007775D8" w:rsidRDefault="003C0DA1" w:rsidP="0090019E">
      <w:pPr>
        <w:pStyle w:val="HChG"/>
      </w:pPr>
      <w:r w:rsidRPr="007775D8">
        <w:rPr>
          <w:lang w:val="fr-FR"/>
        </w:rPr>
        <w:tab/>
      </w:r>
      <w:r w:rsidRPr="007775D8">
        <w:rPr>
          <w:lang w:val="fr-FR"/>
        </w:rPr>
        <w:tab/>
        <w:t xml:space="preserve">Informations sur les activités du Groupe de travail </w:t>
      </w:r>
      <w:r>
        <w:rPr>
          <w:lang w:val="fr-FR"/>
        </w:rPr>
        <w:br/>
      </w:r>
      <w:r w:rsidRPr="007775D8">
        <w:rPr>
          <w:lang w:val="fr-FR"/>
        </w:rPr>
        <w:t>des normes</w:t>
      </w:r>
    </w:p>
    <w:p w14:paraId="2FBCE7B1" w14:textId="77777777" w:rsidR="003C0DA1" w:rsidRPr="007775D8" w:rsidRDefault="003C0DA1" w:rsidP="0090019E">
      <w:pPr>
        <w:pStyle w:val="H1G"/>
      </w:pPr>
      <w:r w:rsidRPr="007775D8">
        <w:rPr>
          <w:lang w:val="fr-FR"/>
        </w:rPr>
        <w:tab/>
      </w:r>
      <w:r w:rsidRPr="007775D8">
        <w:rPr>
          <w:lang w:val="fr-FR"/>
        </w:rPr>
        <w:tab/>
        <w:t>Communication du Comité européen de normalisation (CEN)</w:t>
      </w:r>
      <w:r w:rsidRPr="005F472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90019E">
        <w:rPr>
          <w:b w:val="0"/>
          <w:sz w:val="20"/>
          <w:vertAlign w:val="superscript"/>
          <w:lang w:val="fr-FR"/>
        </w:rPr>
        <w:t>,</w:t>
      </w:r>
      <w:r>
        <w:rPr>
          <w:bCs/>
          <w:sz w:val="20"/>
          <w:vertAlign w:val="superscript"/>
          <w:lang w:val="fr-FR"/>
        </w:rPr>
        <w:t xml:space="preserve"> </w:t>
      </w:r>
      <w:r w:rsidRPr="005F472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7775D8">
        <w:rPr>
          <w:lang w:val="fr-FR"/>
        </w:rPr>
        <w:t xml:space="preserve"> </w:t>
      </w:r>
    </w:p>
    <w:p w14:paraId="7D113B8D" w14:textId="77777777" w:rsidR="003C0DA1" w:rsidRPr="007775D8" w:rsidRDefault="003C0DA1" w:rsidP="0090019E">
      <w:pPr>
        <w:pStyle w:val="HChG"/>
      </w:pPr>
      <w:r w:rsidRPr="007775D8"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</w:r>
      <w:r w:rsidRPr="007775D8">
        <w:rPr>
          <w:lang w:val="fr-FR"/>
        </w:rPr>
        <w:t>Introduction</w:t>
      </w:r>
    </w:p>
    <w:p w14:paraId="192690A7" w14:textId="77777777" w:rsidR="003C0DA1" w:rsidRPr="00BD0C21" w:rsidRDefault="003C0DA1" w:rsidP="0090019E">
      <w:pPr>
        <w:pStyle w:val="SingleTxtG"/>
      </w:pPr>
      <w:r w:rsidRPr="00BD0C21">
        <w:t>1.</w:t>
      </w:r>
      <w:r w:rsidRPr="00BD0C21">
        <w:tab/>
      </w:r>
      <w:r w:rsidRPr="00BD0C21">
        <w:rPr>
          <w:lang w:val="fr-FR"/>
        </w:rPr>
        <w:t>Conformément à l</w:t>
      </w:r>
      <w:r>
        <w:rPr>
          <w:lang w:val="fr-FR"/>
        </w:rPr>
        <w:t>’</w:t>
      </w:r>
      <w:r w:rsidRPr="00BD0C21">
        <w:rPr>
          <w:lang w:val="fr-FR"/>
        </w:rPr>
        <w:t xml:space="preserve">accord de coopération conclu entre le Comité européen de normalisation/Comité européen de normalisation électrotechnique (CEN/CENELEC) et la Réunion commune (voir </w:t>
      </w:r>
      <w:r>
        <w:rPr>
          <w:lang w:val="fr-FR"/>
        </w:rPr>
        <w:t xml:space="preserve">le document </w:t>
      </w:r>
      <w:r w:rsidRPr="00BD0C21">
        <w:rPr>
          <w:lang w:val="fr-FR"/>
        </w:rPr>
        <w:t>ECE/TRANS/WP.15/AC.1/122/Add.2, tel que modifié par l</w:t>
      </w:r>
      <w:r>
        <w:rPr>
          <w:lang w:val="fr-FR"/>
        </w:rPr>
        <w:t>’</w:t>
      </w:r>
      <w:r w:rsidRPr="00BD0C21">
        <w:rPr>
          <w:lang w:val="fr-FR"/>
        </w:rPr>
        <w:t>annexe</w:t>
      </w:r>
      <w:r>
        <w:rPr>
          <w:lang w:val="fr-FR"/>
        </w:rPr>
        <w:t> </w:t>
      </w:r>
      <w:r w:rsidRPr="00BD0C21">
        <w:rPr>
          <w:lang w:val="fr-FR"/>
        </w:rPr>
        <w:t xml:space="preserve">III du </w:t>
      </w:r>
      <w:r>
        <w:rPr>
          <w:lang w:val="fr-FR"/>
        </w:rPr>
        <w:t xml:space="preserve">document </w:t>
      </w:r>
      <w:r w:rsidRPr="00BD0C21">
        <w:rPr>
          <w:lang w:val="fr-FR"/>
        </w:rPr>
        <w:t>ECE/TRANS/WP.15/AC.1/130), le Centre de gestion du CEN/CENELEC a proposé des normes auxquelles le RID et l</w:t>
      </w:r>
      <w:r>
        <w:rPr>
          <w:lang w:val="fr-FR"/>
        </w:rPr>
        <w:t>’</w:t>
      </w:r>
      <w:r w:rsidRPr="00BD0C21">
        <w:rPr>
          <w:lang w:val="fr-FR"/>
        </w:rPr>
        <w:t>ADR devraient renvoyer.</w:t>
      </w:r>
    </w:p>
    <w:p w14:paraId="77881707" w14:textId="77777777" w:rsidR="003C0DA1" w:rsidRPr="007775D8" w:rsidRDefault="003C0DA1" w:rsidP="0090019E">
      <w:pPr>
        <w:pStyle w:val="HChG"/>
      </w:pPr>
      <w:r w:rsidRPr="007775D8"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</w:r>
      <w:r w:rsidRPr="007775D8">
        <w:rPr>
          <w:lang w:val="fr-FR"/>
        </w:rPr>
        <w:t>Activités menées durant le dernier semestre</w:t>
      </w:r>
    </w:p>
    <w:p w14:paraId="3AE868DF" w14:textId="77777777" w:rsidR="003C0DA1" w:rsidRPr="00BD0C21" w:rsidRDefault="003C0DA1" w:rsidP="0090019E">
      <w:pPr>
        <w:pStyle w:val="SingleTxtG"/>
      </w:pPr>
      <w:r w:rsidRPr="00BD0C21">
        <w:rPr>
          <w:lang w:val="fr-FR"/>
        </w:rPr>
        <w:t>2.</w:t>
      </w:r>
      <w:r w:rsidRPr="00BD0C21">
        <w:rPr>
          <w:lang w:val="fr-FR"/>
        </w:rPr>
        <w:tab/>
        <w:t xml:space="preserve">Les </w:t>
      </w:r>
      <w:r>
        <w:rPr>
          <w:lang w:val="fr-FR"/>
        </w:rPr>
        <w:t>10 octobre, 8 novembre et 5 décembre</w:t>
      </w:r>
      <w:r w:rsidRPr="00BD0C21">
        <w:rPr>
          <w:lang w:val="fr-FR"/>
        </w:rPr>
        <w:t xml:space="preserve"> 2023, le CEN a envoyé des projets de norme au Groupe de travail pour examen. Les normes concernées par chacun des trois projets ont fait l</w:t>
      </w:r>
      <w:r>
        <w:rPr>
          <w:lang w:val="fr-FR"/>
        </w:rPr>
        <w:t>’</w:t>
      </w:r>
      <w:r w:rsidRPr="00BD0C21">
        <w:rPr>
          <w:lang w:val="fr-FR"/>
        </w:rPr>
        <w:t>objet d</w:t>
      </w:r>
      <w:r>
        <w:rPr>
          <w:lang w:val="fr-FR"/>
        </w:rPr>
        <w:t>’</w:t>
      </w:r>
      <w:r w:rsidRPr="00BD0C21">
        <w:rPr>
          <w:lang w:val="fr-FR"/>
        </w:rPr>
        <w:t>évaluations indépendantes.</w:t>
      </w:r>
      <w:bookmarkStart w:id="0" w:name="_Hlk137648860"/>
      <w:bookmarkEnd w:id="0"/>
    </w:p>
    <w:p w14:paraId="010BFA46" w14:textId="77777777" w:rsidR="003C0DA1" w:rsidRPr="007775D8" w:rsidRDefault="003C0DA1" w:rsidP="0090019E">
      <w:pPr>
        <w:pStyle w:val="HChG"/>
      </w:pPr>
      <w:r w:rsidRPr="007775D8">
        <w:rPr>
          <w:lang w:val="fr-FR"/>
        </w:rPr>
        <w:tab/>
      </w:r>
      <w:r>
        <w:rPr>
          <w:lang w:val="fr-FR"/>
        </w:rPr>
        <w:t>III.</w:t>
      </w:r>
      <w:r>
        <w:rPr>
          <w:lang w:val="fr-FR"/>
        </w:rPr>
        <w:tab/>
      </w:r>
      <w:r w:rsidRPr="007775D8">
        <w:rPr>
          <w:lang w:val="fr-FR"/>
        </w:rPr>
        <w:t>Études nouvelles</w:t>
      </w:r>
    </w:p>
    <w:p w14:paraId="438CF8F1" w14:textId="35C228A8" w:rsidR="003C0DA1" w:rsidRPr="00BD0C21" w:rsidRDefault="003C0DA1" w:rsidP="0090019E">
      <w:pPr>
        <w:pStyle w:val="SingleTxtG"/>
      </w:pPr>
      <w:r w:rsidRPr="00BD0C21">
        <w:rPr>
          <w:lang w:val="fr-FR"/>
        </w:rPr>
        <w:t>3.</w:t>
      </w:r>
      <w:r w:rsidRPr="00BD0C21">
        <w:rPr>
          <w:lang w:val="fr-FR"/>
        </w:rPr>
        <w:tab/>
        <w:t>En ce qui concerne le programme de travail du CEN, la Réunion commune est invitée à noter que les études nouvelles énumérées ci-après, qui portent sur le transport des marchandises dangereuses, ont été ajoutées au programme des comités techniques</w:t>
      </w:r>
      <w:r w:rsidR="0090019E">
        <w:rPr>
          <w:lang w:val="fr-FR"/>
        </w:rPr>
        <w:t xml:space="preserve"> </w:t>
      </w:r>
      <w:r w:rsidRPr="00BD0C21">
        <w:rPr>
          <w:lang w:val="fr-FR"/>
        </w:rPr>
        <w:t>CEN</w:t>
      </w:r>
      <w:r>
        <w:rPr>
          <w:lang w:val="fr-FR"/>
        </w:rPr>
        <w:t>/TC</w:t>
      </w:r>
      <w:r w:rsidR="0090019E">
        <w:rPr>
          <w:lang w:val="fr-FR"/>
        </w:rPr>
        <w:t> </w:t>
      </w:r>
      <w:r w:rsidRPr="00BD0C21">
        <w:rPr>
          <w:lang w:val="fr-FR"/>
        </w:rPr>
        <w:t>23, 268, 286 et 296.</w:t>
      </w:r>
    </w:p>
    <w:p w14:paraId="12370128" w14:textId="77777777" w:rsidR="003C0DA1" w:rsidRPr="00BD0C21" w:rsidRDefault="003C0DA1" w:rsidP="0090019E">
      <w:pPr>
        <w:pStyle w:val="SingleTxtG"/>
      </w:pPr>
      <w:r w:rsidRPr="00BD0C21">
        <w:rPr>
          <w:lang w:val="fr-FR"/>
        </w:rPr>
        <w:lastRenderedPageBreak/>
        <w:t>4.</w:t>
      </w:r>
      <w:r w:rsidRPr="00BD0C21">
        <w:rPr>
          <w:lang w:val="fr-FR"/>
        </w:rPr>
        <w:tab/>
        <w:t>Les membres de la Réunion commune sont invités à prier leurs experts de participer, par l</w:t>
      </w:r>
      <w:r>
        <w:rPr>
          <w:lang w:val="fr-FR"/>
        </w:rPr>
        <w:t>’</w:t>
      </w:r>
      <w:r w:rsidRPr="00BD0C21">
        <w:rPr>
          <w:lang w:val="fr-FR"/>
        </w:rPr>
        <w:t>intermédiaire des organismes de normalisation nationaux, au travail de rédaction et de révision de ces études.</w:t>
      </w:r>
    </w:p>
    <w:p w14:paraId="63342509" w14:textId="5062EFA7" w:rsidR="003C0DA1" w:rsidRPr="006B7755" w:rsidRDefault="0090019E" w:rsidP="0090019E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3C0DA1" w:rsidRPr="006B7755">
        <w:rPr>
          <w:lang w:val="fr-FR"/>
        </w:rPr>
        <w:t xml:space="preserve">Tableau des études nouvelles inscrites au programme de travail du CEN </w:t>
      </w:r>
      <w:r>
        <w:rPr>
          <w:lang w:val="fr-FR"/>
        </w:rPr>
        <w:br/>
      </w:r>
      <w:r w:rsidR="003C0DA1">
        <w:rPr>
          <w:lang w:val="fr-FR"/>
        </w:rPr>
        <w:t>qui présentent un lien avec</w:t>
      </w:r>
      <w:r w:rsidR="003C0DA1" w:rsidRPr="006B7755">
        <w:rPr>
          <w:lang w:val="fr-FR"/>
        </w:rPr>
        <w:t xml:space="preserve"> des dispositions du RID, de l</w:t>
      </w:r>
      <w:r w:rsidR="003C0DA1">
        <w:rPr>
          <w:lang w:val="fr-FR"/>
        </w:rPr>
        <w:t>’</w:t>
      </w:r>
      <w:r w:rsidR="003C0DA1" w:rsidRPr="006B7755">
        <w:rPr>
          <w:lang w:val="fr-FR"/>
        </w:rPr>
        <w:t>ADR et de l</w:t>
      </w:r>
      <w:r w:rsidR="003C0DA1">
        <w:rPr>
          <w:lang w:val="fr-FR"/>
        </w:rPr>
        <w:t>’</w:t>
      </w:r>
      <w:r w:rsidR="003C0DA1" w:rsidRPr="006B7755">
        <w:rPr>
          <w:lang w:val="fr-FR"/>
        </w:rPr>
        <w:t xml:space="preserve">ADN 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2769"/>
        <w:gridCol w:w="3331"/>
      </w:tblGrid>
      <w:tr w:rsidR="0090019E" w:rsidRPr="00104A1E" w14:paraId="4A602859" w14:textId="77777777" w:rsidTr="0090019E">
        <w:tc>
          <w:tcPr>
            <w:tcW w:w="1271" w:type="dxa"/>
            <w:shd w:val="clear" w:color="auto" w:fill="F2F2F2"/>
            <w:vAlign w:val="bottom"/>
          </w:tcPr>
          <w:p w14:paraId="627DAB60" w14:textId="77777777" w:rsidR="003C0DA1" w:rsidRPr="00EA0C7A" w:rsidRDefault="003C0DA1" w:rsidP="00700B0B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sz w:val="18"/>
              </w:rPr>
            </w:pPr>
            <w:r w:rsidRPr="0044101E">
              <w:rPr>
                <w:i/>
                <w:sz w:val="16"/>
                <w:lang w:val="fr-FR"/>
              </w:rPr>
              <w:t>Organisme de normalisation responsable</w:t>
            </w:r>
          </w:p>
        </w:tc>
        <w:tc>
          <w:tcPr>
            <w:tcW w:w="1134" w:type="dxa"/>
            <w:shd w:val="clear" w:color="auto" w:fill="F2F2F2"/>
            <w:vAlign w:val="bottom"/>
          </w:tcPr>
          <w:p w14:paraId="0A246B4D" w14:textId="77777777" w:rsidR="003C0DA1" w:rsidRPr="00EA0C7A" w:rsidRDefault="003C0DA1" w:rsidP="00700B0B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sz w:val="18"/>
              </w:rPr>
            </w:pPr>
            <w:r w:rsidRPr="0044101E">
              <w:rPr>
                <w:i/>
                <w:sz w:val="16"/>
                <w:lang w:val="fr-FR"/>
              </w:rPr>
              <w:t>Étude n</w:t>
            </w:r>
            <w:r w:rsidRPr="0044101E">
              <w:rPr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2769" w:type="dxa"/>
            <w:shd w:val="clear" w:color="auto" w:fill="F2F2F2"/>
            <w:vAlign w:val="bottom"/>
          </w:tcPr>
          <w:p w14:paraId="32353241" w14:textId="77777777" w:rsidR="003C0DA1" w:rsidRPr="00EA0C7A" w:rsidRDefault="003C0DA1" w:rsidP="00700B0B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sz w:val="18"/>
              </w:rPr>
            </w:pPr>
            <w:r w:rsidRPr="0044101E">
              <w:rPr>
                <w:i/>
                <w:sz w:val="16"/>
                <w:lang w:val="fr-FR"/>
              </w:rPr>
              <w:t>Référence</w:t>
            </w:r>
          </w:p>
        </w:tc>
        <w:tc>
          <w:tcPr>
            <w:tcW w:w="3331" w:type="dxa"/>
            <w:shd w:val="clear" w:color="auto" w:fill="F2F2F2"/>
            <w:vAlign w:val="bottom"/>
          </w:tcPr>
          <w:p w14:paraId="3DD5B3D1" w14:textId="77777777" w:rsidR="003C0DA1" w:rsidRPr="00EA0C7A" w:rsidRDefault="003C0DA1" w:rsidP="00700B0B">
            <w:pPr>
              <w:keepNext/>
              <w:spacing w:before="80" w:after="80" w:line="200" w:lineRule="exact"/>
              <w:ind w:left="57" w:right="57"/>
              <w:jc w:val="center"/>
              <w:rPr>
                <w:b/>
                <w:sz w:val="18"/>
              </w:rPr>
            </w:pPr>
            <w:r w:rsidRPr="0044101E">
              <w:rPr>
                <w:i/>
                <w:sz w:val="16"/>
                <w:lang w:val="fr-FR"/>
              </w:rPr>
              <w:t>Titre</w:t>
            </w:r>
          </w:p>
        </w:tc>
      </w:tr>
      <w:tr w:rsidR="0090019E" w:rsidRPr="00B71616" w14:paraId="53649076" w14:textId="77777777" w:rsidTr="0090019E">
        <w:trPr>
          <w:trHeight w:val="420"/>
        </w:trPr>
        <w:tc>
          <w:tcPr>
            <w:tcW w:w="1271" w:type="dxa"/>
            <w:shd w:val="clear" w:color="auto" w:fill="auto"/>
          </w:tcPr>
          <w:p w14:paraId="65F8CCD9" w14:textId="77777777" w:rsidR="003C0DA1" w:rsidRPr="00104A1E" w:rsidRDefault="003C0DA1" w:rsidP="00700B0B">
            <w:pPr>
              <w:spacing w:before="60" w:after="60"/>
              <w:ind w:left="57" w:right="57"/>
            </w:pPr>
            <w:r>
              <w:t>CEN/TC 23</w:t>
            </w:r>
          </w:p>
        </w:tc>
        <w:tc>
          <w:tcPr>
            <w:tcW w:w="1134" w:type="dxa"/>
            <w:shd w:val="clear" w:color="auto" w:fill="auto"/>
          </w:tcPr>
          <w:p w14:paraId="14D79DF7" w14:textId="77777777" w:rsidR="003C0DA1" w:rsidRPr="00104A1E" w:rsidRDefault="003C0DA1" w:rsidP="00700B0B">
            <w:pPr>
              <w:spacing w:before="60" w:after="60"/>
              <w:ind w:left="57" w:right="57"/>
            </w:pPr>
            <w:r>
              <w:t>00023255</w:t>
            </w:r>
          </w:p>
        </w:tc>
        <w:tc>
          <w:tcPr>
            <w:tcW w:w="2769" w:type="dxa"/>
            <w:shd w:val="clear" w:color="auto" w:fill="auto"/>
          </w:tcPr>
          <w:p w14:paraId="2ED3CD3F" w14:textId="5226B926" w:rsidR="003C0DA1" w:rsidRPr="001412EA" w:rsidRDefault="003C0DA1" w:rsidP="00700B0B">
            <w:pPr>
              <w:spacing w:before="60" w:after="60"/>
              <w:ind w:left="57" w:right="57"/>
            </w:pPr>
            <w:proofErr w:type="spellStart"/>
            <w:r>
              <w:t>pr</w:t>
            </w:r>
            <w:r w:rsidRPr="006D5EB7">
              <w:t>EN</w:t>
            </w:r>
            <w:proofErr w:type="spellEnd"/>
            <w:r w:rsidRPr="006D5EB7">
              <w:t xml:space="preserve"> ISO </w:t>
            </w:r>
            <w:r w:rsidRPr="00CC5549">
              <w:t xml:space="preserve">9809-4 </w:t>
            </w:r>
            <w:proofErr w:type="spellStart"/>
            <w:r w:rsidRPr="00CC5549">
              <w:t>rev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14:paraId="0E75AC6D" w14:textId="42598F91" w:rsidR="003C0DA1" w:rsidRPr="00B71616" w:rsidRDefault="003C0DA1" w:rsidP="00700B0B">
            <w:pPr>
              <w:spacing w:before="60" w:after="60"/>
              <w:ind w:left="57" w:right="57"/>
            </w:pPr>
            <w:r w:rsidRPr="00871810">
              <w:rPr>
                <w:lang w:val="fr-FR"/>
              </w:rPr>
              <w:t xml:space="preserve">Bouteilles à gaz </w:t>
            </w:r>
            <w:r w:rsidR="0090019E">
              <w:rPr>
                <w:lang w:val="fr-FR"/>
              </w:rPr>
              <w:t>−</w:t>
            </w:r>
            <w:r w:rsidRPr="00871810">
              <w:rPr>
                <w:lang w:val="fr-FR"/>
              </w:rPr>
              <w:t xml:space="preserve"> Conception, construction et essais des bouteilles à gaz et des tubes rechargeables en acier sans soudure </w:t>
            </w:r>
            <w:r w:rsidR="0090019E">
              <w:rPr>
                <w:lang w:val="fr-FR"/>
              </w:rPr>
              <w:t>−</w:t>
            </w:r>
            <w:r>
              <w:t xml:space="preserve"> </w:t>
            </w:r>
            <w:r w:rsidRPr="00E35654">
              <w:rPr>
                <w:lang w:val="fr-FR"/>
              </w:rPr>
              <w:t>Partie 4</w:t>
            </w:r>
            <w:r w:rsidR="0090019E">
              <w:rPr>
                <w:lang w:val="fr-FR"/>
              </w:rPr>
              <w:t> </w:t>
            </w:r>
            <w:r w:rsidRPr="00E35654">
              <w:rPr>
                <w:lang w:val="fr-FR"/>
              </w:rPr>
              <w:t xml:space="preserve">: Bouteilles en acier inoxydable </w:t>
            </w:r>
            <w:r>
              <w:rPr>
                <w:lang w:val="fr-FR"/>
              </w:rPr>
              <w:t>ayant</w:t>
            </w:r>
            <w:r w:rsidRPr="00E35654">
              <w:rPr>
                <w:lang w:val="fr-FR"/>
              </w:rPr>
              <w:t xml:space="preserve"> une valeur</w:t>
            </w:r>
            <w:r>
              <w:rPr>
                <w:lang w:val="fr-FR"/>
              </w:rPr>
              <w:t xml:space="preserve"> de</w:t>
            </w:r>
            <w:r w:rsidRPr="00E35654">
              <w:rPr>
                <w:lang w:val="fr-FR"/>
              </w:rPr>
              <w:t xml:space="preserve"> </w:t>
            </w:r>
            <w:proofErr w:type="spellStart"/>
            <w:r w:rsidRPr="00E35654">
              <w:rPr>
                <w:lang w:val="fr-FR"/>
              </w:rPr>
              <w:t>Rm</w:t>
            </w:r>
            <w:proofErr w:type="spellEnd"/>
            <w:r w:rsidRPr="00E35654">
              <w:rPr>
                <w:lang w:val="fr-FR"/>
              </w:rPr>
              <w:t xml:space="preserve"> inférieure à 1 100 MPa</w:t>
            </w:r>
          </w:p>
        </w:tc>
      </w:tr>
      <w:tr w:rsidR="003C0DA1" w:rsidRPr="0090019E" w14:paraId="25C6D560" w14:textId="77777777" w:rsidTr="0090019E">
        <w:trPr>
          <w:trHeight w:val="420"/>
        </w:trPr>
        <w:tc>
          <w:tcPr>
            <w:tcW w:w="1271" w:type="dxa"/>
            <w:shd w:val="clear" w:color="auto" w:fill="auto"/>
          </w:tcPr>
          <w:p w14:paraId="5406E7EA" w14:textId="77777777" w:rsidR="003C0DA1" w:rsidRDefault="003C0DA1" w:rsidP="00700B0B">
            <w:pPr>
              <w:spacing w:before="60" w:after="60"/>
              <w:ind w:left="57" w:right="57"/>
            </w:pPr>
            <w:r>
              <w:t>CEN/TC 23</w:t>
            </w:r>
          </w:p>
        </w:tc>
        <w:tc>
          <w:tcPr>
            <w:tcW w:w="1134" w:type="dxa"/>
            <w:shd w:val="clear" w:color="auto" w:fill="auto"/>
          </w:tcPr>
          <w:p w14:paraId="27FBEF2D" w14:textId="77777777" w:rsidR="003C0DA1" w:rsidRDefault="003C0DA1" w:rsidP="00700B0B">
            <w:pPr>
              <w:spacing w:before="60" w:after="60"/>
              <w:ind w:left="57" w:right="57"/>
            </w:pPr>
            <w:r>
              <w:t>00023258</w:t>
            </w:r>
          </w:p>
        </w:tc>
        <w:tc>
          <w:tcPr>
            <w:tcW w:w="2769" w:type="dxa"/>
            <w:shd w:val="clear" w:color="auto" w:fill="auto"/>
          </w:tcPr>
          <w:p w14:paraId="07134BCC" w14:textId="77777777" w:rsidR="003C0DA1" w:rsidRDefault="003C0DA1" w:rsidP="00700B0B">
            <w:pPr>
              <w:spacing w:before="60" w:after="60"/>
              <w:ind w:left="57" w:right="57"/>
            </w:pPr>
            <w:proofErr w:type="spellStart"/>
            <w:r w:rsidRPr="00C946DC">
              <w:t>prEN</w:t>
            </w:r>
            <w:proofErr w:type="spellEnd"/>
            <w:r w:rsidRPr="00C946DC">
              <w:t xml:space="preserve"> 13807 </w:t>
            </w:r>
            <w:proofErr w:type="spellStart"/>
            <w:r w:rsidRPr="00C946DC">
              <w:t>rev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14:paraId="0A4F784D" w14:textId="4990FE19" w:rsidR="003C0DA1" w:rsidRPr="00EA0C7A" w:rsidRDefault="003C0DA1" w:rsidP="00700B0B">
            <w:pPr>
              <w:spacing w:before="60" w:after="60"/>
              <w:ind w:left="57" w:right="57"/>
              <w:rPr>
                <w:lang w:val="fr-FR"/>
              </w:rPr>
            </w:pPr>
            <w:r w:rsidRPr="00EA0C7A">
              <w:rPr>
                <w:lang w:val="fr-FR"/>
              </w:rPr>
              <w:t xml:space="preserve">Bouteilles à gaz transportables </w:t>
            </w:r>
            <w:r w:rsidR="0090019E">
              <w:rPr>
                <w:lang w:val="fr-FR"/>
              </w:rPr>
              <w:t>− </w:t>
            </w:r>
            <w:r w:rsidRPr="00EA0C7A">
              <w:rPr>
                <w:lang w:val="fr-FR"/>
              </w:rPr>
              <w:t xml:space="preserve">Véhicules-batteries et conteneurs à gaz à éléments multiples (CGEM) </w:t>
            </w:r>
            <w:r w:rsidR="0090019E">
              <w:rPr>
                <w:lang w:val="fr-FR"/>
              </w:rPr>
              <w:t>−</w:t>
            </w:r>
            <w:r w:rsidRPr="00EA0C7A">
              <w:rPr>
                <w:lang w:val="fr-FR"/>
              </w:rPr>
              <w:t xml:space="preserve"> Conception, fabrication, identification et essai</w:t>
            </w:r>
          </w:p>
        </w:tc>
      </w:tr>
      <w:tr w:rsidR="003C0DA1" w:rsidRPr="00F12EE1" w14:paraId="59F3C190" w14:textId="77777777" w:rsidTr="0090019E">
        <w:trPr>
          <w:trHeight w:val="420"/>
        </w:trPr>
        <w:tc>
          <w:tcPr>
            <w:tcW w:w="1271" w:type="dxa"/>
            <w:shd w:val="clear" w:color="auto" w:fill="auto"/>
          </w:tcPr>
          <w:p w14:paraId="57F48E94" w14:textId="77777777" w:rsidR="003C0DA1" w:rsidRDefault="003C0DA1" w:rsidP="00700B0B">
            <w:pPr>
              <w:spacing w:before="60" w:after="60"/>
              <w:ind w:left="57" w:right="57"/>
            </w:pPr>
            <w:r>
              <w:t>CEN/TC 268</w:t>
            </w:r>
          </w:p>
        </w:tc>
        <w:tc>
          <w:tcPr>
            <w:tcW w:w="1134" w:type="dxa"/>
            <w:shd w:val="clear" w:color="auto" w:fill="auto"/>
          </w:tcPr>
          <w:p w14:paraId="5C0EA146" w14:textId="77777777" w:rsidR="003C0DA1" w:rsidRDefault="003C0DA1" w:rsidP="00700B0B">
            <w:pPr>
              <w:spacing w:before="60" w:after="60"/>
              <w:ind w:left="57" w:right="57"/>
            </w:pPr>
            <w:r>
              <w:t>00268084</w:t>
            </w:r>
          </w:p>
        </w:tc>
        <w:tc>
          <w:tcPr>
            <w:tcW w:w="2769" w:type="dxa"/>
            <w:shd w:val="clear" w:color="auto" w:fill="auto"/>
          </w:tcPr>
          <w:p w14:paraId="384DEEA5" w14:textId="77777777" w:rsidR="003C0DA1" w:rsidRDefault="003C0DA1" w:rsidP="00700B0B">
            <w:pPr>
              <w:spacing w:before="60" w:after="60"/>
              <w:ind w:left="57" w:right="57"/>
            </w:pPr>
            <w:proofErr w:type="spellStart"/>
            <w:r w:rsidRPr="00C946DC">
              <w:t>prEN</w:t>
            </w:r>
            <w:proofErr w:type="spellEnd"/>
            <w:r w:rsidRPr="00C946DC">
              <w:t xml:space="preserve"> ISO 20421-1</w:t>
            </w:r>
          </w:p>
        </w:tc>
        <w:tc>
          <w:tcPr>
            <w:tcW w:w="3331" w:type="dxa"/>
            <w:shd w:val="clear" w:color="auto" w:fill="auto"/>
          </w:tcPr>
          <w:p w14:paraId="20C8FF38" w14:textId="46A23ED8" w:rsidR="003C0DA1" w:rsidRPr="00EA0C7A" w:rsidRDefault="003C0DA1" w:rsidP="00700B0B">
            <w:pPr>
              <w:spacing w:before="60" w:after="60"/>
              <w:ind w:left="57" w:right="57"/>
              <w:rPr>
                <w:lang w:val="fr-FR"/>
              </w:rPr>
            </w:pPr>
            <w:r w:rsidRPr="00EA0C7A">
              <w:rPr>
                <w:lang w:val="fr-FR"/>
              </w:rPr>
              <w:t xml:space="preserve">Récipients cryogéniques </w:t>
            </w:r>
            <w:r w:rsidR="0090019E">
              <w:rPr>
                <w:lang w:val="fr-FR"/>
              </w:rPr>
              <w:t>−</w:t>
            </w:r>
            <w:r w:rsidRPr="00EA0C7A">
              <w:rPr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Pr="00EA0C7A">
              <w:rPr>
                <w:lang w:val="fr-FR"/>
              </w:rPr>
              <w:t>écipients transportables isolés sous vide</w:t>
            </w:r>
            <w:r>
              <w:rPr>
                <w:lang w:val="fr-FR"/>
              </w:rPr>
              <w:t xml:space="preserve"> de grande contenance</w:t>
            </w:r>
            <w:r w:rsidRPr="00EA0C7A">
              <w:rPr>
                <w:lang w:val="fr-FR"/>
              </w:rPr>
              <w:t xml:space="preserve"> </w:t>
            </w:r>
            <w:r w:rsidR="0090019E">
              <w:rPr>
                <w:lang w:val="fr-FR"/>
              </w:rPr>
              <w:t>−</w:t>
            </w:r>
            <w:r w:rsidRPr="00EA0C7A">
              <w:rPr>
                <w:lang w:val="fr-FR"/>
              </w:rPr>
              <w:t xml:space="preserve"> Partie </w:t>
            </w:r>
            <w:r>
              <w:rPr>
                <w:lang w:val="fr-FR"/>
              </w:rPr>
              <w:t>1</w:t>
            </w:r>
            <w:r w:rsidR="0090019E">
              <w:rPr>
                <w:lang w:val="fr-FR"/>
              </w:rPr>
              <w:t> </w:t>
            </w:r>
            <w:r w:rsidRPr="00EA0C7A">
              <w:rPr>
                <w:lang w:val="fr-FR"/>
              </w:rPr>
              <w:t>:</w:t>
            </w:r>
            <w:r>
              <w:t xml:space="preserve"> </w:t>
            </w:r>
            <w:r>
              <w:rPr>
                <w:lang w:val="fr-FR"/>
              </w:rPr>
              <w:t>C</w:t>
            </w:r>
            <w:r w:rsidRPr="005F11F5">
              <w:rPr>
                <w:lang w:val="fr-FR"/>
              </w:rPr>
              <w:t>onception, fabrication, identification et essai</w:t>
            </w:r>
          </w:p>
        </w:tc>
      </w:tr>
      <w:tr w:rsidR="003C0DA1" w:rsidRPr="00606304" w14:paraId="5028110A" w14:textId="77777777" w:rsidTr="0090019E">
        <w:trPr>
          <w:trHeight w:val="420"/>
        </w:trPr>
        <w:tc>
          <w:tcPr>
            <w:tcW w:w="1271" w:type="dxa"/>
            <w:shd w:val="clear" w:color="auto" w:fill="auto"/>
          </w:tcPr>
          <w:p w14:paraId="77559052" w14:textId="77777777" w:rsidR="003C0DA1" w:rsidRDefault="003C0DA1" w:rsidP="00700B0B">
            <w:pPr>
              <w:spacing w:before="60" w:after="60"/>
              <w:ind w:left="57" w:right="57"/>
            </w:pPr>
            <w:r>
              <w:t>CEN/TC 286</w:t>
            </w:r>
          </w:p>
        </w:tc>
        <w:tc>
          <w:tcPr>
            <w:tcW w:w="1134" w:type="dxa"/>
            <w:shd w:val="clear" w:color="auto" w:fill="auto"/>
          </w:tcPr>
          <w:p w14:paraId="288E7FEB" w14:textId="77777777" w:rsidR="003C0DA1" w:rsidRDefault="003C0DA1" w:rsidP="00700B0B">
            <w:pPr>
              <w:spacing w:before="60" w:after="60"/>
              <w:ind w:left="57" w:right="57"/>
            </w:pPr>
            <w:r>
              <w:t>00286C09</w:t>
            </w:r>
          </w:p>
        </w:tc>
        <w:tc>
          <w:tcPr>
            <w:tcW w:w="2769" w:type="dxa"/>
            <w:shd w:val="clear" w:color="auto" w:fill="auto"/>
          </w:tcPr>
          <w:p w14:paraId="7DCE2406" w14:textId="77777777" w:rsidR="003C0DA1" w:rsidRDefault="003C0DA1" w:rsidP="00700B0B">
            <w:pPr>
              <w:spacing w:before="60" w:after="60"/>
              <w:ind w:left="57" w:right="57"/>
            </w:pPr>
            <w:r w:rsidRPr="00C946DC">
              <w:t>EN 16728:2016+A2:2020/</w:t>
            </w:r>
            <w:proofErr w:type="spellStart"/>
            <w:r w:rsidRPr="00C946DC">
              <w:t>prAC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14:paraId="6848E939" w14:textId="77777777" w:rsidR="003C0DA1" w:rsidRPr="00EA0C7A" w:rsidRDefault="003C0DA1" w:rsidP="00700B0B">
            <w:pPr>
              <w:spacing w:before="60" w:after="60"/>
              <w:ind w:left="57" w:right="57"/>
              <w:rPr>
                <w:lang w:val="fr-FR"/>
              </w:rPr>
            </w:pPr>
            <w:r w:rsidRPr="00EA0C7A">
              <w:rPr>
                <w:lang w:val="fr-FR"/>
              </w:rPr>
              <w:t>Équipements pour GPL et leurs accessoires − Bouteilles transportables et rechargeables pour GPL autres que celles en acier soudé et brasé − Contrôle périodique</w:t>
            </w:r>
          </w:p>
        </w:tc>
      </w:tr>
    </w:tbl>
    <w:p w14:paraId="2C22849A" w14:textId="77777777" w:rsidR="003C0DA1" w:rsidRPr="007775D8" w:rsidRDefault="003C0DA1" w:rsidP="003C0DA1">
      <w:pPr>
        <w:pStyle w:val="HChG"/>
      </w:pPr>
      <w:r w:rsidRPr="00606304">
        <w:rPr>
          <w:lang w:val="fr-FR"/>
        </w:rPr>
        <w:tab/>
      </w:r>
      <w:r>
        <w:rPr>
          <w:lang w:val="fr-FR"/>
        </w:rPr>
        <w:t>IV.</w:t>
      </w:r>
      <w:r>
        <w:rPr>
          <w:lang w:val="fr-FR"/>
        </w:rPr>
        <w:tab/>
      </w:r>
      <w:r w:rsidRPr="007775D8">
        <w:rPr>
          <w:lang w:val="fr-FR"/>
        </w:rPr>
        <w:t>Nouveaux renvois à des normes et renvois modifiés</w:t>
      </w:r>
    </w:p>
    <w:p w14:paraId="4345C4DD" w14:textId="77777777" w:rsidR="003C0DA1" w:rsidRPr="00BD0C21" w:rsidRDefault="003C0DA1" w:rsidP="003C0DA1">
      <w:pPr>
        <w:pStyle w:val="SingleTxtG"/>
        <w:rPr>
          <w:snapToGrid w:val="0"/>
        </w:rPr>
      </w:pPr>
      <w:r w:rsidRPr="00BD0C21">
        <w:rPr>
          <w:lang w:val="fr-FR"/>
        </w:rPr>
        <w:t>5.</w:t>
      </w:r>
      <w:r w:rsidRPr="00BD0C21">
        <w:rPr>
          <w:lang w:val="fr-FR"/>
        </w:rPr>
        <w:tab/>
        <w:t xml:space="preserve">Depuis la session </w:t>
      </w:r>
      <w:r>
        <w:rPr>
          <w:lang w:val="fr-FR"/>
        </w:rPr>
        <w:t>tenue à</w:t>
      </w:r>
      <w:r w:rsidRPr="00BD0C21">
        <w:rPr>
          <w:lang w:val="fr-FR"/>
        </w:rPr>
        <w:t xml:space="preserve"> </w:t>
      </w:r>
      <w:r>
        <w:rPr>
          <w:lang w:val="fr-FR"/>
        </w:rPr>
        <w:t>Genève en</w:t>
      </w:r>
      <w:r w:rsidRPr="00BD0C21">
        <w:rPr>
          <w:lang w:val="fr-FR"/>
        </w:rPr>
        <w:t xml:space="preserve"> 2023, des projets de normes ont atteint les stades de l</w:t>
      </w:r>
      <w:r>
        <w:rPr>
          <w:lang w:val="fr-FR"/>
        </w:rPr>
        <w:t>’</w:t>
      </w:r>
      <w:r w:rsidRPr="00BD0C21">
        <w:rPr>
          <w:lang w:val="fr-FR"/>
        </w:rPr>
        <w:t xml:space="preserve">enquête, du vote officiel ou de la publication. </w:t>
      </w:r>
      <w:r>
        <w:rPr>
          <w:lang w:val="fr-FR"/>
        </w:rPr>
        <w:t>C</w:t>
      </w:r>
      <w:r w:rsidRPr="00BD0C21">
        <w:rPr>
          <w:lang w:val="fr-FR"/>
        </w:rPr>
        <w:t xml:space="preserve">es projets </w:t>
      </w:r>
      <w:r>
        <w:rPr>
          <w:lang w:val="fr-FR"/>
        </w:rPr>
        <w:t xml:space="preserve">sont répertoriés </w:t>
      </w:r>
      <w:r w:rsidRPr="00BD0C21">
        <w:rPr>
          <w:lang w:val="fr-FR"/>
        </w:rPr>
        <w:t>dans l</w:t>
      </w:r>
      <w:r>
        <w:rPr>
          <w:lang w:val="fr-FR"/>
        </w:rPr>
        <w:t>’</w:t>
      </w:r>
      <w:r w:rsidRPr="00BD0C21">
        <w:rPr>
          <w:lang w:val="fr-FR"/>
        </w:rPr>
        <w:t>annexe du présent document.</w:t>
      </w:r>
    </w:p>
    <w:p w14:paraId="43310654" w14:textId="5E733E87" w:rsidR="003C0DA1" w:rsidRDefault="003C0DA1" w:rsidP="003C0DA1">
      <w:pPr>
        <w:pStyle w:val="SingleTxtG"/>
        <w:rPr>
          <w:lang w:val="fr-FR"/>
        </w:rPr>
      </w:pPr>
      <w:r w:rsidRPr="007775D8">
        <w:rPr>
          <w:lang w:val="fr-FR"/>
        </w:rPr>
        <w:t>6.</w:t>
      </w:r>
      <w:r w:rsidRPr="007775D8">
        <w:rPr>
          <w:lang w:val="fr-FR"/>
        </w:rPr>
        <w:tab/>
        <w:t>Les membres de la Réunion commune ont déjà été invités à communiquer leurs observations</w:t>
      </w:r>
      <w:r>
        <w:rPr>
          <w:lang w:val="fr-FR"/>
        </w:rPr>
        <w:t xml:space="preserve"> concernant les </w:t>
      </w:r>
      <w:r w:rsidRPr="0074657B">
        <w:rPr>
          <w:lang w:val="fr-FR"/>
        </w:rPr>
        <w:t>documents figurant dans les envois des</w:t>
      </w:r>
      <w:r w:rsidRPr="007775D8">
        <w:rPr>
          <w:lang w:val="fr-FR"/>
        </w:rPr>
        <w:t xml:space="preserve"> </w:t>
      </w:r>
      <w:r>
        <w:rPr>
          <w:lang w:val="fr-FR"/>
        </w:rPr>
        <w:t xml:space="preserve">10 octobre, 8 novembre et 5 décembre 2023 </w:t>
      </w:r>
      <w:r w:rsidRPr="007775D8">
        <w:rPr>
          <w:lang w:val="fr-FR"/>
        </w:rPr>
        <w:t>au Centre de gestion du CEN/CENELEC (</w:t>
      </w:r>
      <w:hyperlink r:id="rId8" w:history="1">
        <w:r w:rsidRPr="00745AEB">
          <w:rPr>
            <w:rStyle w:val="Lienhypertexte"/>
            <w:lang w:val="fr-FR"/>
          </w:rPr>
          <w:t>macarreira@cencenelec.eu</w:t>
        </w:r>
      </w:hyperlink>
      <w:r w:rsidRPr="007775D8">
        <w:rPr>
          <w:lang w:val="fr-FR"/>
        </w:rPr>
        <w:t>)</w:t>
      </w:r>
      <w:r>
        <w:rPr>
          <w:lang w:val="fr-FR"/>
        </w:rPr>
        <w:t xml:space="preserve"> </w:t>
      </w:r>
      <w:r w:rsidRPr="00EA0C7A">
        <w:rPr>
          <w:b/>
          <w:bCs/>
          <w:lang w:val="fr-FR"/>
        </w:rPr>
        <w:t>avant le</w:t>
      </w:r>
      <w:r>
        <w:rPr>
          <w:lang w:val="fr-FR"/>
        </w:rPr>
        <w:t xml:space="preserve"> </w:t>
      </w:r>
      <w:r w:rsidRPr="00EA0C7A">
        <w:rPr>
          <w:b/>
          <w:bCs/>
          <w:lang w:val="fr-FR"/>
        </w:rPr>
        <w:t>20 décembre 2023</w:t>
      </w:r>
      <w:r w:rsidRPr="007775D8">
        <w:rPr>
          <w:lang w:val="fr-FR"/>
        </w:rPr>
        <w:t xml:space="preserve">. </w:t>
      </w:r>
      <w:r>
        <w:rPr>
          <w:lang w:val="fr-FR"/>
        </w:rPr>
        <w:t>D</w:t>
      </w:r>
      <w:r w:rsidRPr="007775D8">
        <w:rPr>
          <w:lang w:val="fr-FR"/>
        </w:rPr>
        <w:t>es</w:t>
      </w:r>
      <w:r>
        <w:rPr>
          <w:lang w:val="fr-FR"/>
        </w:rPr>
        <w:t> </w:t>
      </w:r>
      <w:r w:rsidRPr="007775D8">
        <w:rPr>
          <w:lang w:val="fr-FR"/>
        </w:rPr>
        <w:t xml:space="preserve">conférences </w:t>
      </w:r>
      <w:r>
        <w:rPr>
          <w:lang w:val="fr-FR"/>
        </w:rPr>
        <w:t xml:space="preserve">en ligne destinées à l’examen de ces observations </w:t>
      </w:r>
      <w:r w:rsidRPr="007775D8">
        <w:rPr>
          <w:lang w:val="fr-FR"/>
        </w:rPr>
        <w:t xml:space="preserve">devraient se tenir </w:t>
      </w:r>
      <w:r w:rsidRPr="00EA0C7A">
        <w:rPr>
          <w:b/>
          <w:bCs/>
          <w:lang w:val="fr-FR"/>
        </w:rPr>
        <w:t>en janvier 202</w:t>
      </w:r>
      <w:r>
        <w:rPr>
          <w:b/>
          <w:bCs/>
          <w:lang w:val="fr-FR"/>
        </w:rPr>
        <w:t>4</w:t>
      </w:r>
      <w:r w:rsidRPr="00EA0C7A">
        <w:rPr>
          <w:b/>
          <w:bCs/>
          <w:lang w:val="fr-FR"/>
        </w:rPr>
        <w:t xml:space="preserve"> (date à déterminer)</w:t>
      </w:r>
      <w:r w:rsidRPr="0090019E">
        <w:rPr>
          <w:lang w:val="fr-FR"/>
        </w:rPr>
        <w:t>.</w:t>
      </w:r>
      <w:r w:rsidRPr="00EA0C7A">
        <w:rPr>
          <w:b/>
          <w:bCs/>
          <w:lang w:val="fr-FR"/>
        </w:rPr>
        <w:t xml:space="preserve"> </w:t>
      </w:r>
      <w:r w:rsidRPr="007775D8">
        <w:rPr>
          <w:lang w:val="fr-FR"/>
        </w:rPr>
        <w:t>Toutes les observations communiquées seront regroupées dans un même document et transmises à la Réunion commune.</w:t>
      </w:r>
    </w:p>
    <w:p w14:paraId="0632A8F9" w14:textId="77777777" w:rsidR="003C0DA1" w:rsidRDefault="003C0DA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21312F2" w14:textId="30326C0B" w:rsidR="003C0DA1" w:rsidRPr="007775D8" w:rsidRDefault="003C0DA1" w:rsidP="003C0DA1">
      <w:pPr>
        <w:pStyle w:val="HChG"/>
      </w:pPr>
      <w:r w:rsidRPr="007775D8">
        <w:rPr>
          <w:lang w:val="fr-FR"/>
        </w:rPr>
        <w:t>Annexe</w:t>
      </w:r>
    </w:p>
    <w:p w14:paraId="20CAAA61" w14:textId="3BEE4ECB" w:rsidR="003C0DA1" w:rsidRPr="00135F44" w:rsidRDefault="003C0DA1" w:rsidP="0090019E">
      <w:pPr>
        <w:pStyle w:val="H1G"/>
      </w:pPr>
      <w:r>
        <w:rPr>
          <w:lang w:val="fr-FR"/>
        </w:rPr>
        <w:tab/>
      </w:r>
      <w:r w:rsidRPr="00135F44">
        <w:rPr>
          <w:lang w:val="fr-FR"/>
        </w:rPr>
        <w:t>A.</w:t>
      </w:r>
      <w:r w:rsidRPr="00135F44">
        <w:rPr>
          <w:lang w:val="fr-FR"/>
        </w:rPr>
        <w:tab/>
        <w:t>Normes au stade 2</w:t>
      </w:r>
      <w:r w:rsidR="0090019E">
        <w:rPr>
          <w:lang w:val="fr-FR"/>
        </w:rPr>
        <w:t> </w:t>
      </w:r>
      <w:r w:rsidRPr="00135F44">
        <w:rPr>
          <w:lang w:val="fr-FR"/>
        </w:rPr>
        <w:t>: soumises à l</w:t>
      </w:r>
      <w:r>
        <w:rPr>
          <w:lang w:val="fr-FR"/>
        </w:rPr>
        <w:t>’</w:t>
      </w:r>
      <w:r w:rsidRPr="00135F44">
        <w:rPr>
          <w:lang w:val="fr-FR"/>
        </w:rPr>
        <w:t>enquête publique</w:t>
      </w:r>
    </w:p>
    <w:p w14:paraId="19F70443" w14:textId="77777777" w:rsidR="003C0DA1" w:rsidRPr="00135F44" w:rsidRDefault="003C0DA1" w:rsidP="003C0DA1">
      <w:pPr>
        <w:pStyle w:val="SingleTxtG"/>
        <w:ind w:left="284"/>
        <w:rPr>
          <w:b/>
          <w:iCs/>
        </w:rPr>
      </w:pPr>
      <w:bookmarkStart w:id="1" w:name="_Hlk26779328"/>
      <w:r w:rsidRPr="00135F44">
        <w:rPr>
          <w:lang w:val="fr-FR"/>
        </w:rPr>
        <w:t>Envoi 1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4"/>
        <w:gridCol w:w="1245"/>
        <w:gridCol w:w="547"/>
        <w:gridCol w:w="2443"/>
        <w:gridCol w:w="1567"/>
        <w:gridCol w:w="1535"/>
        <w:gridCol w:w="1698"/>
      </w:tblGrid>
      <w:tr w:rsidR="00C70AD5" w:rsidRPr="00EA0C7A" w14:paraId="10D587BB" w14:textId="77777777" w:rsidTr="00C70AD5">
        <w:trPr>
          <w:tblHeader/>
        </w:trPr>
        <w:tc>
          <w:tcPr>
            <w:tcW w:w="95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B34178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spacing w:val="-3"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 xml:space="preserve">EN ISO </w:t>
            </w:r>
            <w:r w:rsidRPr="00EA0C7A">
              <w:rPr>
                <w:b/>
                <w:spacing w:val="-3"/>
                <w:sz w:val="18"/>
                <w:szCs w:val="18"/>
              </w:rPr>
              <w:t>17871:2020/prA1</w:t>
            </w:r>
          </w:p>
        </w:tc>
        <w:tc>
          <w:tcPr>
            <w:tcW w:w="155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7E35C2E" w14:textId="0C962974" w:rsidR="003C0DA1" w:rsidRPr="00EA0C7A" w:rsidRDefault="003C0DA1" w:rsidP="00700B0B">
            <w:pPr>
              <w:pStyle w:val="Pa0"/>
              <w:keepNext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 w:rsidRPr="00EA0C7A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Bouteilles à gaz </w:t>
            </w:r>
            <w:r w:rsidR="008B50F6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−</w:t>
            </w:r>
            <w:r w:rsidRPr="00EA0C7A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Robinets de bouteilles à ouverture rapide </w:t>
            </w:r>
            <w:r w:rsidR="008B50F6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−</w:t>
            </w:r>
            <w:r w:rsidRPr="00EA0C7A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Spécifications et essais de type</w:t>
            </w:r>
            <w:r w:rsidR="008B50F6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−</w:t>
            </w:r>
            <w:r w:rsidRPr="00EA0C7A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Amendement 1 </w:t>
            </w:r>
            <w:r w:rsidRPr="00EA0C7A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br/>
              <w:t xml:space="preserve">(ISO </w:t>
            </w:r>
            <w:r w:rsidRPr="00EA0C7A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17871:2020</w:t>
            </w:r>
            <w:r w:rsidRPr="00EA0C7A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/DAM 1:2023)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542467" w14:textId="5EB969F2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 xml:space="preserve">Dans quelle(s) disposition(s) du RID et de l’ADR citer la norme </w:t>
            </w:r>
            <w:r w:rsidR="00B3443B">
              <w:rPr>
                <w:b/>
                <w:bCs/>
                <w:sz w:val="18"/>
                <w:szCs w:val="18"/>
                <w:lang w:val="fr-FR"/>
              </w:rPr>
              <w:br/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t>en référence :</w:t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br/>
              <w:t>6.2.4.1</w:t>
            </w:r>
          </w:p>
        </w:tc>
        <w:tc>
          <w:tcPr>
            <w:tcW w:w="167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0F9238C" w14:textId="6859F508" w:rsidR="003C0DA1" w:rsidRPr="00EA0C7A" w:rsidRDefault="003C0DA1" w:rsidP="008B50F6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</w:rPr>
              <w:t>Sous-sections et paragraphes applicables</w:t>
            </w:r>
            <w:r w:rsidR="008B50F6">
              <w:rPr>
                <w:b/>
                <w:bCs/>
                <w:sz w:val="18"/>
                <w:szCs w:val="18"/>
              </w:rPr>
              <w:t> :</w:t>
            </w:r>
            <w:r w:rsidR="008B50F6">
              <w:rPr>
                <w:b/>
                <w:bCs/>
                <w:sz w:val="18"/>
                <w:szCs w:val="18"/>
              </w:rPr>
              <w:br/>
            </w:r>
            <w:r w:rsidRPr="00EA0C7A">
              <w:rPr>
                <w:sz w:val="18"/>
                <w:szCs w:val="18"/>
              </w:rPr>
              <w:t>6.2.3.1, 6.2.2.3 et 6.2.3.4</w:t>
            </w:r>
          </w:p>
        </w:tc>
      </w:tr>
      <w:tr w:rsidR="00C70AD5" w:rsidRPr="00EA0C7A" w14:paraId="2F23E3AE" w14:textId="77777777" w:rsidTr="00C70AD5">
        <w:trPr>
          <w:tblHeader/>
        </w:trPr>
        <w:tc>
          <w:tcPr>
            <w:tcW w:w="959" w:type="pct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C4CA8D" w14:textId="3EDB72D5" w:rsidR="003C0DA1" w:rsidRPr="008B50F6" w:rsidRDefault="008B50F6" w:rsidP="00700B0B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0F6">
              <w:rPr>
                <w:spacing w:val="-3"/>
                <w:sz w:val="18"/>
                <w:szCs w:val="18"/>
              </w:rPr>
              <w:t>00023252</w:t>
            </w:r>
          </w:p>
        </w:tc>
        <w:tc>
          <w:tcPr>
            <w:tcW w:w="15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9B7737" w14:textId="77777777" w:rsidR="003C0DA1" w:rsidRPr="00EA0C7A" w:rsidRDefault="003C0DA1" w:rsidP="00700B0B">
            <w:pPr>
              <w:pStyle w:val="Pa0"/>
              <w:keepNext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393359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677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73CA48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0DA1" w:rsidRPr="00EA0C7A" w14:paraId="1BD22A2C" w14:textId="77777777" w:rsidTr="00C70AD5">
        <w:tc>
          <w:tcPr>
            <w:tcW w:w="5000" w:type="pct"/>
            <w:gridSpan w:val="7"/>
          </w:tcPr>
          <w:p w14:paraId="0EE2548C" w14:textId="74E861AE" w:rsidR="003C0DA1" w:rsidRPr="00EA0C7A" w:rsidRDefault="003C0DA1" w:rsidP="00700B0B">
            <w:pPr>
              <w:keepNext/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Évaluation du Conseiller pour les normes auprès de la Réunion commune</w:t>
            </w:r>
            <w:r w:rsidR="008B50F6">
              <w:rPr>
                <w:sz w:val="18"/>
                <w:szCs w:val="18"/>
                <w:lang w:val="fr-FR"/>
              </w:rPr>
              <w:t> </w:t>
            </w:r>
            <w:r w:rsidRPr="00EA0C7A">
              <w:rPr>
                <w:sz w:val="18"/>
                <w:szCs w:val="18"/>
                <w:lang w:val="fr-FR"/>
              </w:rPr>
              <w:t>: Cette norme est conforme au RID et à l’ADR et peut être ajoutée aux normes citées en référence.</w:t>
            </w:r>
          </w:p>
        </w:tc>
      </w:tr>
      <w:tr w:rsidR="003C0DA1" w:rsidRPr="00EA0C7A" w14:paraId="25367A51" w14:textId="77777777" w:rsidTr="00C70AD5">
        <w:tc>
          <w:tcPr>
            <w:tcW w:w="5000" w:type="pct"/>
            <w:gridSpan w:val="7"/>
          </w:tcPr>
          <w:p w14:paraId="68A88D02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>Observations des membres de la Réunion commune</w:t>
            </w:r>
          </w:p>
        </w:tc>
      </w:tr>
      <w:tr w:rsidR="00C70AD5" w:rsidRPr="00EA0C7A" w14:paraId="5D42C8CB" w14:textId="77777777" w:rsidTr="00C70AD5">
        <w:tc>
          <w:tcPr>
            <w:tcW w:w="313" w:type="pct"/>
            <w:tcMar>
              <w:top w:w="57" w:type="dxa"/>
              <w:bottom w:w="57" w:type="dxa"/>
            </w:tcMar>
          </w:tcPr>
          <w:p w14:paraId="35FF412E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Pays</w:t>
            </w:r>
          </w:p>
        </w:tc>
        <w:tc>
          <w:tcPr>
            <w:tcW w:w="646" w:type="pct"/>
            <w:tcMar>
              <w:top w:w="57" w:type="dxa"/>
              <w:bottom w:w="57" w:type="dxa"/>
            </w:tcMar>
          </w:tcPr>
          <w:p w14:paraId="1C744DB1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Article n</w:t>
            </w:r>
            <w:r w:rsidRPr="00EA0C7A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Pr="00EA0C7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51" w:type="pct"/>
            <w:gridSpan w:val="2"/>
            <w:tcMar>
              <w:top w:w="57" w:type="dxa"/>
              <w:bottom w:w="57" w:type="dxa"/>
            </w:tcMar>
          </w:tcPr>
          <w:p w14:paraId="34D539D2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Observation (justification de la modification) </w:t>
            </w:r>
          </w:p>
        </w:tc>
        <w:tc>
          <w:tcPr>
            <w:tcW w:w="813" w:type="pct"/>
            <w:tcMar>
              <w:top w:w="57" w:type="dxa"/>
              <w:bottom w:w="57" w:type="dxa"/>
            </w:tcMar>
          </w:tcPr>
          <w:p w14:paraId="731801CE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Modification proposée </w:t>
            </w:r>
          </w:p>
        </w:tc>
        <w:tc>
          <w:tcPr>
            <w:tcW w:w="796" w:type="pct"/>
            <w:tcMar>
              <w:top w:w="57" w:type="dxa"/>
              <w:bottom w:w="57" w:type="dxa"/>
            </w:tcMar>
          </w:tcPr>
          <w:p w14:paraId="7B0A37D7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Observation du Conseiller pour les normes auprès de la Réunion commune</w:t>
            </w:r>
          </w:p>
        </w:tc>
        <w:tc>
          <w:tcPr>
            <w:tcW w:w="881" w:type="pct"/>
            <w:tcMar>
              <w:top w:w="57" w:type="dxa"/>
              <w:bottom w:w="57" w:type="dxa"/>
            </w:tcMar>
          </w:tcPr>
          <w:p w14:paraId="520D249F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Observation du Groupe </w:t>
            </w:r>
            <w:r w:rsidRPr="00EA0C7A">
              <w:rPr>
                <w:sz w:val="18"/>
                <w:szCs w:val="18"/>
                <w:lang w:val="fr-FR"/>
              </w:rPr>
              <w:br/>
              <w:t xml:space="preserve">de travail des normes </w:t>
            </w:r>
          </w:p>
        </w:tc>
      </w:tr>
      <w:tr w:rsidR="00C70AD5" w:rsidRPr="00EA0C7A" w14:paraId="37096DA8" w14:textId="77777777" w:rsidTr="00C70AD5">
        <w:tc>
          <w:tcPr>
            <w:tcW w:w="313" w:type="pct"/>
            <w:tcMar>
              <w:top w:w="0" w:type="dxa"/>
              <w:bottom w:w="0" w:type="dxa"/>
            </w:tcMar>
          </w:tcPr>
          <w:p w14:paraId="661DF633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67AF64B" w14:textId="77777777" w:rsidR="003C0DA1" w:rsidRPr="00EA0C7A" w:rsidRDefault="003C0DA1" w:rsidP="00700B0B">
            <w:pPr>
              <w:pStyle w:val="ISOClause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szCs w:val="18"/>
                <w:lang w:eastAsia="en-GB"/>
              </w:rPr>
            </w:pPr>
          </w:p>
        </w:tc>
        <w:tc>
          <w:tcPr>
            <w:tcW w:w="155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6476713" w14:textId="77777777" w:rsidR="003C0DA1" w:rsidRPr="00EA0C7A" w:rsidRDefault="003C0DA1" w:rsidP="00700B0B">
            <w:pPr>
              <w:pStyle w:val="ISOComments"/>
              <w:spacing w:before="60" w:after="60" w:line="240" w:lineRule="auto"/>
              <w:ind w:left="57" w:right="57"/>
              <w:rPr>
                <w:rFonts w:ascii="Times New Roman" w:hAnsi="Times New Roman"/>
                <w:szCs w:val="18"/>
                <w:lang w:eastAsia="en-GB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C4A16DA" w14:textId="77777777" w:rsidR="003C0DA1" w:rsidRPr="00EA0C7A" w:rsidRDefault="003C0DA1" w:rsidP="00700B0B">
            <w:pPr>
              <w:pStyle w:val="ISOChange"/>
              <w:spacing w:before="60" w:after="60" w:line="240" w:lineRule="auto"/>
              <w:ind w:left="57" w:right="57"/>
              <w:rPr>
                <w:rFonts w:ascii="Times New Roman" w:hAnsi="Times New Roman"/>
                <w:szCs w:val="18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15B5F99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81" w:type="pct"/>
            <w:tcMar>
              <w:top w:w="0" w:type="dxa"/>
              <w:bottom w:w="0" w:type="dxa"/>
            </w:tcMar>
          </w:tcPr>
          <w:p w14:paraId="796F1F1C" w14:textId="77777777" w:rsidR="003C0DA1" w:rsidRPr="00EA0C7A" w:rsidRDefault="003C0DA1" w:rsidP="00700B0B">
            <w:pPr>
              <w:keepLines/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C70AD5" w:rsidRPr="00EA0C7A" w14:paraId="32E289F1" w14:textId="77777777" w:rsidTr="00C70AD5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FC0A2DD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C34FA83" w14:textId="77777777" w:rsidR="003C0DA1" w:rsidRPr="00EA0C7A" w:rsidRDefault="003C0DA1" w:rsidP="00700B0B">
            <w:pPr>
              <w:pStyle w:val="ISOParagraph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77B41BE" w14:textId="77777777" w:rsidR="003C0DA1" w:rsidRPr="00EA0C7A" w:rsidRDefault="003C0DA1" w:rsidP="00700B0B">
            <w:pPr>
              <w:pStyle w:val="ISOComments"/>
              <w:spacing w:before="60" w:after="60" w:line="240" w:lineRule="auto"/>
              <w:ind w:left="57" w:right="57"/>
              <w:rPr>
                <w:rFonts w:ascii="Times New Roman" w:hAnsi="Times New Roman"/>
                <w:szCs w:val="18"/>
              </w:rPr>
            </w:pPr>
          </w:p>
        </w:tc>
        <w:tc>
          <w:tcPr>
            <w:tcW w:w="8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E95DAD0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5F8074D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81" w:type="pct"/>
            <w:tcMar>
              <w:top w:w="0" w:type="dxa"/>
              <w:bottom w:w="0" w:type="dxa"/>
            </w:tcMar>
          </w:tcPr>
          <w:p w14:paraId="373CCF1E" w14:textId="77777777" w:rsidR="003C0DA1" w:rsidRPr="00EA0C7A" w:rsidRDefault="003C0DA1" w:rsidP="00700B0B">
            <w:pPr>
              <w:keepLines/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C70AD5" w:rsidRPr="00EA0C7A" w14:paraId="60BB39FE" w14:textId="77777777" w:rsidTr="00C70AD5">
        <w:tc>
          <w:tcPr>
            <w:tcW w:w="95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7D2A670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>Décision du Groupe de travail des normes</w:t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747DFE5" w14:textId="77777777" w:rsidR="003C0DA1" w:rsidRPr="00EA0C7A" w:rsidRDefault="003C0DA1" w:rsidP="00700B0B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08D3E25" w14:textId="62F4C431" w:rsidR="003C0DA1" w:rsidRPr="00EA0C7A" w:rsidRDefault="003C0DA1" w:rsidP="008B50F6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Observations</w:t>
            </w:r>
          </w:p>
        </w:tc>
        <w:tc>
          <w:tcPr>
            <w:tcW w:w="249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595D93A" w14:textId="77777777" w:rsidR="003C0DA1" w:rsidRPr="00EA0C7A" w:rsidRDefault="003C0DA1" w:rsidP="00700B0B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</w:tbl>
    <w:p w14:paraId="09ACC0C2" w14:textId="77777777" w:rsidR="003C0DA1" w:rsidRPr="00135F44" w:rsidRDefault="003C0DA1" w:rsidP="003C0DA1">
      <w:pPr>
        <w:pStyle w:val="SingleTxtG"/>
        <w:keepNext/>
        <w:spacing w:before="240"/>
        <w:ind w:left="284"/>
        <w:rPr>
          <w:b/>
          <w:iCs/>
        </w:rPr>
      </w:pPr>
      <w:r w:rsidRPr="00135F44">
        <w:rPr>
          <w:lang w:val="fr-FR"/>
        </w:rPr>
        <w:t>Envoi 2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9"/>
        <w:gridCol w:w="1220"/>
        <w:gridCol w:w="576"/>
        <w:gridCol w:w="2489"/>
        <w:gridCol w:w="1567"/>
        <w:gridCol w:w="1673"/>
        <w:gridCol w:w="1475"/>
      </w:tblGrid>
      <w:tr w:rsidR="003C0DA1" w:rsidRPr="00EA0C7A" w14:paraId="44317842" w14:textId="77777777" w:rsidTr="00C70AD5">
        <w:trPr>
          <w:tblHeader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6B9324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  <w:sz w:val="18"/>
                <w:szCs w:val="18"/>
              </w:rPr>
            </w:pPr>
            <w:proofErr w:type="spellStart"/>
            <w:r w:rsidRPr="00EA0C7A">
              <w:rPr>
                <w:b/>
                <w:bCs/>
                <w:sz w:val="18"/>
                <w:szCs w:val="18"/>
                <w:lang w:val="fr-FR"/>
              </w:rPr>
              <w:t>prEN</w:t>
            </w:r>
            <w:proofErr w:type="spellEnd"/>
            <w:r w:rsidRPr="00EA0C7A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EA0C7A">
              <w:rPr>
                <w:b/>
                <w:spacing w:val="-3"/>
                <w:sz w:val="18"/>
                <w:szCs w:val="18"/>
              </w:rPr>
              <w:t xml:space="preserve">ISO 11118 </w:t>
            </w:r>
            <w:proofErr w:type="spellStart"/>
            <w:r w:rsidRPr="00EA0C7A">
              <w:rPr>
                <w:b/>
                <w:spacing w:val="-3"/>
                <w:sz w:val="18"/>
                <w:szCs w:val="18"/>
              </w:rPr>
              <w:t>rev</w:t>
            </w:r>
            <w:proofErr w:type="spellEnd"/>
          </w:p>
        </w:tc>
        <w:tc>
          <w:tcPr>
            <w:tcW w:w="301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F89C8E" w14:textId="77777777" w:rsidR="003C0DA1" w:rsidRPr="00EA0C7A" w:rsidRDefault="003C0DA1" w:rsidP="00700B0B">
            <w:pPr>
              <w:pStyle w:val="Pa0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 w:rsidRPr="00EA0C7A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Bouteilles à gaz − Bouteilles à gaz métalliques non rechargeables − Spécifications et méthodes d’essai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4809D0D" w14:textId="583B1BDA" w:rsidR="003C0DA1" w:rsidRPr="00EA0C7A" w:rsidRDefault="003C0DA1" w:rsidP="008B50F6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 xml:space="preserve">Dans quelle(s) disposition(s) du RID et de l’ADR citer la norme </w:t>
            </w:r>
            <w:r w:rsidR="00B3443B">
              <w:rPr>
                <w:b/>
                <w:bCs/>
                <w:sz w:val="18"/>
                <w:szCs w:val="18"/>
                <w:lang w:val="fr-FR"/>
              </w:rPr>
              <w:br/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t>en référence</w:t>
            </w:r>
            <w:r w:rsidR="008B50F6">
              <w:rPr>
                <w:b/>
                <w:bCs/>
                <w:sz w:val="18"/>
                <w:szCs w:val="18"/>
                <w:lang w:val="fr-FR"/>
              </w:rPr>
              <w:t> </w:t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t>:</w:t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br/>
              <w:t xml:space="preserve">4.1.6.15 </w:t>
            </w:r>
            <w:r w:rsidR="008B50F6">
              <w:rPr>
                <w:b/>
                <w:bCs/>
                <w:sz w:val="18"/>
                <w:szCs w:val="18"/>
                <w:lang w:val="fr-FR"/>
              </w:rPr>
              <w:br/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t>6.2.4.1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6C276F" w14:textId="4876FA24" w:rsidR="003C0DA1" w:rsidRPr="00EA0C7A" w:rsidRDefault="003C0DA1" w:rsidP="008B50F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</w:rPr>
              <w:t>Sous-sections et paragraphes applicables </w:t>
            </w:r>
            <w:r w:rsidRPr="008B50F6">
              <w:rPr>
                <w:b/>
                <w:bCs/>
                <w:sz w:val="18"/>
                <w:szCs w:val="18"/>
                <w:lang w:val="fr-FR"/>
              </w:rPr>
              <w:t>:</w:t>
            </w:r>
            <w:r w:rsidRPr="00EA0C7A">
              <w:rPr>
                <w:sz w:val="18"/>
                <w:szCs w:val="18"/>
                <w:lang w:val="fr-FR"/>
              </w:rPr>
              <w:t xml:space="preserve"> </w:t>
            </w:r>
            <w:r w:rsidRPr="00EA0C7A">
              <w:rPr>
                <w:sz w:val="18"/>
                <w:szCs w:val="18"/>
              </w:rPr>
              <w:t xml:space="preserve">4.1.6.8 </w:t>
            </w:r>
            <w:r w:rsidR="008B50F6">
              <w:rPr>
                <w:sz w:val="18"/>
                <w:szCs w:val="18"/>
              </w:rPr>
              <w:br/>
            </w:r>
            <w:r w:rsidRPr="00EA0C7A">
              <w:rPr>
                <w:sz w:val="18"/>
                <w:szCs w:val="18"/>
              </w:rPr>
              <w:t>6.2.3.1, 6.2.3.3 et 6.2.3.4</w:t>
            </w:r>
          </w:p>
        </w:tc>
      </w:tr>
      <w:tr w:rsidR="003C0DA1" w:rsidRPr="00EA0C7A" w14:paraId="3498B333" w14:textId="77777777" w:rsidTr="00C70AD5">
        <w:trPr>
          <w:tblHeader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8DF58E3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pacing w:val="-3"/>
                <w:sz w:val="18"/>
                <w:szCs w:val="18"/>
              </w:rPr>
            </w:pPr>
            <w:r w:rsidRPr="00EA0C7A">
              <w:rPr>
                <w:spacing w:val="-3"/>
                <w:sz w:val="18"/>
                <w:szCs w:val="18"/>
              </w:rPr>
              <w:t>00023249</w:t>
            </w:r>
          </w:p>
        </w:tc>
        <w:tc>
          <w:tcPr>
            <w:tcW w:w="30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61DF4B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C0307E" w14:textId="77777777" w:rsidR="003C0DA1" w:rsidRPr="00EA0C7A" w:rsidRDefault="003C0DA1" w:rsidP="00700B0B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18"/>
                <w:szCs w:val="18"/>
              </w:rPr>
            </w:pPr>
          </w:p>
        </w:tc>
        <w:tc>
          <w:tcPr>
            <w:tcW w:w="309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C110924" w14:textId="77777777" w:rsidR="003C0DA1" w:rsidRPr="00EA0C7A" w:rsidRDefault="003C0DA1" w:rsidP="00700B0B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18"/>
                <w:szCs w:val="18"/>
              </w:rPr>
            </w:pPr>
          </w:p>
        </w:tc>
      </w:tr>
      <w:tr w:rsidR="003C0DA1" w:rsidRPr="00EA0C7A" w14:paraId="0DE26024" w14:textId="77777777" w:rsidTr="00C70AD5">
        <w:tc>
          <w:tcPr>
            <w:tcW w:w="9483" w:type="dxa"/>
            <w:gridSpan w:val="7"/>
          </w:tcPr>
          <w:p w14:paraId="611F6E96" w14:textId="27F1FF61" w:rsidR="003C0DA1" w:rsidRPr="00EA0C7A" w:rsidRDefault="003C0DA1" w:rsidP="00700B0B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Évaluation du Conseiller pour les normes auprès de la Réunion commune</w:t>
            </w:r>
            <w:r w:rsidR="008B50F6">
              <w:rPr>
                <w:sz w:val="18"/>
                <w:szCs w:val="18"/>
                <w:lang w:val="fr-FR"/>
              </w:rPr>
              <w:t> </w:t>
            </w:r>
            <w:r w:rsidRPr="00EA0C7A">
              <w:rPr>
                <w:sz w:val="18"/>
                <w:szCs w:val="18"/>
                <w:lang w:val="fr-FR"/>
              </w:rPr>
              <w:t>: Cette norme n’est pas conforme au RID, à l’ADR et à l’ADN (ni au Règlement type de l’ONU) et doit être corrigée avant que son ajout aux normes citées en référence puisse être approuvé.</w:t>
            </w:r>
          </w:p>
        </w:tc>
      </w:tr>
      <w:tr w:rsidR="003C0DA1" w:rsidRPr="00EA0C7A" w14:paraId="45D708CC" w14:textId="77777777" w:rsidTr="00C70AD5">
        <w:tc>
          <w:tcPr>
            <w:tcW w:w="9483" w:type="dxa"/>
            <w:gridSpan w:val="7"/>
          </w:tcPr>
          <w:p w14:paraId="408EEAEB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>Observations des membres de la Réunion commune</w:t>
            </w:r>
          </w:p>
        </w:tc>
      </w:tr>
      <w:tr w:rsidR="003C0DA1" w:rsidRPr="00EA0C7A" w14:paraId="764BD6CD" w14:textId="77777777" w:rsidTr="00C70AD5">
        <w:tc>
          <w:tcPr>
            <w:tcW w:w="628" w:type="dxa"/>
            <w:tcMar>
              <w:top w:w="57" w:type="dxa"/>
              <w:bottom w:w="57" w:type="dxa"/>
            </w:tcMar>
          </w:tcPr>
          <w:p w14:paraId="65794243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Pays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77F00178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Article n</w:t>
            </w:r>
            <w:r w:rsidRPr="00EA0C7A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Pr="00EA0C7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016" w:type="dxa"/>
            <w:gridSpan w:val="2"/>
            <w:tcMar>
              <w:top w:w="57" w:type="dxa"/>
              <w:bottom w:w="57" w:type="dxa"/>
            </w:tcMar>
          </w:tcPr>
          <w:p w14:paraId="4D753F78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Observation (justification de la modification) </w:t>
            </w:r>
          </w:p>
        </w:tc>
        <w:tc>
          <w:tcPr>
            <w:tcW w:w="1542" w:type="dxa"/>
            <w:tcMar>
              <w:top w:w="57" w:type="dxa"/>
              <w:bottom w:w="57" w:type="dxa"/>
            </w:tcMar>
          </w:tcPr>
          <w:p w14:paraId="2610C792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Modification proposée 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</w:tcPr>
          <w:p w14:paraId="6CC4F1DF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Observation du Conseiller pour les normes auprès de </w:t>
            </w:r>
            <w:r w:rsidRPr="00EA0C7A">
              <w:rPr>
                <w:sz w:val="18"/>
                <w:szCs w:val="18"/>
                <w:lang w:val="fr-FR"/>
              </w:rPr>
              <w:br/>
              <w:t>la Réunion commune</w:t>
            </w:r>
          </w:p>
        </w:tc>
        <w:tc>
          <w:tcPr>
            <w:tcW w:w="1451" w:type="dxa"/>
            <w:tcMar>
              <w:top w:w="57" w:type="dxa"/>
              <w:bottom w:w="57" w:type="dxa"/>
            </w:tcMar>
          </w:tcPr>
          <w:p w14:paraId="5A7FDCF0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Observation du Groupe </w:t>
            </w:r>
            <w:r w:rsidRPr="00EA0C7A">
              <w:rPr>
                <w:sz w:val="18"/>
                <w:szCs w:val="18"/>
                <w:lang w:val="fr-FR"/>
              </w:rPr>
              <w:br/>
              <w:t xml:space="preserve">de travail des normes </w:t>
            </w:r>
          </w:p>
        </w:tc>
      </w:tr>
      <w:tr w:rsidR="003C0DA1" w:rsidRPr="00EA0C7A" w14:paraId="04715BC0" w14:textId="77777777" w:rsidTr="00C70AD5">
        <w:tc>
          <w:tcPr>
            <w:tcW w:w="628" w:type="dxa"/>
            <w:tcMar>
              <w:top w:w="0" w:type="dxa"/>
              <w:bottom w:w="0" w:type="dxa"/>
            </w:tcMar>
          </w:tcPr>
          <w:p w14:paraId="567C5ABA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BB16CE8" w14:textId="77777777" w:rsidR="003C0DA1" w:rsidRPr="00EA0C7A" w:rsidRDefault="003C0DA1" w:rsidP="00700B0B">
            <w:pPr>
              <w:pStyle w:val="ISOClause"/>
              <w:spacing w:before="60" w:after="60" w:line="240" w:lineRule="auto"/>
              <w:ind w:left="57" w:right="57"/>
              <w:rPr>
                <w:rFonts w:ascii="Times New Roman" w:hAnsi="Times New Roman"/>
                <w:szCs w:val="18"/>
                <w:lang w:eastAsia="en-GB"/>
              </w:rPr>
            </w:pPr>
          </w:p>
        </w:tc>
        <w:tc>
          <w:tcPr>
            <w:tcW w:w="3016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0ABEA3A" w14:textId="77777777" w:rsidR="003C0DA1" w:rsidRPr="00EA0C7A" w:rsidRDefault="003C0DA1" w:rsidP="00700B0B">
            <w:pPr>
              <w:pStyle w:val="ISOComments"/>
              <w:spacing w:before="60" w:after="60" w:line="240" w:lineRule="auto"/>
              <w:ind w:left="57" w:right="57"/>
              <w:rPr>
                <w:rFonts w:ascii="Times New Roman" w:hAnsi="Times New Roman"/>
                <w:szCs w:val="18"/>
                <w:lang w:eastAsia="en-GB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E45AD47" w14:textId="77777777" w:rsidR="003C0DA1" w:rsidRPr="00EA0C7A" w:rsidRDefault="003C0DA1" w:rsidP="00700B0B">
            <w:pPr>
              <w:pStyle w:val="ISOChange"/>
              <w:spacing w:before="60" w:after="60" w:line="240" w:lineRule="auto"/>
              <w:ind w:left="57" w:right="57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2156073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1451" w:type="dxa"/>
            <w:tcMar>
              <w:top w:w="0" w:type="dxa"/>
              <w:bottom w:w="0" w:type="dxa"/>
            </w:tcMar>
          </w:tcPr>
          <w:p w14:paraId="5921E595" w14:textId="77777777" w:rsidR="003C0DA1" w:rsidRPr="00EA0C7A" w:rsidRDefault="003C0DA1" w:rsidP="00700B0B">
            <w:pPr>
              <w:keepLines/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C0DA1" w:rsidRPr="00EA0C7A" w14:paraId="4BE9740E" w14:textId="77777777" w:rsidTr="00C70AD5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BD98755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3296C4C" w14:textId="77777777" w:rsidR="003C0DA1" w:rsidRPr="00EA0C7A" w:rsidRDefault="003C0DA1" w:rsidP="00700B0B">
            <w:pPr>
              <w:pStyle w:val="ISOParagraph"/>
              <w:keepNext/>
              <w:spacing w:before="60" w:after="60" w:line="240" w:lineRule="auto"/>
              <w:ind w:left="57" w:right="57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72C5DB9" w14:textId="77777777" w:rsidR="003C0DA1" w:rsidRPr="00EA0C7A" w:rsidRDefault="003C0DA1" w:rsidP="00700B0B">
            <w:pPr>
              <w:pStyle w:val="ISOComments"/>
              <w:keepNext/>
              <w:spacing w:before="60" w:after="60" w:line="240" w:lineRule="auto"/>
              <w:ind w:left="57" w:right="57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C14724C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771C3A0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1451" w:type="dxa"/>
            <w:tcMar>
              <w:top w:w="0" w:type="dxa"/>
              <w:bottom w:w="0" w:type="dxa"/>
            </w:tcMar>
          </w:tcPr>
          <w:p w14:paraId="026A87D4" w14:textId="77777777" w:rsidR="003C0DA1" w:rsidRPr="00EA0C7A" w:rsidRDefault="003C0DA1" w:rsidP="00700B0B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C0DA1" w:rsidRPr="00EA0C7A" w14:paraId="30F9902D" w14:textId="77777777" w:rsidTr="00C70AD5">
        <w:tc>
          <w:tcPr>
            <w:tcW w:w="1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6162516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>Décision du Groupe de travail des normes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A99B255" w14:textId="77777777" w:rsidR="003C0DA1" w:rsidRPr="00EA0C7A" w:rsidRDefault="003C0DA1" w:rsidP="00700B0B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55B2B96" w14:textId="77777777" w:rsidR="003C0DA1" w:rsidRPr="00EA0C7A" w:rsidRDefault="003C0DA1" w:rsidP="00700B0B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EA0C7A">
              <w:rPr>
                <w:bCs/>
                <w:sz w:val="18"/>
                <w:szCs w:val="18"/>
              </w:rPr>
              <w:t>Observations</w:t>
            </w:r>
          </w:p>
        </w:tc>
        <w:tc>
          <w:tcPr>
            <w:tcW w:w="4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5A408FC" w14:textId="77777777" w:rsidR="003C0DA1" w:rsidRPr="00EA0C7A" w:rsidRDefault="003C0DA1" w:rsidP="00700B0B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</w:tbl>
    <w:bookmarkEnd w:id="1"/>
    <w:p w14:paraId="711CE616" w14:textId="474A54DE" w:rsidR="003C0DA1" w:rsidRPr="00135F44" w:rsidRDefault="003C0DA1" w:rsidP="003C0DA1">
      <w:pPr>
        <w:pStyle w:val="H1G"/>
      </w:pPr>
      <w:r>
        <w:rPr>
          <w:lang w:val="fr-FR"/>
        </w:rPr>
        <w:tab/>
      </w:r>
      <w:r w:rsidRPr="00135F44">
        <w:rPr>
          <w:lang w:val="fr-FR"/>
        </w:rPr>
        <w:t>B.</w:t>
      </w:r>
      <w:r w:rsidRPr="00135F44">
        <w:rPr>
          <w:lang w:val="fr-FR"/>
        </w:rPr>
        <w:tab/>
        <w:t>Normes au stade 3 ou 4</w:t>
      </w:r>
      <w:r w:rsidR="008B50F6">
        <w:rPr>
          <w:lang w:val="fr-FR"/>
        </w:rPr>
        <w:t> </w:t>
      </w:r>
      <w:r w:rsidRPr="00135F44">
        <w:rPr>
          <w:lang w:val="fr-FR"/>
        </w:rPr>
        <w:t xml:space="preserve">: soumises au </w:t>
      </w:r>
      <w:r>
        <w:rPr>
          <w:lang w:val="fr-FR"/>
        </w:rPr>
        <w:t xml:space="preserve">vote </w:t>
      </w:r>
      <w:r w:rsidRPr="00135F44">
        <w:rPr>
          <w:lang w:val="fr-FR"/>
        </w:rPr>
        <w:t>officiel formel ou publiées</w:t>
      </w:r>
    </w:p>
    <w:p w14:paraId="7CB3CEBA" w14:textId="77777777" w:rsidR="003C0DA1" w:rsidRPr="005C79B0" w:rsidRDefault="003C0DA1" w:rsidP="003C0DA1">
      <w:pPr>
        <w:pStyle w:val="SingleTxtG"/>
        <w:keepNext/>
        <w:spacing w:before="240"/>
        <w:ind w:left="284"/>
        <w:rPr>
          <w:lang w:val="fr-FR"/>
        </w:rPr>
      </w:pPr>
      <w:r w:rsidRPr="005C79B0">
        <w:rPr>
          <w:lang w:val="fr-FR"/>
        </w:rPr>
        <w:t>Envoi 1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1055"/>
        <w:gridCol w:w="567"/>
        <w:gridCol w:w="2562"/>
        <w:gridCol w:w="1581"/>
        <w:gridCol w:w="1610"/>
        <w:gridCol w:w="1633"/>
      </w:tblGrid>
      <w:tr w:rsidR="003C0DA1" w:rsidRPr="00EA0C7A" w14:paraId="36AC7CAE" w14:textId="77777777" w:rsidTr="00B3443B">
        <w:trPr>
          <w:tblHeader/>
        </w:trPr>
        <w:tc>
          <w:tcPr>
            <w:tcW w:w="875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0EB5C6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b/>
                <w:i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 xml:space="preserve">EN </w:t>
            </w:r>
            <w:r w:rsidRPr="00EA0C7A">
              <w:rPr>
                <w:b/>
                <w:spacing w:val="-3"/>
                <w:sz w:val="18"/>
                <w:szCs w:val="18"/>
              </w:rPr>
              <w:t>12972:2018/FprA1</w:t>
            </w:r>
          </w:p>
        </w:tc>
        <w:tc>
          <w:tcPr>
            <w:tcW w:w="162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603EAD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b/>
                <w:i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>Citernes destinées au transport de matières dangereuses − Épreuve, contrôle et marquage des citernes métalliques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B515334" w14:textId="2222BA5C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b/>
                <w:i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 xml:space="preserve">Dans quelle(s) disposition(s) du RID et de l’ADR citer la norme </w:t>
            </w:r>
            <w:r w:rsidR="00B3443B">
              <w:rPr>
                <w:b/>
                <w:bCs/>
                <w:sz w:val="18"/>
                <w:szCs w:val="18"/>
                <w:lang w:val="fr-FR"/>
              </w:rPr>
              <w:br/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t>en référence</w:t>
            </w:r>
            <w:r w:rsidR="008B50F6">
              <w:rPr>
                <w:b/>
                <w:bCs/>
                <w:sz w:val="18"/>
                <w:szCs w:val="18"/>
                <w:lang w:val="fr-FR"/>
              </w:rPr>
              <w:t> </w:t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t>:</w:t>
            </w:r>
            <w:r w:rsidRPr="00EA0C7A">
              <w:rPr>
                <w:b/>
                <w:bCs/>
                <w:sz w:val="18"/>
                <w:szCs w:val="18"/>
                <w:lang w:val="fr-FR"/>
              </w:rPr>
              <w:br/>
              <w:t>6.8.2.6.2</w:t>
            </w:r>
          </w:p>
        </w:tc>
        <w:tc>
          <w:tcPr>
            <w:tcW w:w="1682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F85AF8D" w14:textId="75932C1C" w:rsidR="003C0DA1" w:rsidRPr="00EA0C7A" w:rsidRDefault="003C0DA1" w:rsidP="008B50F6">
            <w:pPr>
              <w:spacing w:before="60" w:after="6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>Sous-sections et paragraphes applicables</w:t>
            </w:r>
            <w:r w:rsidR="008B50F6">
              <w:rPr>
                <w:b/>
                <w:bCs/>
                <w:sz w:val="18"/>
                <w:szCs w:val="18"/>
                <w:lang w:val="fr-FR"/>
              </w:rPr>
              <w:t> :</w:t>
            </w:r>
            <w:r w:rsidR="008B50F6">
              <w:rPr>
                <w:b/>
                <w:bCs/>
                <w:sz w:val="18"/>
                <w:szCs w:val="18"/>
                <w:lang w:val="fr-FR"/>
              </w:rPr>
              <w:br/>
            </w:r>
            <w:r w:rsidRPr="00EA0C7A">
              <w:rPr>
                <w:b/>
                <w:iCs/>
                <w:sz w:val="18"/>
                <w:szCs w:val="18"/>
              </w:rPr>
              <w:t>6.8.2.1.23, 6.8.2.4 et 6.8.3.4</w:t>
            </w:r>
          </w:p>
        </w:tc>
      </w:tr>
      <w:tr w:rsidR="003C0DA1" w:rsidRPr="00EA0C7A" w14:paraId="35A29786" w14:textId="77777777" w:rsidTr="00B3443B">
        <w:trPr>
          <w:tblHeader/>
        </w:trPr>
        <w:tc>
          <w:tcPr>
            <w:tcW w:w="875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37EB7E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pacing w:val="-3"/>
                <w:sz w:val="18"/>
                <w:szCs w:val="18"/>
              </w:rPr>
            </w:pPr>
            <w:r w:rsidRPr="00EA0C7A">
              <w:rPr>
                <w:spacing w:val="-3"/>
                <w:sz w:val="18"/>
                <w:szCs w:val="18"/>
              </w:rPr>
              <w:t>00296112</w:t>
            </w:r>
          </w:p>
        </w:tc>
        <w:tc>
          <w:tcPr>
            <w:tcW w:w="162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51F0CE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8FD2E0" w14:textId="77777777" w:rsidR="003C0DA1" w:rsidRPr="00EA0C7A" w:rsidRDefault="003C0DA1" w:rsidP="00700B0B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18"/>
                <w:szCs w:val="18"/>
              </w:rPr>
            </w:pPr>
          </w:p>
        </w:tc>
        <w:tc>
          <w:tcPr>
            <w:tcW w:w="1682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998C26" w14:textId="77777777" w:rsidR="003C0DA1" w:rsidRPr="00EA0C7A" w:rsidRDefault="003C0DA1" w:rsidP="00700B0B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18"/>
                <w:szCs w:val="18"/>
              </w:rPr>
            </w:pPr>
          </w:p>
        </w:tc>
      </w:tr>
      <w:tr w:rsidR="003C0DA1" w:rsidRPr="00EA0C7A" w14:paraId="27BFCE4D" w14:textId="77777777" w:rsidTr="00700B0B">
        <w:tc>
          <w:tcPr>
            <w:tcW w:w="5000" w:type="pct"/>
            <w:gridSpan w:val="7"/>
            <w:tcBorders>
              <w:top w:val="single" w:sz="6" w:space="0" w:color="auto"/>
            </w:tcBorders>
            <w:shd w:val="clear" w:color="auto" w:fill="auto"/>
          </w:tcPr>
          <w:p w14:paraId="399BC420" w14:textId="2C56DE7A" w:rsidR="003C0DA1" w:rsidRPr="00EA0C7A" w:rsidRDefault="003C0DA1" w:rsidP="00700B0B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rFonts w:eastAsia="MS Mincho"/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Évaluation du Conseiller pour les normes auprès de la Réunion commune</w:t>
            </w:r>
            <w:r w:rsidR="008B50F6">
              <w:rPr>
                <w:sz w:val="18"/>
                <w:szCs w:val="18"/>
                <w:lang w:val="fr-FR"/>
              </w:rPr>
              <w:t> </w:t>
            </w:r>
            <w:r w:rsidRPr="00EA0C7A">
              <w:rPr>
                <w:sz w:val="18"/>
                <w:szCs w:val="18"/>
                <w:lang w:val="fr-FR"/>
              </w:rPr>
              <w:t>: Cette norme est conforme au RID et à l’ADR et peut être ajoutée aux normes citées en référence.</w:t>
            </w:r>
          </w:p>
        </w:tc>
      </w:tr>
      <w:tr w:rsidR="003C0DA1" w:rsidRPr="00EA0C7A" w14:paraId="12D0849A" w14:textId="77777777" w:rsidTr="00700B0B">
        <w:tc>
          <w:tcPr>
            <w:tcW w:w="5000" w:type="pct"/>
            <w:gridSpan w:val="7"/>
            <w:shd w:val="clear" w:color="auto" w:fill="auto"/>
          </w:tcPr>
          <w:p w14:paraId="045A2F2D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rPr>
                <w:b/>
                <w:i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>Observations des membres de la Réunion commune</w:t>
            </w:r>
          </w:p>
        </w:tc>
      </w:tr>
      <w:tr w:rsidR="003C0DA1" w:rsidRPr="00EA0C7A" w14:paraId="02EBE30B" w14:textId="77777777" w:rsidTr="00B3443B">
        <w:tc>
          <w:tcPr>
            <w:tcW w:w="328" w:type="pct"/>
            <w:shd w:val="clear" w:color="auto" w:fill="auto"/>
            <w:tcMar>
              <w:top w:w="57" w:type="dxa"/>
              <w:bottom w:w="57" w:type="dxa"/>
            </w:tcMar>
          </w:tcPr>
          <w:p w14:paraId="647BC4B6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Pays</w:t>
            </w:r>
          </w:p>
        </w:tc>
        <w:tc>
          <w:tcPr>
            <w:tcW w:w="546" w:type="pct"/>
            <w:shd w:val="clear" w:color="auto" w:fill="auto"/>
            <w:tcMar>
              <w:top w:w="57" w:type="dxa"/>
              <w:bottom w:w="57" w:type="dxa"/>
            </w:tcMar>
          </w:tcPr>
          <w:p w14:paraId="7B365FDE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Article n</w:t>
            </w:r>
            <w:r w:rsidRPr="00EA0C7A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Pr="00EA0C7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2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08BB1C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Observation (justification de la modification) </w:t>
            </w:r>
          </w:p>
        </w:tc>
        <w:tc>
          <w:tcPr>
            <w:tcW w:w="820" w:type="pct"/>
            <w:shd w:val="clear" w:color="auto" w:fill="auto"/>
            <w:tcMar>
              <w:top w:w="57" w:type="dxa"/>
              <w:bottom w:w="57" w:type="dxa"/>
            </w:tcMar>
          </w:tcPr>
          <w:p w14:paraId="19FF1DEE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Modification proposée </w:t>
            </w:r>
          </w:p>
        </w:tc>
        <w:tc>
          <w:tcPr>
            <w:tcW w:w="835" w:type="pct"/>
            <w:shd w:val="clear" w:color="auto" w:fill="auto"/>
            <w:tcMar>
              <w:top w:w="57" w:type="dxa"/>
              <w:bottom w:w="57" w:type="dxa"/>
            </w:tcMar>
          </w:tcPr>
          <w:p w14:paraId="6B2BF792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Observation du Conseiller pour les normes auprès de la Réunion commune</w:t>
            </w:r>
          </w:p>
        </w:tc>
        <w:tc>
          <w:tcPr>
            <w:tcW w:w="847" w:type="pct"/>
            <w:shd w:val="clear" w:color="auto" w:fill="auto"/>
          </w:tcPr>
          <w:p w14:paraId="10C57A27" w14:textId="77777777" w:rsidR="003C0DA1" w:rsidRPr="00EA0C7A" w:rsidRDefault="003C0DA1" w:rsidP="00700B0B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 xml:space="preserve">Observation du Groupe </w:t>
            </w:r>
            <w:r w:rsidRPr="00EA0C7A">
              <w:rPr>
                <w:sz w:val="18"/>
                <w:szCs w:val="18"/>
                <w:lang w:val="fr-FR"/>
              </w:rPr>
              <w:br/>
              <w:t>de travail des normes</w:t>
            </w:r>
          </w:p>
        </w:tc>
      </w:tr>
      <w:tr w:rsidR="003C0DA1" w:rsidRPr="00EA0C7A" w14:paraId="32ECA80F" w14:textId="77777777" w:rsidTr="00B3443B">
        <w:tc>
          <w:tcPr>
            <w:tcW w:w="328" w:type="pct"/>
            <w:shd w:val="clear" w:color="auto" w:fill="auto"/>
            <w:tcMar>
              <w:top w:w="57" w:type="dxa"/>
              <w:bottom w:w="57" w:type="dxa"/>
            </w:tcMar>
          </w:tcPr>
          <w:p w14:paraId="2E71CB4E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top w:w="57" w:type="dxa"/>
              <w:bottom w:w="57" w:type="dxa"/>
            </w:tcMar>
          </w:tcPr>
          <w:p w14:paraId="5E912C8E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162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671D6E" w14:textId="77777777" w:rsidR="003C0DA1" w:rsidRPr="00EA0C7A" w:rsidRDefault="003C0DA1" w:rsidP="006C32BA">
            <w:pPr>
              <w:tabs>
                <w:tab w:val="left" w:pos="6663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tcMar>
              <w:top w:w="57" w:type="dxa"/>
              <w:bottom w:w="57" w:type="dxa"/>
            </w:tcMar>
          </w:tcPr>
          <w:p w14:paraId="48E0B045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  <w:tcMar>
              <w:top w:w="57" w:type="dxa"/>
              <w:bottom w:w="57" w:type="dxa"/>
            </w:tcMar>
          </w:tcPr>
          <w:p w14:paraId="6ED72075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bottom w:w="57" w:type="dxa"/>
            </w:tcMar>
          </w:tcPr>
          <w:p w14:paraId="4E050DBB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C0DA1" w:rsidRPr="00EA0C7A" w14:paraId="76238321" w14:textId="77777777" w:rsidTr="00B3443B">
        <w:tc>
          <w:tcPr>
            <w:tcW w:w="328" w:type="pct"/>
            <w:shd w:val="clear" w:color="auto" w:fill="auto"/>
            <w:tcMar>
              <w:top w:w="57" w:type="dxa"/>
              <w:bottom w:w="57" w:type="dxa"/>
            </w:tcMar>
          </w:tcPr>
          <w:p w14:paraId="3BF81B38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top w:w="57" w:type="dxa"/>
              <w:bottom w:w="57" w:type="dxa"/>
            </w:tcMar>
          </w:tcPr>
          <w:p w14:paraId="38391008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162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28D0D6" w14:textId="77777777" w:rsidR="003C0DA1" w:rsidRPr="00EA0C7A" w:rsidRDefault="003C0DA1" w:rsidP="006C32BA">
            <w:pPr>
              <w:tabs>
                <w:tab w:val="left" w:pos="6663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tcMar>
              <w:top w:w="57" w:type="dxa"/>
              <w:bottom w:w="57" w:type="dxa"/>
            </w:tcMar>
          </w:tcPr>
          <w:p w14:paraId="38E0519F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  <w:tcMar>
              <w:top w:w="57" w:type="dxa"/>
              <w:bottom w:w="57" w:type="dxa"/>
            </w:tcMar>
          </w:tcPr>
          <w:p w14:paraId="10A81D3A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bottom w:w="57" w:type="dxa"/>
            </w:tcMar>
          </w:tcPr>
          <w:p w14:paraId="1C76017B" w14:textId="77777777" w:rsidR="003C0DA1" w:rsidRPr="00EA0C7A" w:rsidRDefault="003C0DA1" w:rsidP="006C32BA">
            <w:pPr>
              <w:spacing w:before="40" w:after="4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3C0DA1" w:rsidRPr="00EA0C7A" w14:paraId="2F50C25B" w14:textId="77777777" w:rsidTr="00B3443B">
        <w:trPr>
          <w:trHeight w:val="2143"/>
        </w:trPr>
        <w:tc>
          <w:tcPr>
            <w:tcW w:w="87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6A72B6" w14:textId="77777777" w:rsidR="003C0DA1" w:rsidRPr="00EA0C7A" w:rsidRDefault="003C0DA1" w:rsidP="00700B0B">
            <w:pPr>
              <w:keepNext/>
              <w:spacing w:before="60" w:after="60" w:line="24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EA0C7A">
              <w:rPr>
                <w:b/>
                <w:bCs/>
                <w:sz w:val="18"/>
                <w:szCs w:val="18"/>
                <w:lang w:val="fr-FR"/>
              </w:rPr>
              <w:t xml:space="preserve">Décision du Groupe de travail des normes 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DBF9558" w14:textId="77777777" w:rsidR="003C0DA1" w:rsidRPr="00EA0C7A" w:rsidRDefault="003C0DA1" w:rsidP="00700B0B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9D13A05" w14:textId="77777777" w:rsidR="003C0DA1" w:rsidRPr="00EA0C7A" w:rsidRDefault="003C0DA1" w:rsidP="008B50F6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EA0C7A">
              <w:rPr>
                <w:sz w:val="18"/>
                <w:szCs w:val="18"/>
                <w:lang w:val="fr-FR"/>
              </w:rPr>
              <w:t>Observations</w:t>
            </w:r>
          </w:p>
        </w:tc>
        <w:tc>
          <w:tcPr>
            <w:tcW w:w="250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76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86"/>
              <w:gridCol w:w="1621"/>
              <w:gridCol w:w="1564"/>
            </w:tblGrid>
            <w:tr w:rsidR="003C0DA1" w:rsidRPr="00EA0C7A" w14:paraId="773C5299" w14:textId="77777777" w:rsidTr="00700B0B">
              <w:trPr>
                <w:trHeight w:val="227"/>
              </w:trPr>
              <w:tc>
                <w:tcPr>
                  <w:tcW w:w="15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AAB9E9D" w14:textId="77777777" w:rsidR="003C0DA1" w:rsidRPr="00EA0C7A" w:rsidRDefault="003C0DA1" w:rsidP="00700B0B">
                  <w:pPr>
                    <w:keepNext/>
                    <w:spacing w:before="60" w:after="6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A0C7A">
                    <w:rPr>
                      <w:sz w:val="18"/>
                      <w:szCs w:val="18"/>
                      <w:lang w:val="fr-FR"/>
                    </w:rPr>
                    <w:t>Proposition de disposition transitoire</w:t>
                  </w:r>
                </w:p>
              </w:tc>
              <w:tc>
                <w:tcPr>
                  <w:tcW w:w="17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4F0F435" w14:textId="7DE04FF8" w:rsidR="003C0DA1" w:rsidRPr="00EA0C7A" w:rsidRDefault="003C0DA1" w:rsidP="00700B0B">
                  <w:pPr>
                    <w:keepNext/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A0C7A">
                    <w:rPr>
                      <w:sz w:val="18"/>
                      <w:szCs w:val="18"/>
                      <w:lang w:val="fr-FR"/>
                    </w:rPr>
                    <w:t xml:space="preserve">Applicable pour </w:t>
                  </w:r>
                  <w:r w:rsidRPr="00EA0C7A">
                    <w:rPr>
                      <w:sz w:val="18"/>
                      <w:szCs w:val="18"/>
                      <w:lang w:val="fr-FR"/>
                    </w:rPr>
                    <w:br/>
                    <w:t>les nouveaux agréments de type ou pour les renouvellements</w:t>
                  </w:r>
                </w:p>
              </w:tc>
              <w:tc>
                <w:tcPr>
                  <w:tcW w:w="16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AD562CE" w14:textId="77777777" w:rsidR="003C0DA1" w:rsidRPr="00EA0C7A" w:rsidRDefault="003C0DA1" w:rsidP="00700B0B">
                  <w:pPr>
                    <w:keepNext/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A0C7A">
                    <w:rPr>
                      <w:sz w:val="18"/>
                      <w:szCs w:val="18"/>
                      <w:lang w:val="fr-FR"/>
                    </w:rPr>
                    <w:t xml:space="preserve">Date ultime pour </w:t>
                  </w:r>
                  <w:r w:rsidRPr="00EA0C7A">
                    <w:rPr>
                      <w:sz w:val="18"/>
                      <w:szCs w:val="18"/>
                      <w:lang w:val="fr-FR"/>
                    </w:rPr>
                    <w:br/>
                    <w:t xml:space="preserve">le retrait des agréments </w:t>
                  </w:r>
                  <w:r w:rsidRPr="00EA0C7A">
                    <w:rPr>
                      <w:sz w:val="18"/>
                      <w:szCs w:val="18"/>
                      <w:lang w:val="fr-FR"/>
                    </w:rPr>
                    <w:br/>
                    <w:t>de type existants</w:t>
                  </w:r>
                </w:p>
              </w:tc>
            </w:tr>
            <w:tr w:rsidR="003C0DA1" w:rsidRPr="00EA0C7A" w14:paraId="099CFB76" w14:textId="77777777" w:rsidTr="006C32BA">
              <w:tc>
                <w:tcPr>
                  <w:tcW w:w="15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039A8A6" w14:textId="77777777" w:rsidR="003C0DA1" w:rsidRPr="00EA0C7A" w:rsidRDefault="003C0DA1" w:rsidP="006C32BA">
                  <w:pPr>
                    <w:keepNext/>
                    <w:spacing w:before="40" w:after="4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F07C5E4" w14:textId="77777777" w:rsidR="003C0DA1" w:rsidRPr="00EA0C7A" w:rsidRDefault="003C0DA1" w:rsidP="006C32BA">
                  <w:pPr>
                    <w:keepNext/>
                    <w:suppressAutoHyphens w:val="0"/>
                    <w:spacing w:before="40" w:after="4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83F90A7" w14:textId="77777777" w:rsidR="003C0DA1" w:rsidRPr="00EA0C7A" w:rsidRDefault="003C0DA1" w:rsidP="006C32BA">
                  <w:pPr>
                    <w:keepNext/>
                    <w:suppressAutoHyphens w:val="0"/>
                    <w:spacing w:before="40" w:after="4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8B50F6" w:rsidRPr="00EA0C7A" w14:paraId="259E6E51" w14:textId="77777777" w:rsidTr="006C32BA">
              <w:tc>
                <w:tcPr>
                  <w:tcW w:w="15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A712827" w14:textId="77777777" w:rsidR="008B50F6" w:rsidRPr="00EA0C7A" w:rsidRDefault="008B50F6" w:rsidP="006C32BA">
                  <w:pPr>
                    <w:keepNext/>
                    <w:spacing w:before="40" w:after="4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21E4BEB" w14:textId="77777777" w:rsidR="008B50F6" w:rsidRPr="00EA0C7A" w:rsidRDefault="008B50F6" w:rsidP="006C32BA">
                  <w:pPr>
                    <w:keepNext/>
                    <w:suppressAutoHyphens w:val="0"/>
                    <w:spacing w:before="40" w:after="4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F53317E" w14:textId="77777777" w:rsidR="008B50F6" w:rsidRPr="00EA0C7A" w:rsidRDefault="008B50F6" w:rsidP="006C32BA">
                  <w:pPr>
                    <w:keepNext/>
                    <w:suppressAutoHyphens w:val="0"/>
                    <w:spacing w:before="40" w:after="40" w:line="240" w:lineRule="auto"/>
                    <w:ind w:left="57" w:right="57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6679876" w14:textId="77777777" w:rsidR="003C0DA1" w:rsidRPr="00EA0C7A" w:rsidRDefault="003C0DA1" w:rsidP="00700B0B">
            <w:pPr>
              <w:keepNext/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</w:p>
        </w:tc>
      </w:tr>
    </w:tbl>
    <w:p w14:paraId="483CEE95" w14:textId="77777777" w:rsidR="003C0DA1" w:rsidRPr="00135F44" w:rsidRDefault="003C0DA1" w:rsidP="008B50F6">
      <w:pPr>
        <w:pStyle w:val="HChG"/>
      </w:pPr>
      <w:r w:rsidRPr="00135F44">
        <w:rPr>
          <w:lang w:val="fr-FR"/>
        </w:rPr>
        <w:tab/>
      </w:r>
      <w:r w:rsidRPr="00135F44">
        <w:rPr>
          <w:lang w:val="fr-FR"/>
        </w:rPr>
        <w:tab/>
        <w:t>Normes à caractère général</w:t>
      </w:r>
    </w:p>
    <w:p w14:paraId="64999594" w14:textId="0F7FE222" w:rsidR="003C0DA1" w:rsidRPr="00BD0C21" w:rsidRDefault="003C0DA1" w:rsidP="008B50F6">
      <w:pPr>
        <w:pStyle w:val="SingleTxtG"/>
      </w:pPr>
      <w:r w:rsidRPr="00BD0C21">
        <w:t>1.</w:t>
      </w:r>
      <w:r w:rsidRPr="00BD0C21">
        <w:tab/>
      </w:r>
      <w:r w:rsidRPr="00BD0C21">
        <w:rPr>
          <w:lang w:val="fr-FR"/>
        </w:rPr>
        <w:t>Aucune nouvelle version des normes à caractère général n</w:t>
      </w:r>
      <w:r>
        <w:rPr>
          <w:lang w:val="fr-FR"/>
        </w:rPr>
        <w:t>’</w:t>
      </w:r>
      <w:r w:rsidRPr="00BD0C21">
        <w:rPr>
          <w:lang w:val="fr-FR"/>
        </w:rPr>
        <w:t xml:space="preserve">a été publiée depuis la dernière </w:t>
      </w:r>
      <w:r>
        <w:rPr>
          <w:lang w:val="fr-FR"/>
        </w:rPr>
        <w:t xml:space="preserve">session de la </w:t>
      </w:r>
      <w:r w:rsidRPr="00BD0C21">
        <w:rPr>
          <w:lang w:val="fr-FR"/>
        </w:rPr>
        <w:t>Réunion commune.</w:t>
      </w:r>
      <w:r>
        <w:rPr>
          <w:lang w:val="fr-FR"/>
        </w:rPr>
        <w:t xml:space="preserve"> Cependant, il est apparu que l’édition </w:t>
      </w:r>
      <w:r w:rsidRPr="007547F0">
        <w:t>EN</w:t>
      </w:r>
      <w:r w:rsidR="008B50F6">
        <w:t> </w:t>
      </w:r>
      <w:r w:rsidRPr="007547F0">
        <w:t xml:space="preserve">590:2013+A1:2017 </w:t>
      </w:r>
      <w:r>
        <w:t>avait été remplacée par</w:t>
      </w:r>
      <w:r w:rsidRPr="007547F0">
        <w:t xml:space="preserve"> </w:t>
      </w:r>
      <w:r>
        <w:t xml:space="preserve">l’édition </w:t>
      </w:r>
      <w:r w:rsidRPr="007547F0">
        <w:t>EN 590:2022</w:t>
      </w:r>
      <w:r>
        <w:t>. Il convenait donc de remplacer le renvoi à l’édition annulée par un renvoi à la nouvelle édition.</w:t>
      </w:r>
    </w:p>
    <w:p w14:paraId="730C4B98" w14:textId="548A280C" w:rsidR="003C0DA1" w:rsidRPr="00135F44" w:rsidRDefault="003C0DA1" w:rsidP="006C32BA">
      <w:pPr>
        <w:pStyle w:val="HChG"/>
      </w:pPr>
      <w:r w:rsidRPr="00135F44">
        <w:rPr>
          <w:lang w:val="fr-FR"/>
        </w:rPr>
        <w:tab/>
      </w:r>
      <w:r w:rsidRPr="00135F44">
        <w:rPr>
          <w:lang w:val="fr-FR"/>
        </w:rPr>
        <w:tab/>
        <w:t xml:space="preserve">Informations </w:t>
      </w:r>
      <w:r>
        <w:rPr>
          <w:lang w:val="fr-FR"/>
        </w:rPr>
        <w:t xml:space="preserve">supplémentaires </w:t>
      </w:r>
      <w:r w:rsidRPr="00135F44">
        <w:rPr>
          <w:lang w:val="fr-FR"/>
        </w:rPr>
        <w:t xml:space="preserve">concernant les normes citées en référence </w:t>
      </w:r>
      <w:r>
        <w:rPr>
          <w:lang w:val="fr-FR"/>
        </w:rPr>
        <w:t xml:space="preserve">à la fois </w:t>
      </w:r>
      <w:r w:rsidRPr="00135F44">
        <w:rPr>
          <w:lang w:val="fr-FR"/>
        </w:rPr>
        <w:t>dans</w:t>
      </w:r>
      <w:r>
        <w:rPr>
          <w:lang w:val="fr-FR"/>
        </w:rPr>
        <w:t xml:space="preserve"> l’ADR et</w:t>
      </w:r>
      <w:r w:rsidRPr="00135F44">
        <w:rPr>
          <w:lang w:val="fr-FR"/>
        </w:rPr>
        <w:t xml:space="preserve"> </w:t>
      </w:r>
      <w:r>
        <w:rPr>
          <w:lang w:val="fr-FR"/>
        </w:rPr>
        <w:t xml:space="preserve">dans </w:t>
      </w:r>
      <w:r w:rsidRPr="00135F44">
        <w:rPr>
          <w:lang w:val="fr-FR"/>
        </w:rPr>
        <w:t xml:space="preserve">le RID </w:t>
      </w:r>
    </w:p>
    <w:p w14:paraId="39BCF796" w14:textId="77777777" w:rsidR="003C0DA1" w:rsidRPr="00EA0C7A" w:rsidRDefault="003C0DA1" w:rsidP="006C32BA">
      <w:pPr>
        <w:pStyle w:val="SingleTxtG"/>
      </w:pPr>
      <w:r w:rsidRPr="00EA0C7A">
        <w:t>2.</w:t>
      </w:r>
      <w:r w:rsidRPr="00EA0C7A">
        <w:tab/>
        <w:t>L</w:t>
      </w:r>
      <w:r>
        <w:t>’</w:t>
      </w:r>
      <w:r w:rsidRPr="00EA0C7A">
        <w:t>édition de certaines normes citées en référence à la fois dans l</w:t>
      </w:r>
      <w:r>
        <w:t>’</w:t>
      </w:r>
      <w:r w:rsidRPr="00EA0C7A">
        <w:t>ADR et dans le RID a été annulée. En conséquence, les modifications suivantes sont proposées :</w:t>
      </w:r>
    </w:p>
    <w:p w14:paraId="21730897" w14:textId="77777777" w:rsidR="003C0DA1" w:rsidRPr="00EA0C7A" w:rsidRDefault="003C0DA1" w:rsidP="006C32BA">
      <w:pPr>
        <w:pStyle w:val="SingleTxtG"/>
        <w:ind w:left="2268" w:hanging="567"/>
        <w:rPr>
          <w:lang w:val="fr-FR"/>
        </w:rPr>
      </w:pPr>
      <w:r w:rsidRPr="00EA0C7A">
        <w:rPr>
          <w:lang w:val="fr-FR"/>
        </w:rPr>
        <w:t>a)</w:t>
      </w:r>
      <w:r w:rsidRPr="00EA0C7A">
        <w:rPr>
          <w:lang w:val="fr-FR"/>
        </w:rPr>
        <w:tab/>
      </w:r>
      <w:r>
        <w:rPr>
          <w:lang w:val="fr-FR"/>
        </w:rPr>
        <w:t xml:space="preserve">En ce qui concerne la norme EN ISO 13088, l’édition </w:t>
      </w:r>
      <w:r w:rsidRPr="00EA0C7A">
        <w:rPr>
          <w:lang w:val="fr-FR"/>
        </w:rPr>
        <w:t xml:space="preserve">2011 a été remplacée </w:t>
      </w:r>
      <w:r>
        <w:rPr>
          <w:lang w:val="fr-FR"/>
        </w:rPr>
        <w:t>par</w:t>
      </w:r>
      <w:r w:rsidRPr="00EA0C7A">
        <w:rPr>
          <w:lang w:val="fr-FR"/>
        </w:rPr>
        <w:t xml:space="preserve"> </w:t>
      </w:r>
      <w:r>
        <w:rPr>
          <w:lang w:val="fr-FR"/>
        </w:rPr>
        <w:t xml:space="preserve">l’édition </w:t>
      </w:r>
      <w:r w:rsidRPr="00EA0C7A">
        <w:rPr>
          <w:lang w:val="fr-FR"/>
        </w:rPr>
        <w:t xml:space="preserve">2012 </w:t>
      </w:r>
      <w:r>
        <w:rPr>
          <w:lang w:val="fr-FR"/>
        </w:rPr>
        <w:t>et</w:t>
      </w:r>
      <w:r w:rsidRPr="00EA0C7A">
        <w:rPr>
          <w:lang w:val="fr-FR"/>
        </w:rPr>
        <w:t xml:space="preserve"> </w:t>
      </w:r>
      <w:r>
        <w:rPr>
          <w:lang w:val="fr-FR"/>
        </w:rPr>
        <w:t>son amendement 1 (</w:t>
      </w:r>
      <w:r w:rsidRPr="00EA0C7A">
        <w:rPr>
          <w:lang w:val="fr-FR"/>
        </w:rPr>
        <w:t>EN ISO 13088:2012 /A1:2020</w:t>
      </w:r>
      <w:r>
        <w:rPr>
          <w:lang w:val="fr-FR"/>
        </w:rPr>
        <w:t>)</w:t>
      </w:r>
      <w:r w:rsidRPr="00EA0C7A">
        <w:rPr>
          <w:lang w:val="fr-FR"/>
        </w:rPr>
        <w:t>. La modification de l</w:t>
      </w:r>
      <w:r>
        <w:rPr>
          <w:lang w:val="fr-FR"/>
        </w:rPr>
        <w:t>a colonne (11) de l’</w:t>
      </w:r>
      <w:r w:rsidRPr="00EA0C7A">
        <w:rPr>
          <w:lang w:val="fr-FR"/>
        </w:rPr>
        <w:t>instruction P200 étant déjà adoptée, aucune mesu</w:t>
      </w:r>
      <w:r>
        <w:rPr>
          <w:lang w:val="fr-FR"/>
        </w:rPr>
        <w:t>re n’est à prendre ;</w:t>
      </w:r>
    </w:p>
    <w:p w14:paraId="551D4D30" w14:textId="24082647" w:rsidR="003C0DA1" w:rsidRPr="00EA0C7A" w:rsidRDefault="003C0DA1" w:rsidP="006C32BA">
      <w:pPr>
        <w:pStyle w:val="SingleTxtG"/>
        <w:ind w:left="2268" w:hanging="567"/>
        <w:rPr>
          <w:lang w:val="fr-FR"/>
        </w:rPr>
      </w:pPr>
      <w:r w:rsidRPr="00EA0C7A">
        <w:rPr>
          <w:lang w:val="fr-FR"/>
        </w:rPr>
        <w:t>b)</w:t>
      </w:r>
      <w:r w:rsidRPr="00EA0C7A">
        <w:rPr>
          <w:lang w:val="fr-FR"/>
        </w:rPr>
        <w:tab/>
      </w:r>
      <w:r>
        <w:rPr>
          <w:lang w:val="fr-FR"/>
        </w:rPr>
        <w:t xml:space="preserve">La norme </w:t>
      </w:r>
      <w:r w:rsidRPr="00EA0C7A">
        <w:rPr>
          <w:lang w:val="fr-FR"/>
        </w:rPr>
        <w:t xml:space="preserve">EN 1439:2021 </w:t>
      </w:r>
      <w:r>
        <w:rPr>
          <w:lang w:val="fr-FR"/>
        </w:rPr>
        <w:t>est déjà citée en référence dans la colonne (11) de</w:t>
      </w:r>
      <w:r w:rsidRPr="00EA0C7A">
        <w:rPr>
          <w:lang w:val="fr-FR"/>
        </w:rPr>
        <w:t xml:space="preserve"> l</w:t>
      </w:r>
      <w:r>
        <w:rPr>
          <w:lang w:val="fr-FR"/>
        </w:rPr>
        <w:t>’</w:t>
      </w:r>
      <w:r w:rsidRPr="00EA0C7A">
        <w:rPr>
          <w:lang w:val="fr-FR"/>
        </w:rPr>
        <w:t>instruction P200, mais</w:t>
      </w:r>
      <w:r>
        <w:rPr>
          <w:lang w:val="fr-FR"/>
        </w:rPr>
        <w:t xml:space="preserve"> il faut y supprimer</w:t>
      </w:r>
      <w:r w:rsidRPr="00EA0C7A">
        <w:rPr>
          <w:lang w:val="fr-FR"/>
        </w:rPr>
        <w:t xml:space="preserve"> </w:t>
      </w:r>
      <w:r>
        <w:rPr>
          <w:lang w:val="fr-FR"/>
        </w:rPr>
        <w:t xml:space="preserve">la référence à la norme </w:t>
      </w:r>
      <w:r w:rsidRPr="00EA0C7A">
        <w:rPr>
          <w:lang w:val="fr-FR"/>
        </w:rPr>
        <w:t>EN</w:t>
      </w:r>
      <w:r w:rsidR="006C32BA">
        <w:rPr>
          <w:lang w:val="fr-FR"/>
        </w:rPr>
        <w:t> </w:t>
      </w:r>
      <w:r w:rsidRPr="00EA0C7A">
        <w:rPr>
          <w:lang w:val="fr-FR"/>
        </w:rPr>
        <w:t>14794:2005</w:t>
      </w:r>
      <w:r>
        <w:rPr>
          <w:lang w:val="fr-FR"/>
        </w:rPr>
        <w:t> ;</w:t>
      </w:r>
    </w:p>
    <w:p w14:paraId="60271D73" w14:textId="77777777" w:rsidR="003C0DA1" w:rsidRPr="00EA0C7A" w:rsidRDefault="003C0DA1" w:rsidP="006C32BA">
      <w:pPr>
        <w:pStyle w:val="SingleTxtG"/>
        <w:ind w:left="2268" w:hanging="567"/>
        <w:rPr>
          <w:lang w:val="fr-FR"/>
        </w:rPr>
      </w:pPr>
      <w:r>
        <w:rPr>
          <w:lang w:val="fr-FR"/>
        </w:rPr>
        <w:t>c</w:t>
      </w:r>
      <w:r w:rsidRPr="00EA0C7A">
        <w:rPr>
          <w:lang w:val="fr-FR"/>
        </w:rPr>
        <w:t>)</w:t>
      </w:r>
      <w:r w:rsidRPr="00EA0C7A">
        <w:rPr>
          <w:lang w:val="fr-FR"/>
        </w:rPr>
        <w:tab/>
      </w:r>
      <w:r>
        <w:rPr>
          <w:lang w:val="fr-FR"/>
        </w:rPr>
        <w:t xml:space="preserve">L’édition 2012 de la norme </w:t>
      </w:r>
      <w:r w:rsidRPr="00EA0C7A">
        <w:rPr>
          <w:lang w:val="fr-FR"/>
        </w:rPr>
        <w:t xml:space="preserve">EN ISO 9712 a été remplacée par </w:t>
      </w:r>
      <w:r>
        <w:rPr>
          <w:lang w:val="fr-FR"/>
        </w:rPr>
        <w:t xml:space="preserve">l’édition </w:t>
      </w:r>
      <w:r w:rsidRPr="00EA0C7A">
        <w:rPr>
          <w:lang w:val="fr-FR"/>
        </w:rPr>
        <w:t>2022.</w:t>
      </w:r>
    </w:p>
    <w:p w14:paraId="4042D1B1" w14:textId="05059307" w:rsidR="00F9573C" w:rsidRPr="003C0DA1" w:rsidRDefault="003C0DA1" w:rsidP="006C32BA">
      <w:pPr>
        <w:pStyle w:val="SingleTxtG"/>
        <w:spacing w:after="0"/>
        <w:jc w:val="center"/>
        <w:rPr>
          <w:u w:val="single"/>
          <w:lang w:val="fr-FR"/>
        </w:rPr>
      </w:pPr>
      <w:r w:rsidRPr="00EA0C7A">
        <w:rPr>
          <w:u w:val="single"/>
          <w:lang w:val="fr-FR"/>
        </w:rPr>
        <w:tab/>
      </w:r>
      <w:r w:rsidRPr="00EA0C7A">
        <w:rPr>
          <w:u w:val="single"/>
          <w:lang w:val="fr-FR"/>
        </w:rPr>
        <w:tab/>
      </w:r>
      <w:r w:rsidRPr="00EA0C7A">
        <w:rPr>
          <w:u w:val="single"/>
          <w:lang w:val="fr-FR"/>
        </w:rPr>
        <w:tab/>
      </w:r>
      <w:r w:rsidRPr="00EA0C7A">
        <w:rPr>
          <w:u w:val="single"/>
          <w:lang w:val="fr-FR"/>
        </w:rPr>
        <w:tab/>
      </w:r>
    </w:p>
    <w:sectPr w:rsidR="00F9573C" w:rsidRPr="003C0DA1" w:rsidSect="003C0DA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B697" w14:textId="77777777" w:rsidR="00C57D39" w:rsidRDefault="00C57D39" w:rsidP="00F95C08">
      <w:pPr>
        <w:spacing w:line="240" w:lineRule="auto"/>
      </w:pPr>
    </w:p>
  </w:endnote>
  <w:endnote w:type="continuationSeparator" w:id="0">
    <w:p w14:paraId="54F9BFB4" w14:textId="77777777" w:rsidR="00C57D39" w:rsidRPr="00AC3823" w:rsidRDefault="00C57D39" w:rsidP="00AC3823">
      <w:pPr>
        <w:pStyle w:val="Pieddepage"/>
      </w:pPr>
    </w:p>
  </w:endnote>
  <w:endnote w:type="continuationNotice" w:id="1">
    <w:p w14:paraId="7E12FA6E" w14:textId="77777777" w:rsidR="00C57D39" w:rsidRDefault="00C57D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7AA" w14:textId="12105CE0" w:rsidR="003C0DA1" w:rsidRPr="003C0DA1" w:rsidRDefault="003C0DA1" w:rsidP="003C0DA1">
    <w:pPr>
      <w:pStyle w:val="Pieddepage"/>
      <w:tabs>
        <w:tab w:val="right" w:pos="9638"/>
      </w:tabs>
    </w:pPr>
    <w:r w:rsidRPr="003C0DA1">
      <w:rPr>
        <w:b/>
        <w:sz w:val="18"/>
      </w:rPr>
      <w:fldChar w:fldCharType="begin"/>
    </w:r>
    <w:r w:rsidRPr="003C0DA1">
      <w:rPr>
        <w:b/>
        <w:sz w:val="18"/>
      </w:rPr>
      <w:instrText xml:space="preserve"> PAGE  \* MERGEFORMAT </w:instrText>
    </w:r>
    <w:r w:rsidRPr="003C0DA1">
      <w:rPr>
        <w:b/>
        <w:sz w:val="18"/>
      </w:rPr>
      <w:fldChar w:fldCharType="separate"/>
    </w:r>
    <w:r w:rsidRPr="003C0DA1">
      <w:rPr>
        <w:b/>
        <w:noProof/>
        <w:sz w:val="18"/>
      </w:rPr>
      <w:t>2</w:t>
    </w:r>
    <w:r w:rsidRPr="003C0DA1">
      <w:rPr>
        <w:b/>
        <w:sz w:val="18"/>
      </w:rPr>
      <w:fldChar w:fldCharType="end"/>
    </w:r>
    <w:r>
      <w:rPr>
        <w:b/>
        <w:sz w:val="18"/>
      </w:rPr>
      <w:tab/>
    </w:r>
    <w:r>
      <w:t>GE.23-25423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7D60" w14:textId="6510475D" w:rsidR="003C0DA1" w:rsidRPr="003C0DA1" w:rsidRDefault="003C0DA1" w:rsidP="003C0DA1">
    <w:pPr>
      <w:pStyle w:val="Pieddepage"/>
      <w:tabs>
        <w:tab w:val="right" w:pos="9638"/>
      </w:tabs>
      <w:rPr>
        <w:b/>
        <w:sz w:val="18"/>
      </w:rPr>
    </w:pPr>
    <w:r>
      <w:t>GE.23-25423</w:t>
    </w:r>
    <w:r>
      <w:tab/>
    </w:r>
    <w:r w:rsidRPr="003C0DA1">
      <w:rPr>
        <w:b/>
        <w:sz w:val="18"/>
      </w:rPr>
      <w:fldChar w:fldCharType="begin"/>
    </w:r>
    <w:r w:rsidRPr="003C0DA1">
      <w:rPr>
        <w:b/>
        <w:sz w:val="18"/>
      </w:rPr>
      <w:instrText xml:space="preserve"> PAGE  \* MERGEFORMAT </w:instrText>
    </w:r>
    <w:r w:rsidRPr="003C0DA1">
      <w:rPr>
        <w:b/>
        <w:sz w:val="18"/>
      </w:rPr>
      <w:fldChar w:fldCharType="separate"/>
    </w:r>
    <w:r w:rsidRPr="003C0DA1">
      <w:rPr>
        <w:b/>
        <w:noProof/>
        <w:sz w:val="18"/>
      </w:rPr>
      <w:t>3</w:t>
    </w:r>
    <w:r w:rsidRPr="003C0D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16B3" w14:textId="693D82F6" w:rsidR="007F20FA" w:rsidRPr="003C0DA1" w:rsidRDefault="003C0DA1" w:rsidP="003C0DA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BA92359" wp14:editId="19D0634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23-25423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904503" wp14:editId="31D3E87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090124    100124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3A8E" w14:textId="77777777" w:rsidR="00C57D39" w:rsidRPr="00AC3823" w:rsidRDefault="00C57D3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5E6ACA" w14:textId="77777777" w:rsidR="00C57D39" w:rsidRPr="00AC3823" w:rsidRDefault="00C57D3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FDC5E9" w14:textId="77777777" w:rsidR="00C57D39" w:rsidRPr="00AC3823" w:rsidRDefault="00C57D39">
      <w:pPr>
        <w:spacing w:line="240" w:lineRule="auto"/>
        <w:rPr>
          <w:sz w:val="2"/>
          <w:szCs w:val="2"/>
        </w:rPr>
      </w:pPr>
    </w:p>
  </w:footnote>
  <w:footnote w:id="2">
    <w:p w14:paraId="5B2F8EE5" w14:textId="77777777" w:rsidR="003C0DA1" w:rsidRPr="007775D8" w:rsidRDefault="003C0DA1" w:rsidP="003C0DA1">
      <w:pPr>
        <w:pStyle w:val="Notedebasdepage"/>
      </w:pPr>
      <w:r>
        <w:rPr>
          <w:lang w:val="fr-FR"/>
        </w:rPr>
        <w:tab/>
      </w:r>
      <w:r w:rsidRPr="005F472F">
        <w:rPr>
          <w:sz w:val="20"/>
          <w:lang w:val="fr-FR"/>
        </w:rPr>
        <w:t>*</w:t>
      </w:r>
      <w:r>
        <w:rPr>
          <w:lang w:val="fr-FR"/>
        </w:rPr>
        <w:tab/>
        <w:t>A/78/6 (Sect.20), tableau 20.5.</w:t>
      </w:r>
    </w:p>
  </w:footnote>
  <w:footnote w:id="3">
    <w:p w14:paraId="4A89BE42" w14:textId="77777777" w:rsidR="003C0DA1" w:rsidRPr="007775D8" w:rsidRDefault="003C0DA1" w:rsidP="003C0DA1">
      <w:pPr>
        <w:pStyle w:val="Notedebasdepage"/>
        <w:rPr>
          <w:sz w:val="20"/>
        </w:rPr>
      </w:pPr>
      <w:r>
        <w:rPr>
          <w:lang w:val="fr-FR"/>
        </w:rPr>
        <w:tab/>
      </w:r>
      <w:r w:rsidRPr="005F472F">
        <w:rPr>
          <w:sz w:val="20"/>
          <w:lang w:val="fr-FR"/>
        </w:rPr>
        <w:t>**</w:t>
      </w:r>
      <w:r w:rsidRPr="005F472F">
        <w:rPr>
          <w:sz w:val="20"/>
          <w:lang w:val="fr-FR"/>
        </w:rPr>
        <w:tab/>
      </w:r>
      <w:r>
        <w:rPr>
          <w:lang w:val="fr-FR"/>
        </w:rPr>
        <w:t>Diffusée par l’Organisation intergouvernementale pour les transports internationaux ferroviaires (OTIF) sous la cote OTIF/RID/RC/2024/9.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549C" w14:textId="378D8396" w:rsidR="003C0DA1" w:rsidRPr="003C0DA1" w:rsidRDefault="003C0DA1">
    <w:pPr>
      <w:pStyle w:val="En-tte"/>
    </w:pPr>
    <w:fldSimple w:instr=" TITLE  \* MERGEFORMAT ">
      <w:r w:rsidR="00B72C01">
        <w:t>ECE/TRANS/WP.15/AC.1/2024/9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5C49" w14:textId="0B4261A8" w:rsidR="003C0DA1" w:rsidRPr="003C0DA1" w:rsidRDefault="003C0DA1" w:rsidP="003C0DA1">
    <w:pPr>
      <w:pStyle w:val="En-tte"/>
      <w:jc w:val="right"/>
    </w:pPr>
    <w:fldSimple w:instr=" TITLE  \* MERGEFORMAT ">
      <w:r w:rsidR="00B72C01">
        <w:t>ECE/TRANS/WP.15/AC.1/2024/9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86161838">
    <w:abstractNumId w:val="12"/>
  </w:num>
  <w:num w:numId="2" w16cid:durableId="706872900">
    <w:abstractNumId w:val="11"/>
  </w:num>
  <w:num w:numId="3" w16cid:durableId="1972248525">
    <w:abstractNumId w:val="10"/>
  </w:num>
  <w:num w:numId="4" w16cid:durableId="842084487">
    <w:abstractNumId w:val="8"/>
  </w:num>
  <w:num w:numId="5" w16cid:durableId="2133740538">
    <w:abstractNumId w:val="3"/>
  </w:num>
  <w:num w:numId="6" w16cid:durableId="1925334526">
    <w:abstractNumId w:val="2"/>
  </w:num>
  <w:num w:numId="7" w16cid:durableId="316615051">
    <w:abstractNumId w:val="1"/>
  </w:num>
  <w:num w:numId="8" w16cid:durableId="1835562843">
    <w:abstractNumId w:val="0"/>
  </w:num>
  <w:num w:numId="9" w16cid:durableId="1187138330">
    <w:abstractNumId w:val="9"/>
  </w:num>
  <w:num w:numId="10" w16cid:durableId="667945135">
    <w:abstractNumId w:val="7"/>
  </w:num>
  <w:num w:numId="11" w16cid:durableId="301470459">
    <w:abstractNumId w:val="6"/>
  </w:num>
  <w:num w:numId="12" w16cid:durableId="754858630">
    <w:abstractNumId w:val="5"/>
  </w:num>
  <w:num w:numId="13" w16cid:durableId="1427189469">
    <w:abstractNumId w:val="4"/>
  </w:num>
  <w:num w:numId="14" w16cid:durableId="2117828549">
    <w:abstractNumId w:val="12"/>
  </w:num>
  <w:num w:numId="15" w16cid:durableId="1666788361">
    <w:abstractNumId w:val="11"/>
  </w:num>
  <w:num w:numId="16" w16cid:durableId="1012684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3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92CFB"/>
    <w:rsid w:val="002D7C93"/>
    <w:rsid w:val="00305801"/>
    <w:rsid w:val="003916DE"/>
    <w:rsid w:val="003C0DA1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C32BA"/>
    <w:rsid w:val="0071601D"/>
    <w:rsid w:val="007A62E6"/>
    <w:rsid w:val="007F20FA"/>
    <w:rsid w:val="0080684C"/>
    <w:rsid w:val="00871C75"/>
    <w:rsid w:val="008776DC"/>
    <w:rsid w:val="008B50F6"/>
    <w:rsid w:val="008D5EF9"/>
    <w:rsid w:val="0090019E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443B"/>
    <w:rsid w:val="00B45F2E"/>
    <w:rsid w:val="00B72C01"/>
    <w:rsid w:val="00B765F7"/>
    <w:rsid w:val="00B77993"/>
    <w:rsid w:val="00BA0CA9"/>
    <w:rsid w:val="00C02897"/>
    <w:rsid w:val="00C57D39"/>
    <w:rsid w:val="00C70AD5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9DE3B"/>
  <w15:docId w15:val="{F4773750-2AC3-4F7F-98BC-015DD3A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3C0DA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3C0DA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3C0DA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NoteHead">
    <w:name w:val="NoteHead"/>
    <w:basedOn w:val="Normal"/>
    <w:next w:val="Normal"/>
    <w:rsid w:val="003C0DA1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3C0DA1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3C0DA1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3C0DA1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Paragraph">
    <w:name w:val="ISO_Paragraph"/>
    <w:basedOn w:val="Normal"/>
    <w:rsid w:val="003C0DA1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Pa0">
    <w:name w:val="Pa0"/>
    <w:basedOn w:val="Normal"/>
    <w:next w:val="Normal"/>
    <w:uiPriority w:val="99"/>
    <w:rsid w:val="003C0DA1"/>
    <w:pPr>
      <w:suppressAutoHyphens w:val="0"/>
      <w:spacing w:line="361" w:lineRule="atLeast"/>
    </w:pPr>
    <w:rPr>
      <w:rFonts w:ascii="Cambria" w:hAnsi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A9E24-E860-430C-9BCA-9B2B183BBBC4}"/>
</file>

<file path=customXml/itemProps2.xml><?xml version="1.0" encoding="utf-8"?>
<ds:datastoreItem xmlns:ds="http://schemas.openxmlformats.org/officeDocument/2006/customXml" ds:itemID="{CBFBD4E8-D93A-4F4D-B731-857AA03E7F0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4</Pages>
  <Words>957</Words>
  <Characters>6706</Characters>
  <Application>Microsoft Office Word</Application>
  <DocSecurity>0</DocSecurity>
  <Lines>558</Lines>
  <Paragraphs>306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ECE/TRANS/WP.15/AC.1/2024/9</vt:lpstr>
    </vt:vector>
  </TitlesOfParts>
  <Company>DCM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ECE/TRANS/WP.15/AC.1/2024/9</dc:title>
  <dc:subject/>
  <dc:creator>Sandrine CLERE</dc:creator>
  <cp:keywords/>
  <cp:lastModifiedBy>Sandrine Clere</cp:lastModifiedBy>
  <cp:revision>3</cp:revision>
  <cp:lastPrinted>2024-01-10T09:42:00Z</cp:lastPrinted>
  <dcterms:created xsi:type="dcterms:W3CDTF">2024-01-10T09:42:00Z</dcterms:created>
  <dcterms:modified xsi:type="dcterms:W3CDTF">2024-01-10T09:44:00Z</dcterms:modified>
</cp:coreProperties>
</file>