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680AC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D90516" w14:textId="77777777" w:rsidR="002D5AAC" w:rsidRDefault="002D5AAC" w:rsidP="001A190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A4FC8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8789138" w14:textId="6ED72310" w:rsidR="002D5AAC" w:rsidRDefault="001A1901" w:rsidP="001A1901">
            <w:pPr>
              <w:jc w:val="right"/>
            </w:pPr>
            <w:r w:rsidRPr="001A1901">
              <w:rPr>
                <w:sz w:val="40"/>
              </w:rPr>
              <w:t>ECE</w:t>
            </w:r>
            <w:r>
              <w:t>/TRANS/WP.15/AC.1/2024/10</w:t>
            </w:r>
          </w:p>
        </w:tc>
      </w:tr>
      <w:tr w:rsidR="002D5AAC" w14:paraId="4B4E3EC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73452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6106CF" wp14:editId="6F4F23A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3175A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A3B110" w14:textId="77777777" w:rsidR="002D5AAC" w:rsidRDefault="001A190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0C8E3EB" w14:textId="77777777" w:rsidR="001A1901" w:rsidRDefault="001A1901" w:rsidP="001A19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December 2023</w:t>
            </w:r>
          </w:p>
          <w:p w14:paraId="63251C1D" w14:textId="77777777" w:rsidR="001A1901" w:rsidRDefault="001A1901" w:rsidP="001A19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77AC116" w14:textId="21DFC02B" w:rsidR="001A1901" w:rsidRPr="008D53B6" w:rsidRDefault="001A1901" w:rsidP="001A190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3CB7E0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8C442D6" w14:textId="77777777" w:rsidR="001A1901" w:rsidRPr="001A1901" w:rsidRDefault="001A1901" w:rsidP="001A1901">
      <w:pPr>
        <w:spacing w:before="120"/>
        <w:rPr>
          <w:sz w:val="28"/>
          <w:szCs w:val="28"/>
        </w:rPr>
      </w:pPr>
      <w:r w:rsidRPr="001A1901">
        <w:rPr>
          <w:sz w:val="28"/>
          <w:szCs w:val="28"/>
        </w:rPr>
        <w:t>Комитет по внутреннему транспорту</w:t>
      </w:r>
    </w:p>
    <w:p w14:paraId="4C45062D" w14:textId="77777777" w:rsidR="001A1901" w:rsidRPr="001A1901" w:rsidRDefault="001A1901" w:rsidP="001A1901">
      <w:pPr>
        <w:spacing w:before="120"/>
        <w:rPr>
          <w:b/>
          <w:bCs/>
          <w:sz w:val="24"/>
          <w:szCs w:val="24"/>
        </w:rPr>
      </w:pPr>
      <w:r w:rsidRPr="001A1901">
        <w:rPr>
          <w:b/>
          <w:bCs/>
          <w:sz w:val="24"/>
          <w:szCs w:val="24"/>
        </w:rPr>
        <w:t>Рабочая группа по перевозкам опасных грузов</w:t>
      </w:r>
    </w:p>
    <w:p w14:paraId="0F0ABE8C" w14:textId="11B4F898" w:rsidR="001A1901" w:rsidRPr="00853B3C" w:rsidRDefault="001A1901" w:rsidP="001A1901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2A3CBE4D" w14:textId="77777777" w:rsidR="001A1901" w:rsidRPr="00853B3C" w:rsidRDefault="001A1901" w:rsidP="001A1901">
      <w:r>
        <w:t>Берн, 25–28 марта 2024 года</w:t>
      </w:r>
    </w:p>
    <w:p w14:paraId="775D67B6" w14:textId="77777777" w:rsidR="001A1901" w:rsidRPr="00853B3C" w:rsidRDefault="001A1901" w:rsidP="001A1901">
      <w:r>
        <w:t>Пункт 5 b) предварительной повестки дня</w:t>
      </w:r>
    </w:p>
    <w:p w14:paraId="77C79C65" w14:textId="7B86239B" w:rsidR="001A1901" w:rsidRPr="00853B3C" w:rsidRDefault="001A1901" w:rsidP="001A1901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 w:rsidR="000B7B73">
        <w:rPr>
          <w:b/>
          <w:bCs/>
        </w:rPr>
        <w:br/>
      </w:r>
      <w:r>
        <w:rPr>
          <w:b/>
          <w:bCs/>
        </w:rPr>
        <w:t>в МПОГ/ДОПОГ/ВОПОГ:</w:t>
      </w:r>
      <w:r w:rsidR="000B7B73" w:rsidRPr="000B7B73">
        <w:rPr>
          <w:b/>
          <w:bCs/>
        </w:rPr>
        <w:t xml:space="preserve"> </w:t>
      </w:r>
      <w:r>
        <w:rPr>
          <w:b/>
          <w:bCs/>
        </w:rPr>
        <w:t>новые предложения</w:t>
      </w:r>
    </w:p>
    <w:p w14:paraId="3FC7C6BA" w14:textId="2838403A" w:rsidR="001A1901" w:rsidRPr="00853B3C" w:rsidRDefault="001A1901" w:rsidP="001A1901">
      <w:pPr>
        <w:pStyle w:val="HChG"/>
      </w:pPr>
      <w:r>
        <w:tab/>
      </w:r>
      <w:r>
        <w:tab/>
        <w:t xml:space="preserve">Транспортный документ на опасные грузы: </w:t>
      </w:r>
      <w:r>
        <w:br/>
      </w:r>
      <w:r>
        <w:t>пункт 5.4.1.1.3.1 Специальные положения для отходов, добавление технических наименований</w:t>
      </w:r>
    </w:p>
    <w:p w14:paraId="6E1FA71B" w14:textId="77777777" w:rsidR="001A1901" w:rsidRPr="001A1901" w:rsidRDefault="001A1901" w:rsidP="001A1901">
      <w:pPr>
        <w:pStyle w:val="H1G"/>
        <w:rPr>
          <w:b w:val="0"/>
          <w:bCs/>
          <w:szCs w:val="24"/>
        </w:rPr>
      </w:pPr>
      <w:r>
        <w:tab/>
      </w:r>
      <w:r>
        <w:tab/>
        <w:t>Передано правительством Финляндии</w:t>
      </w:r>
      <w:r w:rsidRPr="001A1901">
        <w:rPr>
          <w:rStyle w:val="aa"/>
          <w:b w:val="0"/>
          <w:bCs/>
          <w:sz w:val="20"/>
          <w:vertAlign w:val="baseline"/>
        </w:rPr>
        <w:footnoteReference w:customMarkFollows="1" w:id="1"/>
        <w:t xml:space="preserve">* </w:t>
      </w:r>
      <w:r w:rsidRPr="001A1901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 w:rsidRPr="001A1901">
        <w:rPr>
          <w:b w:val="0"/>
          <w:bCs/>
        </w:rPr>
        <w:t xml:space="preserve"> </w:t>
      </w:r>
    </w:p>
    <w:p w14:paraId="4F5AB955" w14:textId="77777777" w:rsidR="001A1901" w:rsidRPr="00853B3C" w:rsidRDefault="001A1901" w:rsidP="001A1901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6684DBE7" w14:textId="6410DCFB" w:rsidR="001A1901" w:rsidRPr="00853B3C" w:rsidRDefault="001A1901" w:rsidP="001A1901">
      <w:pPr>
        <w:pStyle w:val="SingleTxtG"/>
      </w:pPr>
      <w:r>
        <w:t>1.</w:t>
      </w:r>
      <w:r>
        <w:tab/>
        <w:t xml:space="preserve">В соответствии с пунктом 3.1.2.8.1 МПОГ/ДОПОГ обобщенные и </w:t>
      </w:r>
      <w:r w:rsidR="000B7B73">
        <w:br/>
      </w:r>
      <w:r>
        <w:t>«не указанные конкретно» надлежащие отгрузочные наименования веществ, для которых в колонке 6 таблицы А главы 3.2 указано специальное положение 274, должны дополняться техническим наименованием груза. Технические наименования должны указываться в скобках сразу же после надлежащего отгрузочного наименования.</w:t>
      </w:r>
    </w:p>
    <w:p w14:paraId="11F50796" w14:textId="4ECEE056" w:rsidR="001A1901" w:rsidRPr="00853B3C" w:rsidRDefault="001A1901" w:rsidP="001A1901">
      <w:pPr>
        <w:pStyle w:val="SingleTxtG"/>
      </w:pPr>
      <w:r>
        <w:t xml:space="preserve">Кроме того, для отходов в соответствии с пунктом 5.4.1.1.3.1. должно быть добавлено слово </w:t>
      </w:r>
      <w:r w:rsidRPr="001A1901">
        <w:t>«</w:t>
      </w:r>
      <w:r>
        <w:t>ОТХОДЫ</w:t>
      </w:r>
      <w:r w:rsidRPr="001A1901">
        <w:t>»</w:t>
      </w:r>
      <w:r>
        <w:t>.</w:t>
      </w:r>
    </w:p>
    <w:p w14:paraId="0030B0BB" w14:textId="46AD4B1A" w:rsidR="001A1901" w:rsidRPr="00853B3C" w:rsidRDefault="001A1901" w:rsidP="001A1901">
      <w:pPr>
        <w:pStyle w:val="SingleTxtG"/>
      </w:pPr>
      <w:r>
        <w:t xml:space="preserve">Например: </w:t>
      </w:r>
      <w:r w:rsidRPr="001A1901">
        <w:t>«</w:t>
      </w:r>
      <w:r>
        <w:t>UN 1993 ОТХОДЫ, ЛЕГКОВОСПЛАМЕНЯЮЩАЯСЯ ЖИДКОСТЬ, Н.У.К. (толуол и спирт этиловый), 3, II (ДОПОГ:), (D/E)</w:t>
      </w:r>
      <w:r>
        <w:t>»</w:t>
      </w:r>
      <w:r>
        <w:t>.</w:t>
      </w:r>
    </w:p>
    <w:p w14:paraId="66F8A1FD" w14:textId="77777777" w:rsidR="001A1901" w:rsidRPr="00853B3C" w:rsidRDefault="001A1901" w:rsidP="001A1901">
      <w:pPr>
        <w:pStyle w:val="SingleTxtG"/>
      </w:pPr>
      <w:r>
        <w:t>2.</w:t>
      </w:r>
      <w:r>
        <w:tab/>
        <w:t>Однако при прочтении последнего предложения пункта 5.4.1.1.3.1, поскольку оно является отдельным абзацем в тексте, создается впечатление, что для отходов техническое наименование добавлять</w:t>
      </w:r>
      <w:r w:rsidRPr="00680734">
        <w:t xml:space="preserve"> </w:t>
      </w:r>
      <w:r>
        <w:t>не нужно.</w:t>
      </w:r>
    </w:p>
    <w:p w14:paraId="6B6B5F9E" w14:textId="799F8463" w:rsidR="001A1901" w:rsidRPr="00853B3C" w:rsidRDefault="001A1901" w:rsidP="001A1901">
      <w:pPr>
        <w:spacing w:after="120"/>
        <w:ind w:left="1134" w:right="1134"/>
        <w:jc w:val="both"/>
      </w:pPr>
      <w:r>
        <w:t xml:space="preserve">Последний абзац гласит: </w:t>
      </w:r>
      <w:r>
        <w:t>«</w:t>
      </w:r>
      <w:r>
        <w:t>Техническое наименование, предписанное в главе 3.3, специальное положение 274, можно не добавлять для отходов</w:t>
      </w:r>
      <w:r>
        <w:t>»</w:t>
      </w:r>
      <w:r>
        <w:t>.</w:t>
      </w:r>
    </w:p>
    <w:p w14:paraId="11403087" w14:textId="5AD0C31B" w:rsidR="001A1901" w:rsidRPr="00853B3C" w:rsidRDefault="001A1901" w:rsidP="001A1901">
      <w:pPr>
        <w:pStyle w:val="SingleTxtG"/>
        <w:pageBreakBefore/>
      </w:pPr>
      <w:r>
        <w:lastRenderedPageBreak/>
        <w:t>3.</w:t>
      </w:r>
      <w:r>
        <w:tab/>
        <w:t>Вместе с тем на самом деле последнее предложение было добавлено в связи с предыдущим пунктом: намерение заключалось в том, чтобы освободить от этого требования только отходы с неизвестным составом, классифицированные в соответствии с пунктом 2.1.3.5.5.</w:t>
      </w:r>
    </w:p>
    <w:p w14:paraId="669275E5" w14:textId="77777777" w:rsidR="001A1901" w:rsidRPr="00853B3C" w:rsidRDefault="001A1901" w:rsidP="001A1901">
      <w:pPr>
        <w:pStyle w:val="SingleTxtG"/>
      </w:pPr>
      <w:r>
        <w:t>Это последнее предложение было включено в МПОГ/ДОПОГ 2009 года, при этом соответствующая поправка была принята Совместным совещанием на его сессии в марте 2007 года (см. доклад ECE/TRANS/WP.15/AC.1/106 и Add.2 к нему) на основе неофициального документа INF.21 (доклад неофициальной рабочей группы по перевозке опасных отходов).</w:t>
      </w:r>
    </w:p>
    <w:p w14:paraId="1BC1BDA4" w14:textId="77777777" w:rsidR="001A1901" w:rsidRPr="00853B3C" w:rsidRDefault="001A1901" w:rsidP="001A1901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Предложение</w:t>
      </w:r>
    </w:p>
    <w:p w14:paraId="7295022F" w14:textId="77777777" w:rsidR="001A1901" w:rsidRPr="00853B3C" w:rsidRDefault="001A1901" w:rsidP="001A1901">
      <w:pPr>
        <w:pStyle w:val="SingleTxtG"/>
      </w:pPr>
      <w:r>
        <w:t>4.</w:t>
      </w:r>
      <w:r>
        <w:tab/>
        <w:t xml:space="preserve">Поскольку последнее предложение пункта 5.4.1.1.3.1 предназначено для исключения только отходов с неизвестным составом, добавить в начале последнего предложения следующий текст: </w:t>
      </w:r>
    </w:p>
    <w:p w14:paraId="5981BB76" w14:textId="565258C0" w:rsidR="001A1901" w:rsidRPr="00853B3C" w:rsidRDefault="001A1901" w:rsidP="001A1901">
      <w:pPr>
        <w:pStyle w:val="SingleTxtG"/>
      </w:pPr>
      <w:r>
        <w:tab/>
        <w:t>«Если применяется положение, касающееся отходов, изложенное в пункте</w:t>
      </w:r>
      <w:r>
        <w:t> </w:t>
      </w:r>
      <w:r>
        <w:t>2.1.3.5.5,</w:t>
      </w:r>
      <w:r>
        <w:t>»</w:t>
      </w:r>
      <w:r>
        <w:t>.</w:t>
      </w:r>
    </w:p>
    <w:p w14:paraId="61017768" w14:textId="77777777" w:rsidR="001A1901" w:rsidRPr="00853B3C" w:rsidRDefault="001A1901" w:rsidP="001A1901">
      <w:pPr>
        <w:pStyle w:val="SingleTxtG"/>
      </w:pPr>
      <w:r>
        <w:t>5.</w:t>
      </w:r>
      <w:r>
        <w:tab/>
        <w:t xml:space="preserve">Пункт 5.4.1.1.3.1 МПОГ/ДОПОГ будет выглядеть следующим образом (новый текст </w:t>
      </w:r>
      <w:r>
        <w:rPr>
          <w:u w:val="single"/>
        </w:rPr>
        <w:t>подчеркнут</w:t>
      </w:r>
      <w:r>
        <w:t xml:space="preserve">): </w:t>
      </w:r>
    </w:p>
    <w:p w14:paraId="104EACF2" w14:textId="25A2F753" w:rsidR="001A1901" w:rsidRPr="00853B3C" w:rsidRDefault="001A1901" w:rsidP="001A1901">
      <w:pPr>
        <w:pStyle w:val="SingleTxtG"/>
        <w:ind w:left="1701"/>
      </w:pPr>
      <w:r>
        <w:t>«</w:t>
      </w:r>
      <w:r>
        <w:t xml:space="preserve">Если перевозятся отходы, содержащие опасные грузы (за исключением радиоактивных отходов), то перед надлежащим отгрузочным наименованием должно быть включено слово </w:t>
      </w:r>
      <w:r w:rsidRPr="001A1901">
        <w:t>“</w:t>
      </w:r>
      <w:r>
        <w:t>ОТХОДЫ</w:t>
      </w:r>
      <w:r w:rsidRPr="001A1901">
        <w:t>”</w:t>
      </w:r>
      <w:r>
        <w:t>, если только этот термин не является частью надлежащего отгрузочного наименования, например:</w:t>
      </w:r>
    </w:p>
    <w:p w14:paraId="354D836D" w14:textId="552B0E42" w:rsidR="001A1901" w:rsidRPr="00853B3C" w:rsidRDefault="001A1901" w:rsidP="001A1901">
      <w:pPr>
        <w:pStyle w:val="SingleTxtG"/>
        <w:ind w:left="1701"/>
        <w:rPr>
          <w:rFonts w:ascii="TimesNewRomanPSMT" w:hAnsi="TimesNewRomanPSMT" w:cs="TimesNewRomanPSMT"/>
        </w:rPr>
      </w:pPr>
      <w:r w:rsidRPr="001A1901">
        <w:t>“</w:t>
      </w:r>
      <w:r>
        <w:t>UN 1230 ОТХОДЫ, МЕТАНОЛ, 3 (6.1), П, (D/E)</w:t>
      </w:r>
      <w:r w:rsidRPr="001A1901">
        <w:t>”</w:t>
      </w:r>
      <w:r>
        <w:t xml:space="preserve"> или </w:t>
      </w:r>
    </w:p>
    <w:p w14:paraId="79B7B952" w14:textId="2D593B23" w:rsidR="001A1901" w:rsidRPr="00853B3C" w:rsidRDefault="001A1901" w:rsidP="001A1901">
      <w:pPr>
        <w:pStyle w:val="SingleTxtG"/>
        <w:ind w:left="1701"/>
        <w:rPr>
          <w:rFonts w:ascii="TimesNewRomanPSMT" w:hAnsi="TimesNewRomanPSMT" w:cs="TimesNewRomanPSMT"/>
        </w:rPr>
      </w:pPr>
      <w:r w:rsidRPr="001A1901">
        <w:t>“</w:t>
      </w:r>
      <w:r>
        <w:t>UN 1230 ОТХОДЫ, МЕТАНОЛ, 3 (6.1), ГУ II, (D/E)</w:t>
      </w:r>
      <w:r w:rsidRPr="001A1901">
        <w:t>”</w:t>
      </w:r>
      <w:r>
        <w:t xml:space="preserve">, или </w:t>
      </w:r>
    </w:p>
    <w:p w14:paraId="184D7EFE" w14:textId="4721F77A" w:rsidR="001A1901" w:rsidRPr="00853B3C" w:rsidRDefault="001A1901" w:rsidP="001A1901">
      <w:pPr>
        <w:pStyle w:val="SingleTxtG"/>
        <w:ind w:left="1701"/>
        <w:rPr>
          <w:rFonts w:ascii="TimesNewRomanPSMT" w:hAnsi="TimesNewRomanPSMT" w:cs="TimesNewRomanPSMT"/>
        </w:rPr>
      </w:pPr>
      <w:r w:rsidRPr="001A1901">
        <w:t>“</w:t>
      </w:r>
      <w:r>
        <w:t>UN 1993 ОТХОДЫ, ЛЕГКОВОСПЛАМЕНЯЮЩАЯСЯ ЖИДКОСТЬ, Н.У.К. (толуол и спирт этиловый), 3, II, (D/E)</w:t>
      </w:r>
      <w:r w:rsidRPr="001A1901">
        <w:t>”</w:t>
      </w:r>
      <w:r>
        <w:t xml:space="preserve">, или </w:t>
      </w:r>
    </w:p>
    <w:p w14:paraId="700DA805" w14:textId="7FF525F7" w:rsidR="001A1901" w:rsidRPr="00853B3C" w:rsidRDefault="001A1901" w:rsidP="001A1901">
      <w:pPr>
        <w:pStyle w:val="SingleTxtG"/>
        <w:ind w:left="1701"/>
        <w:rPr>
          <w:rFonts w:ascii="TimesNewRomanPSMT" w:hAnsi="TimesNewRomanPSMT" w:cs="TimesNewRomanPSMT"/>
        </w:rPr>
      </w:pPr>
      <w:r w:rsidRPr="001A1901">
        <w:t>“</w:t>
      </w:r>
      <w:r>
        <w:t>UN 1993 ОТХОДЫ, ЛЕГКОВОСПЛАМЕНЯЮЩАЯСЯ ЖИДКОСТЬ, Н.У.К. (толуол и спирт этиловый), 3, ГУ II, (D/E)</w:t>
      </w:r>
      <w:r w:rsidRPr="001A1901">
        <w:t>”</w:t>
      </w:r>
      <w:r>
        <w:t>.</w:t>
      </w:r>
    </w:p>
    <w:p w14:paraId="56F3A82C" w14:textId="78C978DC" w:rsidR="001A1901" w:rsidRPr="00853B3C" w:rsidRDefault="001A1901" w:rsidP="001A1901">
      <w:pPr>
        <w:pStyle w:val="SingleTxtG"/>
        <w:ind w:left="1701"/>
        <w:rPr>
          <w:bCs/>
        </w:rPr>
      </w:pPr>
      <w:r>
        <w:t>Если применяется положение, касающееся отходов, изложенное в пункте</w:t>
      </w:r>
      <w:r>
        <w:rPr>
          <w:lang w:val="en-US"/>
        </w:rPr>
        <w:t> </w:t>
      </w:r>
      <w:r>
        <w:t>2.1.3.5.5, то к описанию опасных грузов согласно пункту 5.4.1.1.1 а)−d) (ДОПОГ:) и k) должны быть добавлены следующие слова:</w:t>
      </w:r>
    </w:p>
    <w:p w14:paraId="5C87909A" w14:textId="48D4E241" w:rsidR="001A1901" w:rsidRPr="00853B3C" w:rsidRDefault="001A1901" w:rsidP="001A1901">
      <w:pPr>
        <w:pStyle w:val="SingleTxtG"/>
        <w:ind w:left="1701"/>
        <w:rPr>
          <w:rFonts w:ascii="TimesNewRomanPSMT" w:hAnsi="TimesNewRomanPSMT" w:cs="TimesNewRomanPSMT"/>
        </w:rPr>
      </w:pPr>
      <w:r w:rsidRPr="001A1901">
        <w:t>“</w:t>
      </w:r>
      <w:r>
        <w:t>ОТХОДЫ В СООТВЕТСТВИИ С ПУНКТОМ 2.1.3.5.5</w:t>
      </w:r>
      <w:r w:rsidRPr="001A1901">
        <w:t>”</w:t>
      </w:r>
      <w:r>
        <w:t xml:space="preserve"> (например, </w:t>
      </w:r>
      <w:r w:rsidRPr="001A1901">
        <w:t>“</w:t>
      </w:r>
      <w:r>
        <w:t>UN 3264, КОРРОЗИОННАЯ ЖИДКОСТЬ КИСЛАЯ НЕОРГАНИЧЕСКАЯ, Н.У.К., 8, II (ДОПОГ:), (E), ОТХОДЫ В СООТВЕТСТВИИ С ПУНКТОМ 2.1.3.5.5</w:t>
      </w:r>
      <w:r w:rsidRPr="001A1901">
        <w:t>”</w:t>
      </w:r>
      <w:r>
        <w:t>).</w:t>
      </w:r>
    </w:p>
    <w:p w14:paraId="57C33E02" w14:textId="630A593B" w:rsidR="001A1901" w:rsidRPr="00853B3C" w:rsidRDefault="001A1901" w:rsidP="001A1901">
      <w:pPr>
        <w:pStyle w:val="SingleTxtG"/>
        <w:ind w:left="1701"/>
        <w:rPr>
          <w:bCs/>
        </w:rPr>
      </w:pPr>
      <w:r>
        <w:rPr>
          <w:u w:val="single"/>
        </w:rPr>
        <w:t>Если применяется положение, касающееся отходов, изложенное в пункте</w:t>
      </w:r>
      <w:r>
        <w:rPr>
          <w:u w:val="single"/>
        </w:rPr>
        <w:t> </w:t>
      </w:r>
      <w:r>
        <w:rPr>
          <w:u w:val="single"/>
        </w:rPr>
        <w:t>2.1.3.5.5,</w:t>
      </w:r>
      <w:r>
        <w:t xml:space="preserve"> то техническое наименование, предписанное в главе 3.3, специальное положение 274, можно не добавлять</w:t>
      </w:r>
      <w:r w:rsidRPr="001A1901">
        <w:t>»</w:t>
      </w:r>
      <w:r>
        <w:t>.</w:t>
      </w:r>
    </w:p>
    <w:p w14:paraId="782EB94D" w14:textId="77777777" w:rsidR="001A1901" w:rsidRPr="00853B3C" w:rsidRDefault="001A1901" w:rsidP="001A1901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Обоснование</w:t>
      </w:r>
    </w:p>
    <w:p w14:paraId="3387B25D" w14:textId="7CAB2834" w:rsidR="001A1901" w:rsidRPr="00853B3C" w:rsidRDefault="001A1901" w:rsidP="001A1901">
      <w:pPr>
        <w:pStyle w:val="SingleTxtG"/>
      </w:pPr>
      <w:r>
        <w:t>6.</w:t>
      </w:r>
      <w:r>
        <w:tab/>
        <w:t>Данный документ предназначен отразить цель решения, принятого в марте 2007</w:t>
      </w:r>
      <w:r>
        <w:rPr>
          <w:lang w:val="fr-CH"/>
        </w:rPr>
        <w:t> </w:t>
      </w:r>
      <w:r>
        <w:t>года, и разъяснить применение положения пункта 5.4.1.1.3.1.</w:t>
      </w:r>
    </w:p>
    <w:p w14:paraId="77D26922" w14:textId="77777777" w:rsidR="001A1901" w:rsidRPr="00853B3C" w:rsidRDefault="001A1901" w:rsidP="001A1901">
      <w:pPr>
        <w:spacing w:before="240"/>
        <w:jc w:val="center"/>
        <w:rPr>
          <w:u w:val="single"/>
        </w:rPr>
      </w:pPr>
      <w:r w:rsidRPr="00853B3C">
        <w:rPr>
          <w:u w:val="single"/>
        </w:rPr>
        <w:tab/>
      </w:r>
      <w:r w:rsidRPr="00853B3C">
        <w:rPr>
          <w:u w:val="single"/>
        </w:rPr>
        <w:tab/>
      </w:r>
      <w:r w:rsidRPr="00853B3C">
        <w:rPr>
          <w:u w:val="single"/>
        </w:rPr>
        <w:tab/>
      </w:r>
    </w:p>
    <w:p w14:paraId="2083E2A5" w14:textId="77777777" w:rsidR="00E12C5F" w:rsidRPr="008D53B6" w:rsidRDefault="00E12C5F" w:rsidP="00D9145B"/>
    <w:sectPr w:rsidR="00E12C5F" w:rsidRPr="008D53B6" w:rsidSect="001A19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54AB" w14:textId="77777777" w:rsidR="003E6A68" w:rsidRPr="00A312BC" w:rsidRDefault="003E6A68" w:rsidP="00A312BC"/>
  </w:endnote>
  <w:endnote w:type="continuationSeparator" w:id="0">
    <w:p w14:paraId="63BD6E8A" w14:textId="77777777" w:rsidR="003E6A68" w:rsidRPr="00A312BC" w:rsidRDefault="003E6A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964B" w14:textId="1BE5D218" w:rsidR="001A1901" w:rsidRPr="001A1901" w:rsidRDefault="001A1901">
    <w:pPr>
      <w:pStyle w:val="a8"/>
    </w:pPr>
    <w:r w:rsidRPr="001A1901">
      <w:rPr>
        <w:b/>
        <w:sz w:val="18"/>
      </w:rPr>
      <w:fldChar w:fldCharType="begin"/>
    </w:r>
    <w:r w:rsidRPr="001A1901">
      <w:rPr>
        <w:b/>
        <w:sz w:val="18"/>
      </w:rPr>
      <w:instrText xml:space="preserve"> PAGE  \* MERGEFORMAT </w:instrText>
    </w:r>
    <w:r w:rsidRPr="001A1901">
      <w:rPr>
        <w:b/>
        <w:sz w:val="18"/>
      </w:rPr>
      <w:fldChar w:fldCharType="separate"/>
    </w:r>
    <w:r w:rsidRPr="001A1901">
      <w:rPr>
        <w:b/>
        <w:noProof/>
        <w:sz w:val="18"/>
      </w:rPr>
      <w:t>2</w:t>
    </w:r>
    <w:r w:rsidRPr="001A1901">
      <w:rPr>
        <w:b/>
        <w:sz w:val="18"/>
      </w:rPr>
      <w:fldChar w:fldCharType="end"/>
    </w:r>
    <w:r>
      <w:rPr>
        <w:b/>
        <w:sz w:val="18"/>
      </w:rPr>
      <w:tab/>
    </w:r>
    <w:r>
      <w:t>GE.23-25509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9ED1" w14:textId="591EEC84" w:rsidR="001A1901" w:rsidRPr="001A1901" w:rsidRDefault="001A1901" w:rsidP="001A1901">
    <w:pPr>
      <w:pStyle w:val="a8"/>
      <w:tabs>
        <w:tab w:val="clear" w:pos="9639"/>
        <w:tab w:val="right" w:pos="9638"/>
      </w:tabs>
      <w:rPr>
        <w:b/>
        <w:sz w:val="18"/>
      </w:rPr>
    </w:pPr>
    <w:r>
      <w:t>GE.23-25509</w:t>
    </w:r>
    <w:r>
      <w:tab/>
    </w:r>
    <w:r w:rsidRPr="001A1901">
      <w:rPr>
        <w:b/>
        <w:sz w:val="18"/>
      </w:rPr>
      <w:fldChar w:fldCharType="begin"/>
    </w:r>
    <w:r w:rsidRPr="001A1901">
      <w:rPr>
        <w:b/>
        <w:sz w:val="18"/>
      </w:rPr>
      <w:instrText xml:space="preserve"> PAGE  \* MERGEFORMAT </w:instrText>
    </w:r>
    <w:r w:rsidRPr="001A1901">
      <w:rPr>
        <w:b/>
        <w:sz w:val="18"/>
      </w:rPr>
      <w:fldChar w:fldCharType="separate"/>
    </w:r>
    <w:r w:rsidRPr="001A1901">
      <w:rPr>
        <w:b/>
        <w:noProof/>
        <w:sz w:val="18"/>
      </w:rPr>
      <w:t>3</w:t>
    </w:r>
    <w:r w:rsidRPr="001A190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E997" w14:textId="03854D05" w:rsidR="00042B72" w:rsidRPr="001A1901" w:rsidRDefault="001A1901" w:rsidP="001A190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8B7734F" wp14:editId="7F516E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23-25509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BF326B4" wp14:editId="61334B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180124  190124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2EB6" w14:textId="77777777" w:rsidR="003E6A68" w:rsidRPr="001075E9" w:rsidRDefault="003E6A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45132C" w14:textId="77777777" w:rsidR="003E6A68" w:rsidRDefault="003E6A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1824E7" w14:textId="45B22BF6" w:rsidR="001A1901" w:rsidRPr="00434ADD" w:rsidRDefault="001A1901" w:rsidP="001A1901">
      <w:pPr>
        <w:pStyle w:val="ad"/>
      </w:pPr>
      <w:r>
        <w:tab/>
      </w:r>
      <w:r w:rsidRPr="001A1901">
        <w:rPr>
          <w:sz w:val="20"/>
        </w:rPr>
        <w:t>*</w:t>
      </w:r>
      <w:r w:rsidRPr="001A1901">
        <w:rPr>
          <w:sz w:val="20"/>
        </w:rPr>
        <w:tab/>
      </w:r>
      <w:r>
        <w:t>A/78/6 (разд. 20), таблица 20.5.</w:t>
      </w:r>
    </w:p>
  </w:footnote>
  <w:footnote w:id="2">
    <w:p w14:paraId="5F4C8CF4" w14:textId="5F4D4D83" w:rsidR="001A1901" w:rsidRPr="00853B3C" w:rsidRDefault="001A1901" w:rsidP="001A1901">
      <w:pPr>
        <w:pStyle w:val="ad"/>
      </w:pPr>
      <w:r>
        <w:tab/>
      </w:r>
      <w:r w:rsidRPr="001A1901">
        <w:rPr>
          <w:sz w:val="20"/>
        </w:rPr>
        <w:t>**</w:t>
      </w:r>
      <w:r w:rsidRPr="001A1901">
        <w:rPr>
          <w:sz w:val="20"/>
        </w:rPr>
        <w:tab/>
      </w:r>
      <w:r>
        <w:t>Распространено Межправительственной организацией по международным железнодорожным перевозкам (ОТИФ) под условным обозначением OTIF/RID/RC/2024/10.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0CFB" w14:textId="77BF9335" w:rsidR="001A1901" w:rsidRPr="001A1901" w:rsidRDefault="001A1901">
    <w:pPr>
      <w:pStyle w:val="a5"/>
    </w:pPr>
    <w:fldSimple w:instr=" TITLE  \* MERGEFORMAT ">
      <w:r w:rsidR="00F3108D">
        <w:t>ECE/TRANS/WP.15/AC.1/2024/10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DE4E" w14:textId="2B63A104" w:rsidR="001A1901" w:rsidRPr="001A1901" w:rsidRDefault="001A1901" w:rsidP="001A1901">
    <w:pPr>
      <w:pStyle w:val="a5"/>
      <w:jc w:val="right"/>
    </w:pPr>
    <w:fldSimple w:instr=" TITLE  \* MERGEFORMAT ">
      <w:r w:rsidR="00F3108D">
        <w:t>ECE/TRANS/WP.15/AC.1/2024/10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68"/>
    <w:rsid w:val="00033EE1"/>
    <w:rsid w:val="00042B72"/>
    <w:rsid w:val="000558BD"/>
    <w:rsid w:val="000B57E7"/>
    <w:rsid w:val="000B6373"/>
    <w:rsid w:val="000B7B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1901"/>
    <w:rsid w:val="001B3EF6"/>
    <w:rsid w:val="001C7A89"/>
    <w:rsid w:val="001D1932"/>
    <w:rsid w:val="0023646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6A68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499D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3108D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485AF"/>
  <w15:docId w15:val="{8E26BA4E-1405-4E63-AC18-50EAC4D1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A1901"/>
    <w:rPr>
      <w:lang w:val="ru-RU" w:eastAsia="en-US"/>
    </w:rPr>
  </w:style>
  <w:style w:type="character" w:customStyle="1" w:styleId="HChGChar">
    <w:name w:val="_ H _Ch_G Char"/>
    <w:link w:val="HChG"/>
    <w:locked/>
    <w:rsid w:val="001A1901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53CBD-7A2E-4F40-855A-ADFB3404FC2F}"/>
</file>

<file path=customXml/itemProps2.xml><?xml version="1.0" encoding="utf-8"?>
<ds:datastoreItem xmlns:ds="http://schemas.openxmlformats.org/officeDocument/2006/customXml" ds:itemID="{3D6F04DE-E50A-4597-86EE-8DAA2CCDC43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491</Words>
  <Characters>3350</Characters>
  <Application>Microsoft Office Word</Application>
  <DocSecurity>0</DocSecurity>
  <Lines>79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ECE/TRANS/WP.15/AC.1/2024/10</vt:lpstr>
      <vt:lpstr>A/</vt:lpstr>
      <vt:lpstr>A/</vt:lpstr>
    </vt:vector>
  </TitlesOfParts>
  <Company>DCM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ECE/TRANS/WP.15/AC.1/2024/10</dc:title>
  <dc:subject/>
  <dc:creator>Elena IZOTOVA</dc:creator>
  <cp:keywords/>
  <cp:lastModifiedBy>Elena Izotova</cp:lastModifiedBy>
  <cp:revision>4</cp:revision>
  <cp:lastPrinted>2024-01-19T08:39:00Z</cp:lastPrinted>
  <dcterms:created xsi:type="dcterms:W3CDTF">2024-01-19T08:39:00Z</dcterms:created>
  <dcterms:modified xsi:type="dcterms:W3CDTF">2024-01-19T08:39:00Z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