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724E0E5" w14:textId="77777777" w:rsidTr="00C97039">
        <w:trPr>
          <w:trHeight w:hRule="exact" w:val="851"/>
        </w:trPr>
        <w:tc>
          <w:tcPr>
            <w:tcW w:w="1276" w:type="dxa"/>
            <w:tcBorders>
              <w:bottom w:val="single" w:sz="4" w:space="0" w:color="auto"/>
            </w:tcBorders>
          </w:tcPr>
          <w:p w14:paraId="2C9D0B84" w14:textId="77777777" w:rsidR="00F35BAF" w:rsidRPr="00DB58B5" w:rsidRDefault="00F35BAF" w:rsidP="00CE7D22"/>
        </w:tc>
        <w:tc>
          <w:tcPr>
            <w:tcW w:w="2268" w:type="dxa"/>
            <w:tcBorders>
              <w:bottom w:val="single" w:sz="4" w:space="0" w:color="auto"/>
            </w:tcBorders>
            <w:vAlign w:val="bottom"/>
          </w:tcPr>
          <w:p w14:paraId="1FCF7EC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3F5821" w14:textId="1D8F5F4F" w:rsidR="00F35BAF" w:rsidRPr="00DB58B5" w:rsidRDefault="00CE7D22" w:rsidP="00CE7D22">
            <w:pPr>
              <w:jc w:val="right"/>
            </w:pPr>
            <w:r w:rsidRPr="00CE7D22">
              <w:rPr>
                <w:sz w:val="40"/>
              </w:rPr>
              <w:t>ECE</w:t>
            </w:r>
            <w:r>
              <w:t>/TRANS/WP.15/AC.1/2024/11</w:t>
            </w:r>
          </w:p>
        </w:tc>
      </w:tr>
      <w:tr w:rsidR="00F35BAF" w:rsidRPr="00DB58B5" w14:paraId="71FBA009" w14:textId="77777777" w:rsidTr="00C97039">
        <w:trPr>
          <w:trHeight w:hRule="exact" w:val="2835"/>
        </w:trPr>
        <w:tc>
          <w:tcPr>
            <w:tcW w:w="1276" w:type="dxa"/>
            <w:tcBorders>
              <w:top w:val="single" w:sz="4" w:space="0" w:color="auto"/>
              <w:bottom w:val="single" w:sz="12" w:space="0" w:color="auto"/>
            </w:tcBorders>
          </w:tcPr>
          <w:p w14:paraId="5CD4BB95" w14:textId="77777777" w:rsidR="00F35BAF" w:rsidRPr="00DB58B5" w:rsidRDefault="00F35BAF" w:rsidP="00C97039">
            <w:pPr>
              <w:spacing w:before="120"/>
              <w:jc w:val="center"/>
            </w:pPr>
            <w:r>
              <w:rPr>
                <w:noProof/>
                <w:lang w:eastAsia="fr-CH"/>
              </w:rPr>
              <w:drawing>
                <wp:inline distT="0" distB="0" distL="0" distR="0" wp14:anchorId="55098363" wp14:editId="69024E5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2D2FD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D8DBC43" w14:textId="77777777" w:rsidR="00F35BAF" w:rsidRDefault="00CE7D22" w:rsidP="00C97039">
            <w:pPr>
              <w:spacing w:before="240"/>
            </w:pPr>
            <w:r>
              <w:t>Distr. générale</w:t>
            </w:r>
          </w:p>
          <w:p w14:paraId="58A323BF" w14:textId="77777777" w:rsidR="00CE7D22" w:rsidRDefault="00CE7D22" w:rsidP="00CE7D22">
            <w:pPr>
              <w:spacing w:line="240" w:lineRule="exact"/>
            </w:pPr>
            <w:r>
              <w:t>20 décembre 2023</w:t>
            </w:r>
          </w:p>
          <w:p w14:paraId="437F6568" w14:textId="77777777" w:rsidR="00CE7D22" w:rsidRDefault="00CE7D22" w:rsidP="00CE7D22">
            <w:pPr>
              <w:spacing w:line="240" w:lineRule="exact"/>
            </w:pPr>
            <w:r>
              <w:t>Français</w:t>
            </w:r>
          </w:p>
          <w:p w14:paraId="2891872D" w14:textId="139030B0" w:rsidR="00CE7D22" w:rsidRPr="00DB58B5" w:rsidRDefault="00CE7D22" w:rsidP="00CE7D22">
            <w:pPr>
              <w:spacing w:line="240" w:lineRule="exact"/>
            </w:pPr>
            <w:r>
              <w:t>Original : anglais</w:t>
            </w:r>
          </w:p>
        </w:tc>
      </w:tr>
    </w:tbl>
    <w:p w14:paraId="5D377F8A" w14:textId="77777777" w:rsidR="007F20FA" w:rsidRPr="000312C0" w:rsidRDefault="007F20FA" w:rsidP="007F20FA">
      <w:pPr>
        <w:spacing w:before="120"/>
        <w:rPr>
          <w:b/>
          <w:sz w:val="28"/>
          <w:szCs w:val="28"/>
        </w:rPr>
      </w:pPr>
      <w:r w:rsidRPr="000312C0">
        <w:rPr>
          <w:b/>
          <w:sz w:val="28"/>
          <w:szCs w:val="28"/>
        </w:rPr>
        <w:t>Commission économique pour l’Europe</w:t>
      </w:r>
    </w:p>
    <w:p w14:paraId="3524BE28" w14:textId="77777777" w:rsidR="007F20FA" w:rsidRDefault="007F20FA" w:rsidP="007F20FA">
      <w:pPr>
        <w:spacing w:before="120"/>
        <w:rPr>
          <w:sz w:val="28"/>
          <w:szCs w:val="28"/>
        </w:rPr>
      </w:pPr>
      <w:r w:rsidRPr="00685843">
        <w:rPr>
          <w:sz w:val="28"/>
          <w:szCs w:val="28"/>
        </w:rPr>
        <w:t>Comité des transports intérieurs</w:t>
      </w:r>
    </w:p>
    <w:p w14:paraId="62C1EC2A" w14:textId="77777777" w:rsidR="00CE7D22" w:rsidRPr="009E01B8" w:rsidRDefault="00CE7D22" w:rsidP="00AF0CB5">
      <w:pPr>
        <w:spacing w:before="120"/>
        <w:rPr>
          <w:b/>
          <w:sz w:val="24"/>
          <w:szCs w:val="24"/>
        </w:rPr>
      </w:pPr>
      <w:r w:rsidRPr="009E01B8">
        <w:rPr>
          <w:b/>
          <w:sz w:val="24"/>
          <w:szCs w:val="24"/>
        </w:rPr>
        <w:t>Groupe de travail des transports de marchandises dangereuses</w:t>
      </w:r>
    </w:p>
    <w:p w14:paraId="448E0271" w14:textId="77777777" w:rsidR="00CE7D22" w:rsidRPr="00926E87" w:rsidRDefault="00CE7D22" w:rsidP="00AF0CB5">
      <w:pPr>
        <w:spacing w:before="120"/>
        <w:rPr>
          <w:b/>
        </w:rPr>
      </w:pPr>
      <w:r w:rsidRPr="00926E87">
        <w:rPr>
          <w:b/>
        </w:rPr>
        <w:t>Réunion commune de la Commission d’experts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3E263B73" w14:textId="77777777" w:rsidR="00CE7D22" w:rsidRPr="00B96029" w:rsidRDefault="00CE7D22" w:rsidP="00CE7D22">
      <w:pPr>
        <w:rPr>
          <w:lang w:val="fr-FR"/>
        </w:rPr>
      </w:pPr>
      <w:r>
        <w:rPr>
          <w:lang w:val="fr-FR"/>
        </w:rPr>
        <w:t>Berne, 25-28 mars 2024</w:t>
      </w:r>
    </w:p>
    <w:p w14:paraId="5BC3721C" w14:textId="77777777" w:rsidR="00CE7D22" w:rsidRPr="00B96029" w:rsidRDefault="00CE7D22" w:rsidP="00CE7D22">
      <w:pPr>
        <w:rPr>
          <w:lang w:val="fr-FR"/>
        </w:rPr>
      </w:pPr>
      <w:r>
        <w:rPr>
          <w:lang w:val="fr-FR"/>
        </w:rPr>
        <w:t>Point 5 a) de l’ordre du jour provisoire</w:t>
      </w:r>
    </w:p>
    <w:p w14:paraId="73FD7303" w14:textId="77777777" w:rsidR="00CE7D22" w:rsidRPr="00B96029" w:rsidRDefault="00CE7D22" w:rsidP="00CE7D22">
      <w:pPr>
        <w:rPr>
          <w:b/>
          <w:bCs/>
          <w:lang w:val="fr-FR"/>
        </w:rPr>
      </w:pPr>
      <w:r>
        <w:rPr>
          <w:b/>
          <w:bCs/>
          <w:lang w:val="fr-FR"/>
        </w:rPr>
        <w:t>Propositions d’amendements au RID, à l’ADR et à l’ADN :</w:t>
      </w:r>
    </w:p>
    <w:p w14:paraId="5D3227EF" w14:textId="77777777" w:rsidR="00CE7D22" w:rsidRPr="00B96029" w:rsidRDefault="00CE7D22" w:rsidP="00CE7D22">
      <w:pPr>
        <w:rPr>
          <w:lang w:val="fr-FR"/>
        </w:rPr>
      </w:pPr>
      <w:r>
        <w:rPr>
          <w:b/>
          <w:bCs/>
          <w:lang w:val="fr-FR"/>
        </w:rPr>
        <w:t>Questions en suspens</w:t>
      </w:r>
    </w:p>
    <w:p w14:paraId="6832E0C0" w14:textId="007748F1" w:rsidR="00CE7D22" w:rsidRPr="00B96029" w:rsidRDefault="00CE7D22" w:rsidP="006D7538">
      <w:pPr>
        <w:pStyle w:val="HChG"/>
        <w:rPr>
          <w:lang w:val="fr-FR"/>
        </w:rPr>
      </w:pPr>
      <w:r>
        <w:rPr>
          <w:lang w:val="fr-FR"/>
        </w:rPr>
        <w:tab/>
      </w:r>
      <w:r>
        <w:rPr>
          <w:lang w:val="fr-FR"/>
        </w:rPr>
        <w:tab/>
        <w:t>Définition révisée du terme «</w:t>
      </w:r>
      <w:r w:rsidR="006D7538">
        <w:rPr>
          <w:lang w:val="fr-FR"/>
        </w:rPr>
        <w:t> </w:t>
      </w:r>
      <w:r>
        <w:rPr>
          <w:lang w:val="fr-FR"/>
        </w:rPr>
        <w:t>gaz de pétrole liquéfié</w:t>
      </w:r>
      <w:r w:rsidR="006D7538">
        <w:rPr>
          <w:lang w:val="fr-FR"/>
        </w:rPr>
        <w:t> </w:t>
      </w:r>
      <w:r>
        <w:rPr>
          <w:lang w:val="fr-FR"/>
        </w:rPr>
        <w:t>»</w:t>
      </w:r>
    </w:p>
    <w:p w14:paraId="02E5194B" w14:textId="15AC01BD" w:rsidR="00CE7D22" w:rsidRPr="00B96029" w:rsidRDefault="00CE7D22" w:rsidP="006D7538">
      <w:pPr>
        <w:pStyle w:val="H1G"/>
        <w:rPr>
          <w:rStyle w:val="Appelnotedebasdep"/>
          <w:lang w:val="fr-FR"/>
        </w:rPr>
      </w:pPr>
      <w:r>
        <w:rPr>
          <w:lang w:val="fr-FR"/>
        </w:rPr>
        <w:tab/>
      </w:r>
      <w:r>
        <w:rPr>
          <w:lang w:val="fr-FR"/>
        </w:rPr>
        <w:tab/>
        <w:t xml:space="preserve">Communication de </w:t>
      </w:r>
      <w:proofErr w:type="spellStart"/>
      <w:r>
        <w:rPr>
          <w:lang w:val="fr-FR"/>
        </w:rPr>
        <w:t>Liquid</w:t>
      </w:r>
      <w:proofErr w:type="spellEnd"/>
      <w:r>
        <w:rPr>
          <w:lang w:val="fr-FR"/>
        </w:rPr>
        <w:t xml:space="preserve"> Gas Europe</w:t>
      </w:r>
      <w:r w:rsidRPr="006D7538">
        <w:rPr>
          <w:rStyle w:val="Appelnotedebasdep"/>
          <w:b w:val="0"/>
          <w:bCs/>
          <w:sz w:val="20"/>
          <w:vertAlign w:val="baseline"/>
          <w:lang w:val="fr-FR"/>
        </w:rPr>
        <w:footnoteReference w:customMarkFollows="1" w:id="2"/>
        <w:t>*</w:t>
      </w:r>
      <w:r w:rsidRPr="006D7538">
        <w:rPr>
          <w:b w:val="0"/>
          <w:bCs/>
          <w:sz w:val="20"/>
          <w:vertAlign w:val="superscript"/>
          <w:lang w:val="fr-FR"/>
        </w:rPr>
        <w:t>,</w:t>
      </w:r>
      <w:r w:rsidR="006D7538">
        <w:rPr>
          <w:b w:val="0"/>
          <w:bCs/>
          <w:sz w:val="20"/>
          <w:lang w:val="fr-FR"/>
        </w:rPr>
        <w:t xml:space="preserve"> </w:t>
      </w:r>
      <w:r w:rsidRPr="006D7538">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E7D22" w14:paraId="07964F22" w14:textId="77777777" w:rsidTr="00CE7D22">
        <w:trPr>
          <w:jc w:val="center"/>
        </w:trPr>
        <w:tc>
          <w:tcPr>
            <w:tcW w:w="9628" w:type="dxa"/>
            <w:shd w:val="clear" w:color="auto" w:fill="auto"/>
          </w:tcPr>
          <w:p w14:paraId="0060407B" w14:textId="77777777" w:rsidR="00CE7D22" w:rsidRDefault="00CE7D22">
            <w:pPr>
              <w:spacing w:before="240" w:after="120"/>
              <w:ind w:left="255"/>
              <w:rPr>
                <w:i/>
                <w:sz w:val="24"/>
              </w:rPr>
            </w:pPr>
            <w:r>
              <w:rPr>
                <w:i/>
                <w:sz w:val="24"/>
              </w:rPr>
              <w:t>Résumé</w:t>
            </w:r>
          </w:p>
        </w:tc>
      </w:tr>
      <w:tr w:rsidR="00CE7D22" w14:paraId="7119E236" w14:textId="77777777" w:rsidTr="00CE7D22">
        <w:trPr>
          <w:jc w:val="center"/>
        </w:trPr>
        <w:tc>
          <w:tcPr>
            <w:tcW w:w="9628" w:type="dxa"/>
            <w:shd w:val="clear" w:color="auto" w:fill="auto"/>
          </w:tcPr>
          <w:p w14:paraId="5FC36C3E" w14:textId="77777777" w:rsidR="00CE7D22" w:rsidRDefault="00CE7D22" w:rsidP="006D7538">
            <w:pPr>
              <w:pStyle w:val="SingleTxtG"/>
              <w:spacing w:after="0"/>
              <w:ind w:left="3402" w:hanging="2268"/>
              <w:rPr>
                <w:lang w:val="fr-FR"/>
              </w:rPr>
            </w:pPr>
            <w:r>
              <w:rPr>
                <w:b/>
                <w:bCs/>
                <w:lang w:val="fr-FR"/>
              </w:rPr>
              <w:t>Résumé analytique :</w:t>
            </w:r>
            <w:r>
              <w:rPr>
                <w:b/>
                <w:bCs/>
                <w:lang w:val="fr-FR"/>
              </w:rPr>
              <w:tab/>
            </w:r>
            <w:r>
              <w:rPr>
                <w:lang w:val="fr-FR"/>
              </w:rPr>
              <w:t xml:space="preserve">Il y a quelques années, l’industrie du gaz de pétrole liquéfié (GPL) a introduit sur le marché le </w:t>
            </w:r>
            <w:proofErr w:type="spellStart"/>
            <w:r>
              <w:rPr>
                <w:lang w:val="fr-FR"/>
              </w:rPr>
              <w:t>bioGPL</w:t>
            </w:r>
            <w:proofErr w:type="spellEnd"/>
            <w:r>
              <w:rPr>
                <w:lang w:val="fr-FR"/>
              </w:rPr>
              <w:t>, c’est-à-dire un GPL (C</w:t>
            </w:r>
            <w:r w:rsidRPr="00EF3356">
              <w:rPr>
                <w:vertAlign w:val="subscript"/>
                <w:lang w:val="fr-FR"/>
              </w:rPr>
              <w:t>3</w:t>
            </w:r>
            <w:r>
              <w:rPr>
                <w:lang w:val="fr-FR"/>
              </w:rPr>
              <w:t>/C</w:t>
            </w:r>
            <w:r w:rsidRPr="00EF3356">
              <w:rPr>
                <w:vertAlign w:val="subscript"/>
                <w:lang w:val="fr-FR"/>
              </w:rPr>
              <w:t>4</w:t>
            </w:r>
            <w:r>
              <w:rPr>
                <w:lang w:val="fr-FR"/>
              </w:rPr>
              <w:t xml:space="preserve">) de composition moléculaire identique à celle du GPL classique, mais d’origine biologique ou renouvelable. Toutefois, la définition actuelle qui figure dans le RID, l’ADR et l’ADN pour le GPL, décrit comme un produit « de pétrole », ne correspond plus ni au </w:t>
            </w:r>
            <w:proofErr w:type="spellStart"/>
            <w:r>
              <w:rPr>
                <w:lang w:val="fr-FR"/>
              </w:rPr>
              <w:t>bioGPL</w:t>
            </w:r>
            <w:proofErr w:type="spellEnd"/>
            <w:r>
              <w:rPr>
                <w:lang w:val="fr-FR"/>
              </w:rPr>
              <w:t xml:space="preserve"> d’origine renouvelable ni au GPL classique extrait du gaz naturel.</w:t>
            </w:r>
          </w:p>
          <w:p w14:paraId="26C93425" w14:textId="77777777" w:rsidR="00CE7D22" w:rsidRDefault="00CE7D22" w:rsidP="006D7538">
            <w:pPr>
              <w:pStyle w:val="SingleTxtG"/>
              <w:spacing w:after="0"/>
              <w:ind w:left="3402"/>
              <w:rPr>
                <w:lang w:val="fr-FR"/>
              </w:rPr>
            </w:pPr>
            <w:r>
              <w:rPr>
                <w:lang w:val="fr-FR"/>
              </w:rPr>
              <w:t xml:space="preserve">En outre, d’autres molécules mélangées au GPL, comme l’éther méthylique ou </w:t>
            </w:r>
            <w:proofErr w:type="spellStart"/>
            <w:r>
              <w:rPr>
                <w:lang w:val="fr-FR"/>
              </w:rPr>
              <w:t>diméthyléther</w:t>
            </w:r>
            <w:proofErr w:type="spellEnd"/>
            <w:r>
              <w:rPr>
                <w:lang w:val="fr-FR"/>
              </w:rPr>
              <w:t xml:space="preserve"> (DME), en particulier le </w:t>
            </w:r>
            <w:proofErr w:type="spellStart"/>
            <w:r>
              <w:rPr>
                <w:lang w:val="fr-FR"/>
              </w:rPr>
              <w:t>diméthyléther</w:t>
            </w:r>
            <w:proofErr w:type="spellEnd"/>
            <w:r>
              <w:rPr>
                <w:lang w:val="fr-FR"/>
              </w:rPr>
              <w:t xml:space="preserve"> renouvelable (</w:t>
            </w:r>
            <w:proofErr w:type="spellStart"/>
            <w:r>
              <w:rPr>
                <w:lang w:val="fr-FR"/>
              </w:rPr>
              <w:t>rDME</w:t>
            </w:r>
            <w:proofErr w:type="spellEnd"/>
            <w:r>
              <w:rPr>
                <w:lang w:val="fr-FR"/>
              </w:rPr>
              <w:t>), sont déjà présentes sur le marché des États-Unis d’Amérique et seront disponibles en Europe dans le courant de l’année 2024.</w:t>
            </w:r>
          </w:p>
          <w:p w14:paraId="2C66716B" w14:textId="0FE2270B" w:rsidR="00CE7D22" w:rsidRDefault="00CE7D22" w:rsidP="00CE7D22">
            <w:pPr>
              <w:pStyle w:val="SingleTxtG"/>
              <w:ind w:left="3402"/>
            </w:pPr>
            <w:r>
              <w:rPr>
                <w:lang w:val="fr-FR"/>
              </w:rPr>
              <w:t>Il est nécessaire de convenir d’une définition révisée du GPL.</w:t>
            </w:r>
          </w:p>
        </w:tc>
      </w:tr>
      <w:tr w:rsidR="00CE7D22" w14:paraId="0C3FE83B" w14:textId="77777777" w:rsidTr="00CE7D22">
        <w:trPr>
          <w:jc w:val="center"/>
        </w:trPr>
        <w:tc>
          <w:tcPr>
            <w:tcW w:w="9628" w:type="dxa"/>
            <w:shd w:val="clear" w:color="auto" w:fill="auto"/>
          </w:tcPr>
          <w:p w14:paraId="164C6809" w14:textId="6A6F2371" w:rsidR="00CE7D22" w:rsidRDefault="00CE7D22" w:rsidP="00CE7D22">
            <w:pPr>
              <w:pStyle w:val="SingleTxtG"/>
              <w:ind w:left="3402" w:hanging="2268"/>
              <w:rPr>
                <w:b/>
                <w:bCs/>
                <w:lang w:val="fr-FR"/>
              </w:rPr>
            </w:pPr>
            <w:r>
              <w:rPr>
                <w:b/>
                <w:bCs/>
                <w:lang w:val="fr-FR"/>
              </w:rPr>
              <w:t>Mesure à prendre :</w:t>
            </w:r>
            <w:r>
              <w:rPr>
                <w:b/>
                <w:bCs/>
                <w:lang w:val="fr-FR"/>
              </w:rPr>
              <w:tab/>
            </w:r>
            <w:r>
              <w:rPr>
                <w:lang w:val="fr-FR"/>
              </w:rPr>
              <w:t>Approuver une définition révisée pour le GPL dans le RID, l’ADR et l’ADN.</w:t>
            </w:r>
          </w:p>
        </w:tc>
      </w:tr>
      <w:tr w:rsidR="00CE7D22" w14:paraId="3C754698" w14:textId="77777777" w:rsidTr="00CE7D22">
        <w:trPr>
          <w:jc w:val="center"/>
        </w:trPr>
        <w:tc>
          <w:tcPr>
            <w:tcW w:w="9628" w:type="dxa"/>
            <w:shd w:val="clear" w:color="auto" w:fill="auto"/>
          </w:tcPr>
          <w:p w14:paraId="33BEDEC7" w14:textId="7382A47C" w:rsidR="00CE7D22" w:rsidRDefault="00CE7D22" w:rsidP="00CE7D22">
            <w:pPr>
              <w:pStyle w:val="SingleTxtG"/>
              <w:ind w:left="3402" w:hanging="2268"/>
              <w:rPr>
                <w:b/>
                <w:bCs/>
                <w:lang w:val="fr-FR"/>
              </w:rPr>
            </w:pPr>
            <w:r>
              <w:rPr>
                <w:b/>
                <w:bCs/>
                <w:lang w:val="fr-FR"/>
              </w:rPr>
              <w:t>Documents connexes :</w:t>
            </w:r>
            <w:r>
              <w:rPr>
                <w:b/>
                <w:bCs/>
                <w:lang w:val="fr-FR"/>
              </w:rPr>
              <w:tab/>
            </w:r>
            <w:r>
              <w:rPr>
                <w:lang w:val="fr-FR"/>
              </w:rPr>
              <w:t>Documents informels</w:t>
            </w:r>
            <w:r w:rsidR="006D7538">
              <w:rPr>
                <w:lang w:val="fr-FR"/>
              </w:rPr>
              <w:t> </w:t>
            </w:r>
            <w:r>
              <w:rPr>
                <w:lang w:val="fr-FR"/>
              </w:rPr>
              <w:t>INF.11 présenté à la session de septembre 2022 et INF.35 présenté à la session de mars 2023 de la Réunion commune, et documents informels</w:t>
            </w:r>
            <w:r w:rsidR="006D7538">
              <w:rPr>
                <w:lang w:val="fr-FR"/>
              </w:rPr>
              <w:t> </w:t>
            </w:r>
            <w:r>
              <w:rPr>
                <w:lang w:val="fr-FR"/>
              </w:rPr>
              <w:t xml:space="preserve">INF.18, INF.19 et INF.35 </w:t>
            </w:r>
            <w:r>
              <w:rPr>
                <w:lang w:val="fr-FR"/>
              </w:rPr>
              <w:lastRenderedPageBreak/>
              <w:t>présentés à la soixante-troisième session du Sous-Comité d’experts du transport des marchandises dangereuses (TMD).</w:t>
            </w:r>
          </w:p>
        </w:tc>
      </w:tr>
      <w:tr w:rsidR="00CE7D22" w14:paraId="18AA3B51" w14:textId="77777777" w:rsidTr="00CE7D22">
        <w:trPr>
          <w:jc w:val="center"/>
        </w:trPr>
        <w:tc>
          <w:tcPr>
            <w:tcW w:w="9628" w:type="dxa"/>
            <w:shd w:val="clear" w:color="auto" w:fill="auto"/>
          </w:tcPr>
          <w:p w14:paraId="09082619" w14:textId="77777777" w:rsidR="00CE7D22" w:rsidRDefault="00CE7D22"/>
        </w:tc>
      </w:tr>
    </w:tbl>
    <w:p w14:paraId="7BD30411" w14:textId="77777777" w:rsidR="00CE7D22" w:rsidRPr="00B96029" w:rsidRDefault="00CE7D22" w:rsidP="006D7538">
      <w:pPr>
        <w:pStyle w:val="HChG"/>
        <w:rPr>
          <w:sz w:val="24"/>
          <w:szCs w:val="24"/>
          <w:lang w:val="fr-FR"/>
        </w:rPr>
      </w:pPr>
      <w:r>
        <w:rPr>
          <w:lang w:val="fr-FR"/>
        </w:rPr>
        <w:tab/>
        <w:t>I.</w:t>
      </w:r>
      <w:r>
        <w:rPr>
          <w:lang w:val="fr-FR"/>
        </w:rPr>
        <w:tab/>
        <w:t>Contexte</w:t>
      </w:r>
    </w:p>
    <w:p w14:paraId="69500C97" w14:textId="77777777" w:rsidR="00CE7D22" w:rsidRPr="00B96029" w:rsidRDefault="00CE7D22" w:rsidP="00CE7D22">
      <w:pPr>
        <w:pStyle w:val="SingleTxtG"/>
        <w:rPr>
          <w:lang w:val="fr-FR"/>
        </w:rPr>
      </w:pPr>
      <w:r>
        <w:rPr>
          <w:lang w:val="fr-FR"/>
        </w:rPr>
        <w:t>1.</w:t>
      </w:r>
      <w:r>
        <w:rPr>
          <w:lang w:val="fr-FR"/>
        </w:rPr>
        <w:tab/>
        <w:t>Le gaz de pétrole liquéfié (GPL) est un combustible commercial depuis un peu plus d’un siècle. Il est principalement constitué de propane et de butane qui, jusqu’à il y a quelques années, ne pouvaient provenir que de deux sources :</w:t>
      </w:r>
    </w:p>
    <w:p w14:paraId="3EFFE5FB" w14:textId="57456BDD" w:rsidR="00CE7D22" w:rsidRPr="00B96029" w:rsidRDefault="006D7538" w:rsidP="00CE7D22">
      <w:pPr>
        <w:pStyle w:val="SingleTxtG"/>
        <w:rPr>
          <w:lang w:val="fr-FR"/>
        </w:rPr>
      </w:pPr>
      <w:r w:rsidRPr="006D7538">
        <w:rPr>
          <w:b/>
          <w:bCs/>
          <w:lang w:val="fr-FR"/>
        </w:rPr>
        <w:tab/>
      </w:r>
      <w:r w:rsidR="00CE7D22" w:rsidRPr="006D7538">
        <w:rPr>
          <w:b/>
          <w:bCs/>
          <w:lang w:val="fr-FR"/>
        </w:rPr>
        <w:tab/>
        <w:t>a)</w:t>
      </w:r>
      <w:r w:rsidR="00CE7D22" w:rsidRPr="009D0467">
        <w:rPr>
          <w:lang w:val="fr-FR"/>
        </w:rPr>
        <w:tab/>
      </w:r>
      <w:r w:rsidR="00CE7D22">
        <w:rPr>
          <w:b/>
          <w:bCs/>
          <w:lang w:val="fr-FR"/>
        </w:rPr>
        <w:t xml:space="preserve">Du raffinage du pétrole </w:t>
      </w:r>
      <w:r w:rsidR="00CE7D22">
        <w:rPr>
          <w:lang w:val="fr-FR"/>
        </w:rPr>
        <w:t>(</w:t>
      </w:r>
      <w:r w:rsidR="00CE7D22">
        <w:rPr>
          <w:u w:val="single"/>
          <w:lang w:val="fr-FR"/>
        </w:rPr>
        <w:t>couvert par la définition actuelle</w:t>
      </w:r>
      <w:r w:rsidR="00CE7D22">
        <w:rPr>
          <w:lang w:val="fr-FR"/>
        </w:rPr>
        <w:t>), qui satisfait actuellement 30 à 40</w:t>
      </w:r>
      <w:r>
        <w:rPr>
          <w:lang w:val="fr-FR"/>
        </w:rPr>
        <w:t> </w:t>
      </w:r>
      <w:r w:rsidR="00CE7D22">
        <w:rPr>
          <w:lang w:val="fr-FR"/>
        </w:rPr>
        <w:t>% de la demande mondiale et qui est en baisse</w:t>
      </w:r>
      <w:r>
        <w:rPr>
          <w:lang w:val="fr-FR"/>
        </w:rPr>
        <w:t> </w:t>
      </w:r>
      <w:r w:rsidR="00CE7D22">
        <w:rPr>
          <w:lang w:val="fr-FR"/>
        </w:rPr>
        <w:t xml:space="preserve">; </w:t>
      </w:r>
    </w:p>
    <w:p w14:paraId="7A26A1F3" w14:textId="1D47E134" w:rsidR="00CE7D22" w:rsidRPr="00B96029" w:rsidRDefault="006D7538" w:rsidP="00CE7D22">
      <w:pPr>
        <w:pStyle w:val="SingleTxtG"/>
        <w:rPr>
          <w:lang w:val="fr-FR"/>
        </w:rPr>
      </w:pPr>
      <w:r w:rsidRPr="006D7538">
        <w:rPr>
          <w:b/>
          <w:bCs/>
          <w:lang w:val="fr-FR"/>
        </w:rPr>
        <w:tab/>
      </w:r>
      <w:r w:rsidR="00CE7D22" w:rsidRPr="006D7538">
        <w:rPr>
          <w:b/>
          <w:bCs/>
          <w:lang w:val="fr-FR"/>
        </w:rPr>
        <w:tab/>
        <w:t>b)</w:t>
      </w:r>
      <w:r w:rsidR="00CE7D22" w:rsidRPr="009D0467">
        <w:rPr>
          <w:lang w:val="fr-FR"/>
        </w:rPr>
        <w:tab/>
      </w:r>
      <w:r w:rsidR="00CE7D22">
        <w:rPr>
          <w:b/>
          <w:bCs/>
          <w:lang w:val="fr-FR"/>
        </w:rPr>
        <w:t>Du traitement du gaz naturel</w:t>
      </w:r>
      <w:r w:rsidR="00CE7D22">
        <w:rPr>
          <w:lang w:val="fr-FR"/>
        </w:rPr>
        <w:t xml:space="preserve"> (souvent </w:t>
      </w:r>
      <w:r w:rsidR="00CE7D22">
        <w:rPr>
          <w:u w:val="single"/>
          <w:lang w:val="fr-FR"/>
        </w:rPr>
        <w:t>non couvert par la définition actuelle</w:t>
      </w:r>
      <w:r w:rsidR="00CE7D22">
        <w:rPr>
          <w:lang w:val="fr-FR"/>
        </w:rPr>
        <w:t xml:space="preserve"> qui ne fait référence qu’au « pétrole », bien que l’industrie applique les mêmes règlements ou normes que pour les produits issus du pétrole), qui répond actuellement à 60 à 70</w:t>
      </w:r>
      <w:r>
        <w:rPr>
          <w:lang w:val="fr-FR"/>
        </w:rPr>
        <w:t> </w:t>
      </w:r>
      <w:r w:rsidR="00CE7D22">
        <w:rPr>
          <w:lang w:val="fr-FR"/>
        </w:rPr>
        <w:t>% de la demande mondiale.</w:t>
      </w:r>
    </w:p>
    <w:p w14:paraId="371FEA54" w14:textId="2EEE8C4F" w:rsidR="00CE7D22" w:rsidRPr="00B96029" w:rsidRDefault="00CE7D22" w:rsidP="00CE7D22">
      <w:pPr>
        <w:pStyle w:val="SingleTxtG"/>
        <w:rPr>
          <w:lang w:val="fr-FR"/>
        </w:rPr>
      </w:pPr>
      <w:r>
        <w:rPr>
          <w:lang w:val="fr-FR"/>
        </w:rPr>
        <w:t>2.</w:t>
      </w:r>
      <w:r>
        <w:rPr>
          <w:lang w:val="fr-FR"/>
        </w:rPr>
        <w:tab/>
        <w:t xml:space="preserve">Aujourd’hui, dans le contexte de la transition énergétique et en vue de la </w:t>
      </w:r>
      <w:proofErr w:type="spellStart"/>
      <w:r>
        <w:rPr>
          <w:lang w:val="fr-FR"/>
        </w:rPr>
        <w:t>défossilisation</w:t>
      </w:r>
      <w:proofErr w:type="spellEnd"/>
      <w:r>
        <w:rPr>
          <w:lang w:val="fr-FR"/>
        </w:rPr>
        <w:t>, de la décarbonation et de la réduction de l’empreinte carbone globale, l’industrie du GPL se transforme en proposant également dans sa gamme de produits du propane C</w:t>
      </w:r>
      <w:r>
        <w:rPr>
          <w:vertAlign w:val="subscript"/>
          <w:lang w:val="fr-FR"/>
        </w:rPr>
        <w:t>3</w:t>
      </w:r>
      <w:r>
        <w:rPr>
          <w:lang w:val="fr-FR"/>
        </w:rPr>
        <w:t>H</w:t>
      </w:r>
      <w:r>
        <w:rPr>
          <w:vertAlign w:val="subscript"/>
          <w:lang w:val="fr-FR"/>
        </w:rPr>
        <w:t>8</w:t>
      </w:r>
      <w:r>
        <w:rPr>
          <w:lang w:val="fr-FR"/>
        </w:rPr>
        <w:t xml:space="preserve"> et du butane</w:t>
      </w:r>
      <w:r w:rsidR="006D7538">
        <w:rPr>
          <w:lang w:val="fr-FR"/>
        </w:rPr>
        <w:t> </w:t>
      </w:r>
      <w:r>
        <w:rPr>
          <w:lang w:val="fr-FR"/>
        </w:rPr>
        <w:t>C</w:t>
      </w:r>
      <w:r>
        <w:rPr>
          <w:vertAlign w:val="subscript"/>
          <w:lang w:val="fr-FR"/>
        </w:rPr>
        <w:t>4</w:t>
      </w:r>
      <w:r>
        <w:rPr>
          <w:lang w:val="fr-FR"/>
        </w:rPr>
        <w:t>H</w:t>
      </w:r>
      <w:r>
        <w:rPr>
          <w:vertAlign w:val="subscript"/>
          <w:lang w:val="fr-FR"/>
        </w:rPr>
        <w:t>10</w:t>
      </w:r>
      <w:r>
        <w:rPr>
          <w:lang w:val="fr-FR"/>
        </w:rPr>
        <w:t xml:space="preserve"> d’origine biologique ou renouvelable. Elle s’éloigne progressivement des produits issus du raffinage du pétrole et du traitement du gaz naturel, qui sont en train d’être remplacés par des sources non fossiles et renouvelables.</w:t>
      </w:r>
    </w:p>
    <w:p w14:paraId="5E6D6684" w14:textId="77777777" w:rsidR="00CE7D22" w:rsidRPr="00B96029" w:rsidRDefault="00CE7D22" w:rsidP="00CE7D22">
      <w:pPr>
        <w:pStyle w:val="SingleTxtG"/>
        <w:rPr>
          <w:lang w:val="fr-FR"/>
        </w:rPr>
      </w:pPr>
      <w:r>
        <w:rPr>
          <w:lang w:val="fr-FR"/>
        </w:rPr>
        <w:t>3.</w:t>
      </w:r>
      <w:r>
        <w:rPr>
          <w:lang w:val="fr-FR"/>
        </w:rPr>
        <w:tab/>
        <w:t>Le transport en sécurité de ces produits est réglementé par le RID, l’ADR et l’ADN, mais l’origine historique qui y figure n’est plus applicable ni exacte.</w:t>
      </w:r>
    </w:p>
    <w:p w14:paraId="2602B32A" w14:textId="36CFB0F3" w:rsidR="00CE7D22" w:rsidRPr="00B96029" w:rsidRDefault="00CE7D22" w:rsidP="00CE7D22">
      <w:pPr>
        <w:pStyle w:val="SingleTxtG"/>
        <w:rPr>
          <w:lang w:val="fr-FR"/>
        </w:rPr>
      </w:pPr>
      <w:r>
        <w:rPr>
          <w:lang w:val="fr-FR"/>
        </w:rPr>
        <w:t>4.</w:t>
      </w:r>
      <w:r>
        <w:rPr>
          <w:lang w:val="fr-FR"/>
        </w:rPr>
        <w:tab/>
        <w:t xml:space="preserve">En outre, l’industrie du GPL a commencé récemment à inclure dans le GPL qui est transporté d’autres produits et mélanges d’origine biologique, renouvelable ou recyclée, dont l’empreinte carbone est plus faible. Le fait que du propane et du butane d’origine biogène, renouvelable ou recyclée soient inclus sous cette désignation ne présente pas de difficulté technique, car les molécules sont les mêmes que pour le GPL classique. L’ajout d’éther méthylique ou </w:t>
      </w:r>
      <w:proofErr w:type="spellStart"/>
      <w:r>
        <w:rPr>
          <w:lang w:val="fr-FR"/>
        </w:rPr>
        <w:t>diméthyléther</w:t>
      </w:r>
      <w:proofErr w:type="spellEnd"/>
      <w:r>
        <w:rPr>
          <w:lang w:val="fr-FR"/>
        </w:rPr>
        <w:t xml:space="preserve"> (DME) en tant que composant de mélange dans le GPL est plus pertinent. Le DME est une molécule aux propriétés physiques similaires à celles du GPL, qui peut provenir de sources fossiles, non fossiles et renouvelables ou recyclées. Le DME renouvelable (</w:t>
      </w:r>
      <w:proofErr w:type="spellStart"/>
      <w:r>
        <w:rPr>
          <w:lang w:val="fr-FR"/>
        </w:rPr>
        <w:t>rDME</w:t>
      </w:r>
      <w:proofErr w:type="spellEnd"/>
      <w:r>
        <w:rPr>
          <w:lang w:val="fr-FR"/>
        </w:rPr>
        <w:t xml:space="preserve">) est un gaz liquéfié complémentaire qui peut être produit à partir de plusieurs matières de base renouvelables ou recyclées. Étant donné qu’il s’agit d’un combustible financièrement avantageux et propre, sans conséquences négatives sur le plan de la sécurité, le </w:t>
      </w:r>
      <w:proofErr w:type="spellStart"/>
      <w:r>
        <w:rPr>
          <w:lang w:val="fr-FR"/>
        </w:rPr>
        <w:t>rDME</w:t>
      </w:r>
      <w:proofErr w:type="spellEnd"/>
      <w:r>
        <w:rPr>
          <w:lang w:val="fr-FR"/>
        </w:rPr>
        <w:t xml:space="preserve"> constitue un ajout viable et durable au bouquet énergétique. Grâce à sa faible empreinte de gaz à effet de serre, il permet de réduire les émissions jusqu’à 85</w:t>
      </w:r>
      <w:r w:rsidR="006D7538">
        <w:rPr>
          <w:lang w:val="fr-FR"/>
        </w:rPr>
        <w:t> </w:t>
      </w:r>
      <w:r>
        <w:rPr>
          <w:lang w:val="fr-FR"/>
        </w:rPr>
        <w:t xml:space="preserve">% par rapport aux combustibles fossiles et même d’atteindre des intensités en carbone nettement négatives. Sous sa forme mélangée avec le GPL, le </w:t>
      </w:r>
      <w:proofErr w:type="spellStart"/>
      <w:r>
        <w:rPr>
          <w:lang w:val="fr-FR"/>
        </w:rPr>
        <w:t>rDME</w:t>
      </w:r>
      <w:proofErr w:type="spellEnd"/>
      <w:r>
        <w:rPr>
          <w:lang w:val="fr-FR"/>
        </w:rPr>
        <w:t xml:space="preserve"> peut contribuer à la </w:t>
      </w:r>
      <w:proofErr w:type="spellStart"/>
      <w:r>
        <w:rPr>
          <w:lang w:val="fr-FR"/>
        </w:rPr>
        <w:t>défossilisation</w:t>
      </w:r>
      <w:proofErr w:type="spellEnd"/>
      <w:r>
        <w:rPr>
          <w:lang w:val="fr-FR"/>
        </w:rPr>
        <w:t xml:space="preserve"> et à la décarbonation de l’industrie du GPL dans tous les types d’applications. Les mélanges DME/GPL dont le pourcentage en masse de DME est au maximum de 12 % sont compatibles avec les infrastructures et les équipements GPL existants, comme cela a été prouvé par des recherches et des essais approfondis financés par l’industrie.</w:t>
      </w:r>
    </w:p>
    <w:p w14:paraId="50A02A99" w14:textId="77777777" w:rsidR="00CE7D22" w:rsidRPr="00B96029" w:rsidRDefault="00CE7D22" w:rsidP="00CE7D22">
      <w:pPr>
        <w:pStyle w:val="SingleTxtG"/>
        <w:rPr>
          <w:lang w:val="fr-FR"/>
        </w:rPr>
      </w:pPr>
      <w:r>
        <w:rPr>
          <w:lang w:val="fr-FR"/>
        </w:rPr>
        <w:t>5.</w:t>
      </w:r>
      <w:r>
        <w:rPr>
          <w:lang w:val="fr-FR"/>
        </w:rPr>
        <w:tab/>
        <w:t>Le DME a le même code de classification que le GPL (2F), la même étiquette (2.1) et le même numéro d’identification du danger (23).</w:t>
      </w:r>
    </w:p>
    <w:p w14:paraId="2B8F0F58" w14:textId="77777777" w:rsidR="00CE7D22" w:rsidRPr="00B96029" w:rsidRDefault="00CE7D22" w:rsidP="00CE7D22">
      <w:pPr>
        <w:pStyle w:val="SingleTxtG"/>
        <w:rPr>
          <w:lang w:val="fr-FR"/>
        </w:rPr>
      </w:pPr>
      <w:r>
        <w:rPr>
          <w:lang w:val="fr-FR"/>
        </w:rPr>
        <w:t>6.</w:t>
      </w:r>
      <w:r>
        <w:rPr>
          <w:lang w:val="fr-FR"/>
        </w:rPr>
        <w:tab/>
        <w:t>Un mélange DME/GPL constitue une offre de produit complémentaire et nécessite une définition et des spécifications révisées.</w:t>
      </w:r>
    </w:p>
    <w:p w14:paraId="2A4C5BB1" w14:textId="77777777" w:rsidR="00CE7D22" w:rsidRPr="00B96029" w:rsidRDefault="00CE7D22" w:rsidP="00CE7D22">
      <w:pPr>
        <w:pStyle w:val="SingleTxtG"/>
        <w:rPr>
          <w:lang w:val="fr-FR"/>
        </w:rPr>
      </w:pPr>
      <w:r>
        <w:rPr>
          <w:lang w:val="fr-FR"/>
        </w:rPr>
        <w:t>7.</w:t>
      </w:r>
      <w:r>
        <w:rPr>
          <w:lang w:val="fr-FR"/>
        </w:rPr>
        <w:tab/>
        <w:t>Depuis plusieurs années, divers produits commercialisés sur le marché mondial ne correspondent pas tout à fait aux définitions qui figurent actuellement dans les règlements et normes internationaux, comme dans les exemples ci-dessous, et il y en aura d’autres à l’avenir qui entreront dans cette catégorie :</w:t>
      </w:r>
    </w:p>
    <w:p w14:paraId="4E665C08" w14:textId="699756DD" w:rsidR="00CE7D22" w:rsidRPr="00B96029" w:rsidRDefault="006D7538" w:rsidP="00CE7D22">
      <w:pPr>
        <w:pStyle w:val="SingleTxtG"/>
        <w:rPr>
          <w:lang w:val="fr-FR"/>
        </w:rPr>
      </w:pPr>
      <w:r>
        <w:rPr>
          <w:lang w:val="fr-FR"/>
        </w:rPr>
        <w:tab/>
      </w:r>
      <w:r w:rsidR="00CE7D22">
        <w:rPr>
          <w:lang w:val="fr-FR"/>
        </w:rPr>
        <w:tab/>
        <w:t>a)</w:t>
      </w:r>
      <w:r w:rsidR="00CE7D22">
        <w:rPr>
          <w:lang w:val="fr-FR"/>
        </w:rPr>
        <w:tab/>
        <w:t xml:space="preserve">Le </w:t>
      </w:r>
      <w:proofErr w:type="spellStart"/>
      <w:r w:rsidR="00CE7D22">
        <w:rPr>
          <w:lang w:val="fr-FR"/>
        </w:rPr>
        <w:t>bioGPL</w:t>
      </w:r>
      <w:proofErr w:type="spellEnd"/>
      <w:r w:rsidR="00CE7D22">
        <w:rPr>
          <w:lang w:val="fr-FR"/>
        </w:rPr>
        <w:t xml:space="preserve"> (GPL renouvelable issu de matières de base biologiques ou recyclées) disponible aujourd’hui sur de nombreux marchés européens n’est pas issu du pétrole au sens de la définition actuelle du GPL. Il peut exister en tant que produit autonome ou en tant que mélange avec le GPL classique d’origine fossile ;</w:t>
      </w:r>
    </w:p>
    <w:p w14:paraId="47E58ABA" w14:textId="6DEC475B" w:rsidR="00CE7D22" w:rsidRPr="00B96029" w:rsidRDefault="006D7538" w:rsidP="00CE7D22">
      <w:pPr>
        <w:pStyle w:val="SingleTxtG"/>
        <w:rPr>
          <w:lang w:val="fr-FR"/>
        </w:rPr>
      </w:pPr>
      <w:r>
        <w:rPr>
          <w:lang w:val="fr-FR"/>
        </w:rPr>
        <w:tab/>
      </w:r>
      <w:r w:rsidR="00CE7D22">
        <w:rPr>
          <w:lang w:val="fr-FR"/>
        </w:rPr>
        <w:tab/>
        <w:t>b)</w:t>
      </w:r>
      <w:r w:rsidR="00CE7D22">
        <w:rPr>
          <w:lang w:val="fr-FR"/>
        </w:rPr>
        <w:tab/>
        <w:t xml:space="preserve">Les mélanges de GPL et de DME, commercialisés il y a de nombreuses années dans certains pays hors d’Europe (par exemple en Chine, en Indonésie), n’ont pas de désignation spécifique et ne sont pas associés à une définition dans les règlements et les normes. Un mélange de propane et de </w:t>
      </w:r>
      <w:proofErr w:type="spellStart"/>
      <w:r w:rsidR="00CE7D22">
        <w:rPr>
          <w:lang w:val="fr-FR"/>
        </w:rPr>
        <w:t>rDME</w:t>
      </w:r>
      <w:proofErr w:type="spellEnd"/>
      <w:r w:rsidR="00CE7D22">
        <w:rPr>
          <w:lang w:val="fr-FR"/>
        </w:rPr>
        <w:t xml:space="preserve"> est commercialisé depuis peu aux États-Unis et sera disponible en 2024 sur le marché européen. </w:t>
      </w:r>
    </w:p>
    <w:p w14:paraId="4C07EA05" w14:textId="77777777" w:rsidR="00CE7D22" w:rsidRPr="00B96029" w:rsidRDefault="00CE7D22" w:rsidP="00CE7D22">
      <w:pPr>
        <w:pStyle w:val="SingleTxtG"/>
        <w:rPr>
          <w:lang w:val="fr-FR"/>
        </w:rPr>
      </w:pPr>
      <w:r>
        <w:rPr>
          <w:lang w:val="fr-FR"/>
        </w:rPr>
        <w:t>8.</w:t>
      </w:r>
      <w:r>
        <w:rPr>
          <w:lang w:val="fr-FR"/>
        </w:rPr>
        <w:tab/>
        <w:t>La proposition ci-dessous d’amendement à la définition actuelle du « GPL » (qui restera principalement composé de propane et/ou de butane) vise à :</w:t>
      </w:r>
    </w:p>
    <w:p w14:paraId="66A9A399" w14:textId="1C7A5D8E" w:rsidR="00CE7D22" w:rsidRPr="00B96029" w:rsidRDefault="006D7538" w:rsidP="00CE7D22">
      <w:pPr>
        <w:pStyle w:val="SingleTxtG"/>
        <w:rPr>
          <w:lang w:val="fr-FR"/>
        </w:rPr>
      </w:pPr>
      <w:r>
        <w:rPr>
          <w:lang w:val="fr-FR"/>
        </w:rPr>
        <w:tab/>
      </w:r>
      <w:r w:rsidR="00CE7D22">
        <w:rPr>
          <w:lang w:val="fr-FR"/>
        </w:rPr>
        <w:tab/>
        <w:t>a)</w:t>
      </w:r>
      <w:r w:rsidR="00CE7D22">
        <w:rPr>
          <w:lang w:val="fr-FR"/>
        </w:rPr>
        <w:tab/>
        <w:t>Couvrir les produits issus de toutes les sources possibles (c’est pourquoi il est nécessaire de supprimer toute référence au « pétrole ») ;</w:t>
      </w:r>
    </w:p>
    <w:p w14:paraId="14F5FFFF" w14:textId="1D63CEDB" w:rsidR="00CE7D22" w:rsidRPr="00B96029" w:rsidRDefault="006D7538" w:rsidP="00CE7D22">
      <w:pPr>
        <w:pStyle w:val="SingleTxtG"/>
        <w:rPr>
          <w:lang w:val="fr-FR"/>
        </w:rPr>
      </w:pPr>
      <w:r>
        <w:rPr>
          <w:lang w:val="fr-FR"/>
        </w:rPr>
        <w:tab/>
      </w:r>
      <w:r w:rsidR="00CE7D22">
        <w:rPr>
          <w:lang w:val="fr-FR"/>
        </w:rPr>
        <w:tab/>
        <w:t>b)</w:t>
      </w:r>
      <w:r w:rsidR="00CE7D22">
        <w:rPr>
          <w:lang w:val="fr-FR"/>
        </w:rPr>
        <w:tab/>
        <w:t>Permettre l’inclusion de l’éther méthylique (C</w:t>
      </w:r>
      <w:r w:rsidR="00CE7D22">
        <w:rPr>
          <w:vertAlign w:val="subscript"/>
          <w:lang w:val="fr-FR"/>
        </w:rPr>
        <w:t>2</w:t>
      </w:r>
      <w:r w:rsidR="00CE7D22">
        <w:rPr>
          <w:lang w:val="fr-FR"/>
        </w:rPr>
        <w:t>H</w:t>
      </w:r>
      <w:r w:rsidR="00CE7D22">
        <w:rPr>
          <w:vertAlign w:val="subscript"/>
          <w:lang w:val="fr-FR"/>
        </w:rPr>
        <w:t>6</w:t>
      </w:r>
      <w:r w:rsidR="00CE7D22">
        <w:rPr>
          <w:lang w:val="fr-FR"/>
        </w:rPr>
        <w:t>O) jusqu’à un pourcentage en masse de 12 % du mélange ou de la composition, c’est-à-dire le pourcentage auquel le mélange GPL/DME (</w:t>
      </w:r>
      <w:proofErr w:type="spellStart"/>
      <w:r w:rsidR="00CE7D22">
        <w:rPr>
          <w:lang w:val="fr-FR"/>
        </w:rPr>
        <w:t>rDME</w:t>
      </w:r>
      <w:proofErr w:type="spellEnd"/>
      <w:r w:rsidR="00CE7D22">
        <w:rPr>
          <w:lang w:val="fr-FR"/>
        </w:rPr>
        <w:t>) sera interchangeable avec le GPL</w:t>
      </w:r>
      <w:r>
        <w:rPr>
          <w:lang w:val="fr-FR"/>
        </w:rPr>
        <w:t> </w:t>
      </w:r>
      <w:r w:rsidR="00CE7D22">
        <w:rPr>
          <w:lang w:val="fr-FR"/>
        </w:rPr>
        <w:t>C</w:t>
      </w:r>
      <w:r w:rsidR="00CE7D22" w:rsidRPr="0015792C">
        <w:rPr>
          <w:vertAlign w:val="subscript"/>
          <w:lang w:val="fr-FR"/>
        </w:rPr>
        <w:t>3</w:t>
      </w:r>
      <w:r w:rsidR="00CE7D22">
        <w:rPr>
          <w:lang w:val="fr-FR"/>
        </w:rPr>
        <w:t>/C</w:t>
      </w:r>
      <w:r w:rsidR="00CE7D22" w:rsidRPr="0015792C">
        <w:rPr>
          <w:vertAlign w:val="subscript"/>
          <w:lang w:val="fr-FR"/>
        </w:rPr>
        <w:t>4</w:t>
      </w:r>
      <w:r w:rsidR="00CE7D22">
        <w:rPr>
          <w:lang w:val="fr-FR"/>
        </w:rPr>
        <w:t xml:space="preserve"> classique actuel, sans que la sécurité diminue ni qu’il soit nécessaire d’apporter des modifications à la chaîne d’approvisionnement ou à l’infrastructure, au matériel et aux appareils pour les clients (de la même manière, par exemple, on obtient du carburant automobile</w:t>
      </w:r>
      <w:r>
        <w:rPr>
          <w:lang w:val="fr-FR"/>
        </w:rPr>
        <w:t> </w:t>
      </w:r>
      <w:r w:rsidR="00CE7D22">
        <w:rPr>
          <w:lang w:val="fr-FR"/>
        </w:rPr>
        <w:t>E10 en ajoutant 10 % d’éthanol dans l’essence) ;</w:t>
      </w:r>
    </w:p>
    <w:p w14:paraId="3C6AA431" w14:textId="190358DD" w:rsidR="00CE7D22" w:rsidRPr="00B96029" w:rsidRDefault="006D7538" w:rsidP="00CE7D22">
      <w:pPr>
        <w:pStyle w:val="SingleTxtG"/>
        <w:rPr>
          <w:lang w:val="fr-FR"/>
        </w:rPr>
      </w:pPr>
      <w:r>
        <w:rPr>
          <w:lang w:val="fr-FR"/>
        </w:rPr>
        <w:tab/>
      </w:r>
      <w:r w:rsidR="00CE7D22">
        <w:rPr>
          <w:lang w:val="fr-FR"/>
        </w:rPr>
        <w:tab/>
        <w:t>c)</w:t>
      </w:r>
      <w:r w:rsidR="00CE7D22">
        <w:rPr>
          <w:lang w:val="fr-FR"/>
        </w:rPr>
        <w:tab/>
        <w:t>Ajouter les numéros ONU du propène (propylène), du butène et de l’isobutène (</w:t>
      </w:r>
      <w:proofErr w:type="spellStart"/>
      <w:r w:rsidR="00CE7D22">
        <w:rPr>
          <w:lang w:val="fr-FR"/>
        </w:rPr>
        <w:t>isobutylène</w:t>
      </w:r>
      <w:proofErr w:type="spellEnd"/>
      <w:r w:rsidR="00CE7D22">
        <w:rPr>
          <w:lang w:val="fr-FR"/>
        </w:rPr>
        <w:t xml:space="preserve">) car, selon le </w:t>
      </w:r>
      <w:r w:rsidR="00CE7D22" w:rsidRPr="006D7538">
        <w:rPr>
          <w:i/>
          <w:iCs/>
          <w:lang w:val="fr-FR"/>
        </w:rPr>
        <w:t>nota 1</w:t>
      </w:r>
      <w:r w:rsidR="00CE7D22">
        <w:rPr>
          <w:lang w:val="fr-FR"/>
        </w:rPr>
        <w:t xml:space="preserve"> figurant après la définition du GPL, seuls les gaz affectés aux numéros ONU énumérés peuvent être considérés comme des GPL.</w:t>
      </w:r>
    </w:p>
    <w:p w14:paraId="6229BB5F" w14:textId="6319DA58" w:rsidR="00CE7D22" w:rsidRPr="00B96029" w:rsidRDefault="00CE7D22" w:rsidP="00CE7D22">
      <w:pPr>
        <w:pStyle w:val="SingleTxtG"/>
        <w:rPr>
          <w:lang w:val="fr-FR"/>
        </w:rPr>
      </w:pPr>
      <w:r>
        <w:rPr>
          <w:lang w:val="fr-FR"/>
        </w:rPr>
        <w:t>9.</w:t>
      </w:r>
      <w:r>
        <w:rPr>
          <w:lang w:val="fr-FR"/>
        </w:rPr>
        <w:tab/>
        <w:t>La World LPG Association (WLPGA) a présenté à la soixante-troisième session du Sous-Comité TMD, en novembre-décembre 2023, les documents informels</w:t>
      </w:r>
      <w:r w:rsidR="006D7538">
        <w:rPr>
          <w:lang w:val="fr-FR"/>
        </w:rPr>
        <w:t> </w:t>
      </w:r>
      <w:r>
        <w:rPr>
          <w:lang w:val="fr-FR"/>
        </w:rPr>
        <w:t>INF.18</w:t>
      </w:r>
      <w:r w:rsidRPr="006D7538">
        <w:rPr>
          <w:rStyle w:val="Appelnotedebasdep"/>
        </w:rPr>
        <w:footnoteReference w:id="4"/>
      </w:r>
      <w:r>
        <w:rPr>
          <w:lang w:val="fr-FR"/>
        </w:rPr>
        <w:t>, INF.19</w:t>
      </w:r>
      <w:r w:rsidRPr="006D7538">
        <w:rPr>
          <w:rStyle w:val="Appelnotedebasdep"/>
        </w:rPr>
        <w:footnoteReference w:id="5"/>
      </w:r>
      <w:r>
        <w:rPr>
          <w:lang w:val="fr-FR"/>
        </w:rPr>
        <w:t xml:space="preserve"> et INF.35</w:t>
      </w:r>
      <w:r w:rsidRPr="006D7538">
        <w:rPr>
          <w:rStyle w:val="Appelnotedebasdep"/>
        </w:rPr>
        <w:footnoteReference w:id="6"/>
      </w:r>
      <w:r>
        <w:rPr>
          <w:lang w:val="fr-FR"/>
        </w:rPr>
        <w:t>, visant à ce qu’une disposition spéciale soit appliquée aux rubriques des Nos</w:t>
      </w:r>
      <w:r w:rsidR="006D7538">
        <w:rPr>
          <w:lang w:val="fr-FR"/>
        </w:rPr>
        <w:t> </w:t>
      </w:r>
      <w:r>
        <w:rPr>
          <w:lang w:val="fr-FR"/>
        </w:rPr>
        <w:t>ONU</w:t>
      </w:r>
      <w:r w:rsidR="006D7538">
        <w:rPr>
          <w:lang w:val="fr-FR"/>
        </w:rPr>
        <w:t> </w:t>
      </w:r>
      <w:r>
        <w:rPr>
          <w:lang w:val="fr-FR"/>
        </w:rPr>
        <w:t>1075 et 1965 dans le Règlement type, comme suit :</w:t>
      </w:r>
    </w:p>
    <w:p w14:paraId="760627F7" w14:textId="0D614BCB" w:rsidR="00CE7D22" w:rsidRPr="00B96029" w:rsidRDefault="00CE7D22" w:rsidP="00CE7D22">
      <w:pPr>
        <w:pStyle w:val="SingleTxtG"/>
        <w:rPr>
          <w:lang w:val="fr-FR"/>
        </w:rPr>
      </w:pPr>
      <w:r>
        <w:rPr>
          <w:lang w:val="fr-FR"/>
        </w:rPr>
        <w:tab/>
        <w:t>« Modifier la liste des marchandises dangereuses du 3.2.2 comme suit</w:t>
      </w:r>
      <w:r w:rsidR="006D7538">
        <w:rPr>
          <w:lang w:val="fr-FR"/>
        </w:rPr>
        <w:t> </w:t>
      </w:r>
      <w:r>
        <w:rPr>
          <w:lang w:val="fr-FR"/>
        </w:rPr>
        <w:t>:</w:t>
      </w:r>
    </w:p>
    <w:tbl>
      <w:tblPr>
        <w:tblStyle w:val="Grilledutableau"/>
        <w:tblW w:w="8505" w:type="dxa"/>
        <w:tblInd w:w="1134" w:type="dxa"/>
        <w:tblLayout w:type="fixed"/>
        <w:tblLook w:val="04A0" w:firstRow="1" w:lastRow="0" w:firstColumn="1" w:lastColumn="0" w:noHBand="0" w:noVBand="1"/>
      </w:tblPr>
      <w:tblGrid>
        <w:gridCol w:w="806"/>
        <w:gridCol w:w="3158"/>
        <w:gridCol w:w="993"/>
        <w:gridCol w:w="992"/>
        <w:gridCol w:w="1070"/>
        <w:gridCol w:w="1486"/>
      </w:tblGrid>
      <w:tr w:rsidR="00CE7D22" w:rsidRPr="00320B85" w14:paraId="5FA5E027" w14:textId="77777777" w:rsidTr="00F94134">
        <w:trPr>
          <w:trHeight w:val="844"/>
        </w:trPr>
        <w:tc>
          <w:tcPr>
            <w:tcW w:w="806" w:type="dxa"/>
            <w:vAlign w:val="bottom"/>
          </w:tcPr>
          <w:p w14:paraId="6538239E"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No ONU</w:t>
            </w:r>
          </w:p>
        </w:tc>
        <w:tc>
          <w:tcPr>
            <w:tcW w:w="3158" w:type="dxa"/>
            <w:vAlign w:val="bottom"/>
          </w:tcPr>
          <w:p w14:paraId="35BB4C06"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Nom et description</w:t>
            </w:r>
          </w:p>
        </w:tc>
        <w:tc>
          <w:tcPr>
            <w:tcW w:w="993" w:type="dxa"/>
            <w:vAlign w:val="bottom"/>
          </w:tcPr>
          <w:p w14:paraId="6D606409" w14:textId="77777777" w:rsidR="00CE7D22" w:rsidRPr="00320B85" w:rsidRDefault="00CE7D22" w:rsidP="00F94134">
            <w:pPr>
              <w:tabs>
                <w:tab w:val="left" w:pos="1126"/>
              </w:tabs>
              <w:spacing w:before="40" w:after="40" w:line="240" w:lineRule="auto"/>
              <w:ind w:left="57" w:right="57"/>
              <w:jc w:val="center"/>
              <w:rPr>
                <w:b/>
                <w:bCs/>
                <w:sz w:val="16"/>
                <w:szCs w:val="16"/>
              </w:rPr>
            </w:pPr>
            <w:r w:rsidRPr="00320B85">
              <w:rPr>
                <w:b/>
                <w:bCs/>
                <w:sz w:val="16"/>
                <w:szCs w:val="16"/>
                <w:lang w:val="fr-FR"/>
              </w:rPr>
              <w:t>Classe ou division</w:t>
            </w:r>
          </w:p>
        </w:tc>
        <w:tc>
          <w:tcPr>
            <w:tcW w:w="992" w:type="dxa"/>
            <w:vAlign w:val="bottom"/>
          </w:tcPr>
          <w:p w14:paraId="25EA8FA7"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Danger subsidiaire</w:t>
            </w:r>
          </w:p>
        </w:tc>
        <w:tc>
          <w:tcPr>
            <w:tcW w:w="1070" w:type="dxa"/>
            <w:vAlign w:val="bottom"/>
          </w:tcPr>
          <w:p w14:paraId="3295C02D"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Groupe d</w:t>
            </w:r>
            <w:r>
              <w:rPr>
                <w:b/>
                <w:bCs/>
                <w:sz w:val="16"/>
                <w:szCs w:val="16"/>
                <w:lang w:val="fr-FR"/>
              </w:rPr>
              <w:t>’</w:t>
            </w:r>
            <w:r w:rsidRPr="00320B85">
              <w:rPr>
                <w:b/>
                <w:bCs/>
                <w:sz w:val="16"/>
                <w:szCs w:val="16"/>
                <w:lang w:val="fr-FR"/>
              </w:rPr>
              <w:t>emballage</w:t>
            </w:r>
          </w:p>
        </w:tc>
        <w:tc>
          <w:tcPr>
            <w:tcW w:w="1486" w:type="dxa"/>
            <w:vAlign w:val="bottom"/>
          </w:tcPr>
          <w:p w14:paraId="35FA5544" w14:textId="77777777" w:rsidR="00CE7D22" w:rsidRPr="00320B85" w:rsidRDefault="00CE7D22" w:rsidP="00F94134">
            <w:pPr>
              <w:spacing w:before="40" w:after="40" w:line="240" w:lineRule="auto"/>
              <w:ind w:left="57" w:right="57" w:hanging="69"/>
              <w:jc w:val="center"/>
              <w:rPr>
                <w:b/>
                <w:bCs/>
                <w:sz w:val="16"/>
                <w:szCs w:val="16"/>
              </w:rPr>
            </w:pPr>
            <w:r w:rsidRPr="00320B85">
              <w:rPr>
                <w:b/>
                <w:bCs/>
                <w:sz w:val="16"/>
                <w:szCs w:val="16"/>
                <w:lang w:val="fr-FR"/>
              </w:rPr>
              <w:t>Dispositions spéciales</w:t>
            </w:r>
          </w:p>
        </w:tc>
      </w:tr>
      <w:tr w:rsidR="00CE7D22" w:rsidRPr="00320B85" w14:paraId="640E8FDD" w14:textId="77777777" w:rsidTr="00F94134">
        <w:trPr>
          <w:trHeight w:val="432"/>
        </w:trPr>
        <w:tc>
          <w:tcPr>
            <w:tcW w:w="806" w:type="dxa"/>
            <w:vAlign w:val="center"/>
          </w:tcPr>
          <w:p w14:paraId="799518D3"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(1)</w:t>
            </w:r>
          </w:p>
        </w:tc>
        <w:tc>
          <w:tcPr>
            <w:tcW w:w="3158" w:type="dxa"/>
            <w:vAlign w:val="center"/>
          </w:tcPr>
          <w:p w14:paraId="67E63CA1"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(2)</w:t>
            </w:r>
          </w:p>
        </w:tc>
        <w:tc>
          <w:tcPr>
            <w:tcW w:w="993" w:type="dxa"/>
            <w:vAlign w:val="center"/>
          </w:tcPr>
          <w:p w14:paraId="06B0CE93"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(3)</w:t>
            </w:r>
          </w:p>
        </w:tc>
        <w:tc>
          <w:tcPr>
            <w:tcW w:w="992" w:type="dxa"/>
            <w:vAlign w:val="center"/>
          </w:tcPr>
          <w:p w14:paraId="47F187F6"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(4)</w:t>
            </w:r>
          </w:p>
        </w:tc>
        <w:tc>
          <w:tcPr>
            <w:tcW w:w="1070" w:type="dxa"/>
            <w:vAlign w:val="center"/>
          </w:tcPr>
          <w:p w14:paraId="17F9C8CD"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(5)</w:t>
            </w:r>
          </w:p>
        </w:tc>
        <w:tc>
          <w:tcPr>
            <w:tcW w:w="1486" w:type="dxa"/>
            <w:vAlign w:val="center"/>
          </w:tcPr>
          <w:p w14:paraId="6499318B" w14:textId="77777777" w:rsidR="00CE7D22" w:rsidRPr="00320B85" w:rsidRDefault="00CE7D22" w:rsidP="00F94134">
            <w:pPr>
              <w:spacing w:before="40" w:after="40" w:line="240" w:lineRule="auto"/>
              <w:ind w:left="57" w:right="57"/>
              <w:jc w:val="center"/>
              <w:rPr>
                <w:b/>
                <w:bCs/>
                <w:sz w:val="16"/>
                <w:szCs w:val="16"/>
              </w:rPr>
            </w:pPr>
            <w:r w:rsidRPr="00320B85">
              <w:rPr>
                <w:b/>
                <w:bCs/>
                <w:sz w:val="16"/>
                <w:szCs w:val="16"/>
                <w:lang w:val="fr-FR"/>
              </w:rPr>
              <w:t>(6)</w:t>
            </w:r>
          </w:p>
        </w:tc>
      </w:tr>
      <w:tr w:rsidR="00CE7D22" w:rsidRPr="00FB2B87" w14:paraId="4EF6EA64" w14:textId="77777777" w:rsidTr="00F94134">
        <w:tc>
          <w:tcPr>
            <w:tcW w:w="806" w:type="dxa"/>
          </w:tcPr>
          <w:p w14:paraId="1DB2007B" w14:textId="77777777" w:rsidR="00CE7D22" w:rsidRPr="00FB2B87" w:rsidRDefault="00CE7D22" w:rsidP="00F94134">
            <w:pPr>
              <w:spacing w:before="40" w:after="40" w:line="240" w:lineRule="auto"/>
              <w:ind w:left="57" w:right="57"/>
              <w:jc w:val="center"/>
            </w:pPr>
            <w:r>
              <w:rPr>
                <w:lang w:val="fr-FR"/>
              </w:rPr>
              <w:t>1075</w:t>
            </w:r>
          </w:p>
        </w:tc>
        <w:tc>
          <w:tcPr>
            <w:tcW w:w="3158" w:type="dxa"/>
          </w:tcPr>
          <w:p w14:paraId="50C93770" w14:textId="77777777" w:rsidR="00CE7D22" w:rsidRPr="00FB2B87" w:rsidRDefault="00CE7D22" w:rsidP="00F94134">
            <w:pPr>
              <w:spacing w:before="40" w:after="40" w:line="240" w:lineRule="auto"/>
              <w:ind w:left="57" w:right="57"/>
            </w:pPr>
            <w:r>
              <w:rPr>
                <w:lang w:val="fr-FR"/>
              </w:rPr>
              <w:t>GAZ DE PÉTROLE LIQUÉFIÉS</w:t>
            </w:r>
          </w:p>
        </w:tc>
        <w:tc>
          <w:tcPr>
            <w:tcW w:w="993" w:type="dxa"/>
          </w:tcPr>
          <w:p w14:paraId="5260ABD6" w14:textId="77777777" w:rsidR="00CE7D22" w:rsidRPr="00FB2B87" w:rsidRDefault="00CE7D22" w:rsidP="00F94134">
            <w:pPr>
              <w:spacing w:before="40" w:after="40" w:line="240" w:lineRule="auto"/>
              <w:ind w:left="57" w:right="57"/>
              <w:jc w:val="center"/>
            </w:pPr>
            <w:r>
              <w:rPr>
                <w:lang w:val="fr-FR"/>
              </w:rPr>
              <w:t>2.1</w:t>
            </w:r>
          </w:p>
        </w:tc>
        <w:tc>
          <w:tcPr>
            <w:tcW w:w="992" w:type="dxa"/>
          </w:tcPr>
          <w:p w14:paraId="61AD1D03" w14:textId="77777777" w:rsidR="00CE7D22" w:rsidRPr="00FB2B87" w:rsidRDefault="00CE7D22" w:rsidP="00F94134">
            <w:pPr>
              <w:spacing w:before="40" w:after="40" w:line="240" w:lineRule="auto"/>
              <w:ind w:left="57" w:right="57"/>
              <w:jc w:val="center"/>
            </w:pPr>
          </w:p>
        </w:tc>
        <w:tc>
          <w:tcPr>
            <w:tcW w:w="1070" w:type="dxa"/>
          </w:tcPr>
          <w:p w14:paraId="493EE7FD" w14:textId="77777777" w:rsidR="00CE7D22" w:rsidRPr="00FB2B87" w:rsidRDefault="00CE7D22" w:rsidP="00F94134">
            <w:pPr>
              <w:spacing w:before="40" w:after="40" w:line="240" w:lineRule="auto"/>
              <w:ind w:left="57" w:right="57"/>
              <w:jc w:val="center"/>
            </w:pPr>
          </w:p>
        </w:tc>
        <w:tc>
          <w:tcPr>
            <w:tcW w:w="1486" w:type="dxa"/>
          </w:tcPr>
          <w:p w14:paraId="0D569DF8" w14:textId="77777777" w:rsidR="00CE7D22" w:rsidRPr="00FB2B87" w:rsidRDefault="00CE7D22" w:rsidP="00F94134">
            <w:pPr>
              <w:spacing w:before="40" w:after="40" w:line="240" w:lineRule="auto"/>
              <w:ind w:left="57" w:right="57"/>
              <w:jc w:val="center"/>
              <w:rPr>
                <w:u w:val="single"/>
              </w:rPr>
            </w:pPr>
            <w:r>
              <w:rPr>
                <w:lang w:val="fr-FR"/>
              </w:rPr>
              <w:t xml:space="preserve">392, </w:t>
            </w:r>
            <w:r>
              <w:rPr>
                <w:u w:val="single"/>
                <w:lang w:val="fr-FR"/>
              </w:rPr>
              <w:t>XXX</w:t>
            </w:r>
          </w:p>
        </w:tc>
      </w:tr>
      <w:tr w:rsidR="00CE7D22" w:rsidRPr="00FB2B87" w14:paraId="27C3E8BD" w14:textId="77777777" w:rsidTr="00F94134">
        <w:trPr>
          <w:trHeight w:val="432"/>
        </w:trPr>
        <w:tc>
          <w:tcPr>
            <w:tcW w:w="806" w:type="dxa"/>
          </w:tcPr>
          <w:p w14:paraId="718ADA1D" w14:textId="77777777" w:rsidR="00CE7D22" w:rsidRPr="00FB2B87" w:rsidRDefault="00CE7D22" w:rsidP="00F94134">
            <w:pPr>
              <w:spacing w:before="40" w:after="40" w:line="240" w:lineRule="auto"/>
              <w:ind w:left="57" w:right="57"/>
              <w:jc w:val="center"/>
              <w:rPr>
                <w:b/>
                <w:bCs/>
              </w:rPr>
            </w:pPr>
            <w:r>
              <w:rPr>
                <w:lang w:val="fr-FR"/>
              </w:rPr>
              <w:t>1965</w:t>
            </w:r>
          </w:p>
        </w:tc>
        <w:tc>
          <w:tcPr>
            <w:tcW w:w="3158" w:type="dxa"/>
          </w:tcPr>
          <w:p w14:paraId="76DE77ED" w14:textId="77777777" w:rsidR="00CE7D22" w:rsidRPr="00B96029" w:rsidRDefault="00CE7D22" w:rsidP="00F94134">
            <w:pPr>
              <w:spacing w:before="40" w:after="40" w:line="240" w:lineRule="auto"/>
              <w:ind w:left="57" w:right="57"/>
              <w:rPr>
                <w:b/>
                <w:bCs/>
                <w:lang w:val="fr-FR"/>
              </w:rPr>
            </w:pPr>
            <w:r>
              <w:rPr>
                <w:lang w:val="fr-FR"/>
              </w:rPr>
              <w:t>HYDROCARBURES GAZEUX EN MÉLANGE LIQUÉFIÉ, N.S.A.</w:t>
            </w:r>
          </w:p>
        </w:tc>
        <w:tc>
          <w:tcPr>
            <w:tcW w:w="993" w:type="dxa"/>
          </w:tcPr>
          <w:p w14:paraId="4FABC6CB" w14:textId="77777777" w:rsidR="00CE7D22" w:rsidRPr="00FB2B87" w:rsidRDefault="00CE7D22" w:rsidP="00F94134">
            <w:pPr>
              <w:spacing w:before="40" w:after="40" w:line="240" w:lineRule="auto"/>
              <w:ind w:left="57" w:right="57"/>
              <w:jc w:val="center"/>
              <w:rPr>
                <w:b/>
                <w:bCs/>
              </w:rPr>
            </w:pPr>
            <w:r>
              <w:rPr>
                <w:lang w:val="fr-FR"/>
              </w:rPr>
              <w:t>2.1</w:t>
            </w:r>
          </w:p>
        </w:tc>
        <w:tc>
          <w:tcPr>
            <w:tcW w:w="992" w:type="dxa"/>
          </w:tcPr>
          <w:p w14:paraId="0BF631CA" w14:textId="77777777" w:rsidR="00CE7D22" w:rsidRPr="00FB2B87" w:rsidRDefault="00CE7D22" w:rsidP="00F94134">
            <w:pPr>
              <w:spacing w:before="40" w:after="40" w:line="240" w:lineRule="auto"/>
              <w:ind w:left="57" w:right="57"/>
              <w:jc w:val="center"/>
              <w:rPr>
                <w:b/>
                <w:bCs/>
              </w:rPr>
            </w:pPr>
          </w:p>
        </w:tc>
        <w:tc>
          <w:tcPr>
            <w:tcW w:w="1070" w:type="dxa"/>
          </w:tcPr>
          <w:p w14:paraId="7EE0D644" w14:textId="77777777" w:rsidR="00CE7D22" w:rsidRPr="00FB2B87" w:rsidRDefault="00CE7D22" w:rsidP="00F94134">
            <w:pPr>
              <w:spacing w:before="40" w:after="40" w:line="240" w:lineRule="auto"/>
              <w:ind w:left="57" w:right="57"/>
              <w:jc w:val="center"/>
              <w:rPr>
                <w:b/>
                <w:bCs/>
              </w:rPr>
            </w:pPr>
          </w:p>
        </w:tc>
        <w:tc>
          <w:tcPr>
            <w:tcW w:w="1486" w:type="dxa"/>
          </w:tcPr>
          <w:p w14:paraId="1288DE46" w14:textId="77777777" w:rsidR="00CE7D22" w:rsidRPr="00FB2B87" w:rsidRDefault="00CE7D22" w:rsidP="00F94134">
            <w:pPr>
              <w:spacing w:before="40" w:after="40" w:line="240" w:lineRule="auto"/>
              <w:ind w:left="57" w:right="57"/>
              <w:jc w:val="center"/>
              <w:rPr>
                <w:b/>
                <w:bCs/>
              </w:rPr>
            </w:pPr>
            <w:r>
              <w:rPr>
                <w:lang w:val="fr-FR"/>
              </w:rPr>
              <w:t xml:space="preserve">274, 392, </w:t>
            </w:r>
            <w:r>
              <w:rPr>
                <w:u w:val="single"/>
                <w:lang w:val="fr-FR"/>
              </w:rPr>
              <w:t>XXX</w:t>
            </w:r>
          </w:p>
        </w:tc>
      </w:tr>
    </w:tbl>
    <w:p w14:paraId="08D00303" w14:textId="2C41B530" w:rsidR="00CE7D22" w:rsidRPr="00B96029" w:rsidRDefault="00CE7D22" w:rsidP="00F94134">
      <w:pPr>
        <w:pStyle w:val="SingleTxtG"/>
        <w:spacing w:before="240"/>
        <w:rPr>
          <w:lang w:val="fr-FR"/>
        </w:rPr>
      </w:pPr>
      <w:r>
        <w:rPr>
          <w:lang w:val="fr-FR"/>
        </w:rPr>
        <w:tab/>
        <w:t>Au 3.3.1, ajouter la nouvelle disposition spéciale XXX, libellée comme suit</w:t>
      </w:r>
      <w:r w:rsidR="006D7538">
        <w:rPr>
          <w:lang w:val="fr-FR"/>
        </w:rPr>
        <w:t> </w:t>
      </w:r>
      <w:r>
        <w:rPr>
          <w:lang w:val="fr-FR"/>
        </w:rPr>
        <w:t>:</w:t>
      </w:r>
    </w:p>
    <w:p w14:paraId="2F103E64" w14:textId="77777777" w:rsidR="00CE7D22" w:rsidRPr="00B96029" w:rsidRDefault="00CE7D22" w:rsidP="00CE7D22">
      <w:pPr>
        <w:pStyle w:val="SingleTxtG"/>
        <w:ind w:left="1701" w:hanging="567"/>
        <w:rPr>
          <w:lang w:val="fr-FR"/>
        </w:rPr>
      </w:pPr>
      <w:r>
        <w:rPr>
          <w:u w:val="single"/>
          <w:lang w:val="fr-FR"/>
        </w:rPr>
        <w:t>XXX</w:t>
      </w:r>
      <w:r>
        <w:rPr>
          <w:lang w:val="fr-FR"/>
        </w:rPr>
        <w:tab/>
      </w:r>
      <w:r w:rsidRPr="0015466A">
        <w:rPr>
          <w:u w:val="single"/>
          <w:lang w:val="fr-FR"/>
        </w:rPr>
        <w:t>Cette matière peut contenir des hydrocarbures gazeux issus de sources non pétrolières et peut également contenir</w:t>
      </w:r>
      <w:r>
        <w:rPr>
          <w:u w:val="single"/>
          <w:lang w:val="fr-FR"/>
        </w:rPr>
        <w:t xml:space="preserve"> de</w:t>
      </w:r>
      <w:r w:rsidRPr="0015466A">
        <w:rPr>
          <w:u w:val="single"/>
          <w:lang w:val="fr-FR"/>
        </w:rPr>
        <w:t xml:space="preserve"> </w:t>
      </w:r>
      <w:r>
        <w:rPr>
          <w:u w:val="single"/>
          <w:lang w:val="fr-FR"/>
        </w:rPr>
        <w:t>l’</w:t>
      </w:r>
      <w:r w:rsidRPr="0015466A">
        <w:rPr>
          <w:u w:val="single"/>
          <w:lang w:val="fr-FR"/>
        </w:rPr>
        <w:t xml:space="preserve">ÉTHER MÉTHYLIQUE </w:t>
      </w:r>
      <w:r>
        <w:rPr>
          <w:u w:val="single"/>
          <w:lang w:val="fr-FR"/>
        </w:rPr>
        <w:t>(</w:t>
      </w:r>
      <w:r w:rsidRPr="0015466A">
        <w:rPr>
          <w:u w:val="single"/>
          <w:lang w:val="fr-FR"/>
        </w:rPr>
        <w:t>No ONU 1033</w:t>
      </w:r>
      <w:r>
        <w:rPr>
          <w:u w:val="single"/>
          <w:lang w:val="fr-FR"/>
        </w:rPr>
        <w:t xml:space="preserve">) jusqu’à </w:t>
      </w:r>
      <w:r w:rsidRPr="0015466A">
        <w:rPr>
          <w:u w:val="single"/>
          <w:lang w:val="fr-FR"/>
        </w:rPr>
        <w:t>un pourcentage en masse de 12 %. Si le No ONU 1033, ÉTHER MÉTHYLIQUE est présent dans la substance, son pourcentage en masse doit être indiqué dans le nom technique.</w:t>
      </w:r>
      <w:r>
        <w:rPr>
          <w:lang w:val="fr-FR"/>
        </w:rPr>
        <w:t> ».</w:t>
      </w:r>
    </w:p>
    <w:p w14:paraId="1D3653ED" w14:textId="3A5CDC49" w:rsidR="00CE7D22" w:rsidRPr="00B96029" w:rsidRDefault="00CE7D22" w:rsidP="00CE7D22">
      <w:pPr>
        <w:pStyle w:val="SingleTxtG"/>
        <w:rPr>
          <w:lang w:val="fr-FR"/>
        </w:rPr>
      </w:pPr>
      <w:r>
        <w:rPr>
          <w:lang w:val="fr-FR"/>
        </w:rPr>
        <w:t>10.</w:t>
      </w:r>
      <w:r>
        <w:rPr>
          <w:lang w:val="fr-FR"/>
        </w:rPr>
        <w:tab/>
        <w:t>À sa session de novembre-décembre 2023, le Sous-Comité a pris connaissance avec intérêt de la proposition susmentionnée de la WLPGA et de tous les documents justificatifs, et la majorité des délégations ayant pris la parole</w:t>
      </w:r>
      <w:r w:rsidRPr="0071085E">
        <w:rPr>
          <w:lang w:val="fr-FR"/>
        </w:rPr>
        <w:t xml:space="preserve"> </w:t>
      </w:r>
      <w:r>
        <w:rPr>
          <w:lang w:val="fr-FR"/>
        </w:rPr>
        <w:t xml:space="preserve">leur ont fait un accueil favorable. Une seule délégation s’y est opposée, et une autre estimait qu’il fallait plus de temps pour étudier l’ensemble de la documentation fournie et préciser certaines questions importantes. Une autre solution a de nouveau été avancée, les participants ayant réfléchi à la question de savoir s’il valait mieux ajouter une nouvelle disposition spéciale aux </w:t>
      </w:r>
      <w:r w:rsidR="00F94134">
        <w:rPr>
          <w:lang w:val="fr-FR"/>
        </w:rPr>
        <w:t>Nos</w:t>
      </w:r>
      <w:r>
        <w:rPr>
          <w:lang w:val="fr-FR"/>
        </w:rPr>
        <w:t xml:space="preserve"> ONU 1075 et 1965, comme dans la présente proposition, conformément aux orientations données à la WLPGA à la soixante et unième session du Sous-Comité (voir le rapport de la session, document</w:t>
      </w:r>
      <w:r w:rsidR="00F94134">
        <w:rPr>
          <w:lang w:val="fr-FR"/>
        </w:rPr>
        <w:t xml:space="preserve"> </w:t>
      </w:r>
      <w:r>
        <w:rPr>
          <w:lang w:val="fr-FR"/>
        </w:rPr>
        <w:t>ST/SG/AC.10/C.3/122, par</w:t>
      </w:r>
      <w:r w:rsidR="00F94134">
        <w:rPr>
          <w:lang w:val="fr-FR"/>
        </w:rPr>
        <w:t>.</w:t>
      </w:r>
      <w:r>
        <w:rPr>
          <w:lang w:val="fr-FR"/>
        </w:rPr>
        <w:t xml:space="preserve"> 23 : « la plupart des experts qui ont pris la parole ont dit pencher en faveur d’une nouvelle disposition spéciale »), ou ajouter un nouveau numéro ONU pour les mélanges différents d’hydrocarbures et de DME (ce qui correspond à l’autre proposition présentée par la WLPGA à la soixante-troisième session du Sous-Comité,</w:t>
      </w:r>
      <w:r w:rsidRPr="002B7FB8">
        <w:rPr>
          <w:lang w:val="fr-FR"/>
        </w:rPr>
        <w:t xml:space="preserve"> </w:t>
      </w:r>
      <w:r>
        <w:rPr>
          <w:lang w:val="fr-FR"/>
        </w:rPr>
        <w:t>dans le document informel</w:t>
      </w:r>
      <w:r w:rsidR="006D7538">
        <w:rPr>
          <w:lang w:val="fr-FR"/>
        </w:rPr>
        <w:t> </w:t>
      </w:r>
      <w:r>
        <w:rPr>
          <w:lang w:val="fr-FR"/>
        </w:rPr>
        <w:t>INF.12). Des délégations ont fait part de propositions d’améliorations qui devraient être prises en compte dans l’élaboration du document officiel final. La plupart des experts ont estimé que la deuxième phrase de la nouvelle disposition spéciale n’était pas nécessaire. Le Sous-Comité a recommandé de préciser les conditions de transport pour les mélanges contenant un pourcentage de DME supérieur à 12</w:t>
      </w:r>
      <w:r w:rsidR="006D7538">
        <w:rPr>
          <w:lang w:val="fr-FR"/>
        </w:rPr>
        <w:t> </w:t>
      </w:r>
      <w:r>
        <w:rPr>
          <w:lang w:val="fr-FR"/>
        </w:rPr>
        <w:t>% (voir le document informel</w:t>
      </w:r>
      <w:r w:rsidR="006D7538">
        <w:rPr>
          <w:lang w:val="fr-FR"/>
        </w:rPr>
        <w:t> </w:t>
      </w:r>
      <w:r>
        <w:rPr>
          <w:lang w:val="fr-FR"/>
        </w:rPr>
        <w:t>INF.12</w:t>
      </w:r>
      <w:r w:rsidRPr="006D7538">
        <w:rPr>
          <w:rStyle w:val="Appelnotedebasdep"/>
        </w:rPr>
        <w:footnoteReference w:id="7"/>
      </w:r>
      <w:r>
        <w:rPr>
          <w:lang w:val="fr-FR"/>
        </w:rPr>
        <w:t xml:space="preserve"> de la soixante-troisième session du Sous-Comité). Il a décidé que les débats sur cette question se poursuivraient à la session suivante, sur la base d’un nouveau document officiel qui serait soumis par la World LPG Association.</w:t>
      </w:r>
    </w:p>
    <w:p w14:paraId="483E7D85" w14:textId="77777777" w:rsidR="00CE7D22" w:rsidRPr="00B96029" w:rsidRDefault="00CE7D22" w:rsidP="00F94134">
      <w:pPr>
        <w:pStyle w:val="HChG"/>
        <w:rPr>
          <w:lang w:val="fr-FR"/>
        </w:rPr>
      </w:pPr>
      <w:r>
        <w:rPr>
          <w:lang w:val="fr-FR"/>
        </w:rPr>
        <w:tab/>
        <w:t>II.</w:t>
      </w:r>
      <w:r>
        <w:rPr>
          <w:lang w:val="fr-FR"/>
        </w:rPr>
        <w:tab/>
      </w:r>
      <w:r>
        <w:rPr>
          <w:lang w:val="fr-FR"/>
        </w:rPr>
        <w:tab/>
        <w:t>Proposition</w:t>
      </w:r>
    </w:p>
    <w:p w14:paraId="206229AA" w14:textId="77777777" w:rsidR="00CE7D22" w:rsidRPr="00B96029" w:rsidRDefault="00CE7D22" w:rsidP="00CE7D22">
      <w:pPr>
        <w:pStyle w:val="SingleTxtG"/>
        <w:rPr>
          <w:lang w:val="fr-FR"/>
        </w:rPr>
      </w:pPr>
      <w:r>
        <w:rPr>
          <w:lang w:val="fr-FR"/>
        </w:rPr>
        <w:t>11.</w:t>
      </w:r>
      <w:r>
        <w:rPr>
          <w:lang w:val="fr-FR"/>
        </w:rPr>
        <w:tab/>
      </w:r>
      <w:r>
        <w:rPr>
          <w:b/>
          <w:bCs/>
          <w:lang w:val="fr-FR"/>
        </w:rPr>
        <w:t>Dans le RID, l’ADR et l’ADN, modifier tous les noms, définitions et mentions existants du GPL (gaz de pétrole liquéfié)</w:t>
      </w:r>
      <w:r>
        <w:rPr>
          <w:lang w:val="fr-FR"/>
        </w:rPr>
        <w:t xml:space="preserve"> qui ne constituent pas le titre ou le champ d’application d’un règlement ou d’une norme, afin d’exclure toute référence au « pétrole », comme suit :</w:t>
      </w:r>
    </w:p>
    <w:p w14:paraId="70E52A22" w14:textId="6139FD25" w:rsidR="00CE7D22" w:rsidRPr="00B96029" w:rsidRDefault="00F94134" w:rsidP="00CE7D22">
      <w:pPr>
        <w:pStyle w:val="SingleTxtG"/>
        <w:rPr>
          <w:lang w:val="fr-FR"/>
        </w:rPr>
      </w:pPr>
      <w:r>
        <w:rPr>
          <w:lang w:val="fr-FR"/>
        </w:rPr>
        <w:tab/>
      </w:r>
      <w:r w:rsidR="00CE7D22">
        <w:rPr>
          <w:lang w:val="fr-FR"/>
        </w:rPr>
        <w:tab/>
        <w:t>a)</w:t>
      </w:r>
      <w:r w:rsidR="00CE7D22">
        <w:rPr>
          <w:lang w:val="fr-FR"/>
        </w:rPr>
        <w:tab/>
        <w:t xml:space="preserve">Au 1.2.1, modifier la définition actuelle du </w:t>
      </w:r>
      <w:r>
        <w:rPr>
          <w:lang w:val="fr-FR"/>
        </w:rPr>
        <w:t>GPL</w:t>
      </w:r>
      <w:r w:rsidR="00CE7D22">
        <w:rPr>
          <w:lang w:val="fr-FR"/>
        </w:rPr>
        <w:t xml:space="preserve"> comme suit (les modifications figurent en caractères soulignés pour les ajouts et biffés pour les suppressions) :</w:t>
      </w:r>
    </w:p>
    <w:p w14:paraId="228E5037" w14:textId="5A3AC983" w:rsidR="00CE7D22" w:rsidRPr="00B96029" w:rsidRDefault="00CE7D22" w:rsidP="00CE7D22">
      <w:pPr>
        <w:pStyle w:val="SingleTxtG"/>
        <w:ind w:left="1701"/>
        <w:rPr>
          <w:lang w:val="fr-FR"/>
        </w:rPr>
      </w:pPr>
      <w:r>
        <w:rPr>
          <w:lang w:val="fr-FR"/>
        </w:rPr>
        <w:t>« “</w:t>
      </w:r>
      <w:r>
        <w:rPr>
          <w:i/>
          <w:iCs/>
          <w:strike/>
          <w:lang w:val="fr-FR"/>
        </w:rPr>
        <w:t>Gaz de pétrole liquéfié (</w:t>
      </w:r>
      <w:r>
        <w:rPr>
          <w:i/>
          <w:iCs/>
          <w:lang w:val="fr-FR"/>
        </w:rPr>
        <w:t>GPL</w:t>
      </w:r>
      <w:r>
        <w:rPr>
          <w:i/>
          <w:iCs/>
          <w:strike/>
          <w:lang w:val="fr-FR"/>
        </w:rPr>
        <w:t>)</w:t>
      </w:r>
      <w:r>
        <w:rPr>
          <w:lang w:val="fr-FR"/>
        </w:rPr>
        <w:t xml:space="preserve">”, un gaz liquéfié à faible pression </w:t>
      </w:r>
      <w:r>
        <w:rPr>
          <w:u w:val="single"/>
          <w:lang w:val="fr-FR"/>
        </w:rPr>
        <w:t>composé de propane et/ou de butane ou de mélanges des deux, pouvant également contenir de l’éther méthylique (No ONU 1033) jusqu’à un pourcentage en masse de 12 %, ainsi qu’</w:t>
      </w:r>
      <w:r>
        <w:rPr>
          <w:lang w:val="fr-FR"/>
        </w:rPr>
        <w:t xml:space="preserve">un ou plusieurs </w:t>
      </w:r>
      <w:r>
        <w:rPr>
          <w:u w:val="single"/>
          <w:lang w:val="fr-FR"/>
        </w:rPr>
        <w:t xml:space="preserve">autres </w:t>
      </w:r>
      <w:r>
        <w:rPr>
          <w:lang w:val="fr-FR"/>
        </w:rPr>
        <w:t>hydrocarbures légers</w:t>
      </w:r>
      <w:r w:rsidRPr="002508BE">
        <w:rPr>
          <w:u w:val="single"/>
          <w:lang w:val="fr-FR"/>
        </w:rPr>
        <w:t xml:space="preserve">, </w:t>
      </w:r>
      <w:r>
        <w:rPr>
          <w:u w:val="single"/>
          <w:lang w:val="fr-FR"/>
        </w:rPr>
        <w:t>tels que le propène (propylène), l’isobutane, l’</w:t>
      </w:r>
      <w:proofErr w:type="spellStart"/>
      <w:r>
        <w:rPr>
          <w:u w:val="single"/>
          <w:lang w:val="fr-FR"/>
        </w:rPr>
        <w:t>isobutylène</w:t>
      </w:r>
      <w:proofErr w:type="spellEnd"/>
      <w:r>
        <w:rPr>
          <w:u w:val="single"/>
          <w:lang w:val="fr-FR"/>
        </w:rPr>
        <w:t xml:space="preserve"> ou le butène (butylène),</w:t>
      </w:r>
      <w:r w:rsidRPr="002508BE">
        <w:rPr>
          <w:lang w:val="fr-FR"/>
        </w:rPr>
        <w:t xml:space="preserve"> </w:t>
      </w:r>
      <w:r>
        <w:rPr>
          <w:lang w:val="fr-FR"/>
        </w:rPr>
        <w:t>qui sont affectés aux Nos</w:t>
      </w:r>
      <w:r w:rsidR="00F94134">
        <w:rPr>
          <w:lang w:val="fr-FR"/>
        </w:rPr>
        <w:t> </w:t>
      </w:r>
      <w:r>
        <w:rPr>
          <w:lang w:val="fr-FR"/>
        </w:rPr>
        <w:t>ONU</w:t>
      </w:r>
      <w:r w:rsidR="00F94134">
        <w:rPr>
          <w:lang w:val="fr-FR"/>
        </w:rPr>
        <w:t> </w:t>
      </w:r>
      <w:r>
        <w:rPr>
          <w:lang w:val="fr-FR"/>
        </w:rPr>
        <w:t xml:space="preserve">1011, </w:t>
      </w:r>
      <w:r>
        <w:rPr>
          <w:u w:val="single"/>
          <w:lang w:val="fr-FR"/>
        </w:rPr>
        <w:t xml:space="preserve">1012, 1055, </w:t>
      </w:r>
      <w:r>
        <w:rPr>
          <w:lang w:val="fr-FR"/>
        </w:rPr>
        <w:t xml:space="preserve">1075, </w:t>
      </w:r>
      <w:r>
        <w:rPr>
          <w:u w:val="single"/>
          <w:lang w:val="fr-FR"/>
        </w:rPr>
        <w:t xml:space="preserve">1077, </w:t>
      </w:r>
      <w:r>
        <w:rPr>
          <w:lang w:val="fr-FR"/>
        </w:rPr>
        <w:t>1965, 1969 ou 1978, avec des traces d’autres gaz d’hydrocarbures</w:t>
      </w:r>
      <w:r w:rsidR="006D7538">
        <w:rPr>
          <w:lang w:val="fr-FR"/>
        </w:rPr>
        <w:t> </w:t>
      </w:r>
      <w:r>
        <w:rPr>
          <w:lang w:val="fr-FR"/>
        </w:rPr>
        <w:t xml:space="preserve">; » (les notas restent inchangés) ; </w:t>
      </w:r>
    </w:p>
    <w:p w14:paraId="48A81D2E" w14:textId="1C519171" w:rsidR="00CE7D22" w:rsidRPr="00B96029" w:rsidRDefault="00F94134" w:rsidP="00CE7D22">
      <w:pPr>
        <w:pStyle w:val="SingleTxtG"/>
        <w:rPr>
          <w:lang w:val="fr-FR"/>
        </w:rPr>
      </w:pPr>
      <w:r>
        <w:rPr>
          <w:lang w:val="fr-FR"/>
        </w:rPr>
        <w:tab/>
      </w:r>
      <w:r w:rsidR="00CE7D22">
        <w:rPr>
          <w:lang w:val="fr-FR"/>
        </w:rPr>
        <w:tab/>
        <w:t>b)</w:t>
      </w:r>
      <w:r w:rsidR="00CE7D22">
        <w:rPr>
          <w:lang w:val="fr-FR"/>
        </w:rPr>
        <w:tab/>
        <w:t>Amendements de conséquence visant à remplacer « gaz de pétrole liquéfié » par « GPL » (les modifications figurent en caractères gras pour les ajouts et biffés pour les suppressions) :</w:t>
      </w:r>
    </w:p>
    <w:p w14:paraId="74744753" w14:textId="3C231082" w:rsidR="00CE7D22" w:rsidRPr="00B96029" w:rsidRDefault="00F94134" w:rsidP="00CE7D22">
      <w:pPr>
        <w:pStyle w:val="SingleTxtG"/>
        <w:ind w:left="1701"/>
        <w:rPr>
          <w:lang w:val="fr-FR"/>
        </w:rPr>
      </w:pPr>
      <w:r>
        <w:rPr>
          <w:lang w:val="fr-FR"/>
        </w:rPr>
        <w:t>« </w:t>
      </w:r>
      <w:r w:rsidR="00CE7D22">
        <w:rPr>
          <w:lang w:val="fr-FR"/>
        </w:rPr>
        <w:t>(ADR) 1.1.3.2 a), dans le tableau </w:t>
      </w:r>
      <w:r>
        <w:rPr>
          <w:lang w:val="fr-FR"/>
        </w:rPr>
        <w:t>−</w:t>
      </w:r>
      <w:r w:rsidR="00CE7D22">
        <w:rPr>
          <w:lang w:val="fr-FR"/>
        </w:rPr>
        <w:t xml:space="preserve"> </w:t>
      </w:r>
      <w:r w:rsidRPr="00F94134">
        <w:rPr>
          <w:lang w:val="fr-FR"/>
        </w:rPr>
        <w:t>“</w:t>
      </w:r>
      <w:r w:rsidR="00CE7D22">
        <w:rPr>
          <w:strike/>
          <w:lang w:val="fr-FR"/>
        </w:rPr>
        <w:t>Gaz de pétrole liquéfié (</w:t>
      </w:r>
      <w:r w:rsidR="00CE7D22">
        <w:rPr>
          <w:lang w:val="fr-FR"/>
        </w:rPr>
        <w:t>GPL</w:t>
      </w:r>
      <w:r w:rsidR="00CE7D22">
        <w:rPr>
          <w:strike/>
          <w:lang w:val="fr-FR"/>
        </w:rPr>
        <w:t>)</w:t>
      </w:r>
      <w:r w:rsidRPr="0043050B">
        <w:rPr>
          <w:lang w:val="fr-FR"/>
        </w:rPr>
        <w:t>”</w:t>
      </w:r>
      <w:r w:rsidR="0043050B">
        <w:rPr>
          <w:lang w:val="fr-FR"/>
        </w:rPr>
        <w:t> </w:t>
      </w:r>
      <w:r w:rsidR="00CE7D22">
        <w:rPr>
          <w:lang w:val="fr-FR"/>
        </w:rPr>
        <w:t>;</w:t>
      </w:r>
    </w:p>
    <w:p w14:paraId="2BE11E49" w14:textId="549C4DB8" w:rsidR="00CE7D22" w:rsidRPr="00B96029" w:rsidRDefault="00CE7D22" w:rsidP="00CE7D22">
      <w:pPr>
        <w:pStyle w:val="SingleTxtG"/>
        <w:ind w:left="1701"/>
        <w:rPr>
          <w:color w:val="000000" w:themeColor="text1"/>
          <w:lang w:val="fr-FR"/>
        </w:rPr>
      </w:pPr>
      <w:r>
        <w:rPr>
          <w:lang w:val="fr-FR"/>
        </w:rPr>
        <w:t>1.2.3 </w:t>
      </w:r>
      <w:r w:rsidR="00F94134">
        <w:rPr>
          <w:lang w:val="fr-FR"/>
        </w:rPr>
        <w:t>−</w:t>
      </w:r>
      <w:r>
        <w:rPr>
          <w:lang w:val="fr-FR"/>
        </w:rPr>
        <w:t xml:space="preserve"> “</w:t>
      </w:r>
      <w:r>
        <w:rPr>
          <w:i/>
          <w:iCs/>
          <w:lang w:val="fr-FR"/>
        </w:rPr>
        <w:t>GP</w:t>
      </w:r>
      <w:r w:rsidRPr="00D0473E">
        <w:rPr>
          <w:i/>
          <w:iCs/>
          <w:lang w:val="fr-FR"/>
        </w:rPr>
        <w:t>L</w:t>
      </w:r>
      <w:r>
        <w:rPr>
          <w:lang w:val="fr-FR"/>
        </w:rPr>
        <w:t>”</w:t>
      </w:r>
      <w:r>
        <w:rPr>
          <w:strike/>
          <w:lang w:val="fr-FR"/>
        </w:rPr>
        <w:t>, “Gaz de pétrole liquéfié”</w:t>
      </w:r>
      <w:r>
        <w:rPr>
          <w:lang w:val="fr-FR"/>
        </w:rPr>
        <w:t xml:space="preserve"> (voir 1.2.1)</w:t>
      </w:r>
      <w:r w:rsidR="006D7538">
        <w:rPr>
          <w:lang w:val="fr-FR"/>
        </w:rPr>
        <w:t> </w:t>
      </w:r>
      <w:r>
        <w:rPr>
          <w:lang w:val="fr-FR"/>
        </w:rPr>
        <w:t>;</w:t>
      </w:r>
    </w:p>
    <w:p w14:paraId="765395FB" w14:textId="3F0E00A5" w:rsidR="00CE7D22" w:rsidRPr="00B96029" w:rsidRDefault="00CE7D22" w:rsidP="00CE7D22">
      <w:pPr>
        <w:pStyle w:val="SingleTxtG"/>
        <w:ind w:left="1701"/>
        <w:rPr>
          <w:lang w:val="fr-FR"/>
        </w:rPr>
      </w:pPr>
      <w:r>
        <w:rPr>
          <w:lang w:val="fr-FR"/>
        </w:rPr>
        <w:t>3.3.1 </w:t>
      </w:r>
      <w:r w:rsidR="0043050B">
        <w:rPr>
          <w:lang w:val="fr-FR"/>
        </w:rPr>
        <w:t>−</w:t>
      </w:r>
      <w:r>
        <w:rPr>
          <w:lang w:val="fr-FR"/>
        </w:rPr>
        <w:t xml:space="preserve"> Disposition spéciale 201 :</w:t>
      </w:r>
    </w:p>
    <w:p w14:paraId="7FADB89D" w14:textId="69D2A115" w:rsidR="00CE7D22" w:rsidRPr="00B96029" w:rsidRDefault="00CE7D22" w:rsidP="00CE7D22">
      <w:pPr>
        <w:pStyle w:val="SingleTxtG"/>
        <w:ind w:left="2268" w:hanging="567"/>
        <w:rPr>
          <w:lang w:val="fr-FR"/>
        </w:rPr>
      </w:pPr>
      <w:r>
        <w:rPr>
          <w:lang w:val="fr-FR"/>
        </w:rPr>
        <w:t>201</w:t>
      </w:r>
      <w:r>
        <w:rPr>
          <w:lang w:val="fr-FR"/>
        </w:rPr>
        <w:tab/>
        <w:t xml:space="preserve">Les briquets et recharges pour briquets doivent satisfaire aux dispositions en vigueur dans le pays où ils ont été remplis. Ils doivent être protégés contre toute décharge accidentelle. La partie liquide du contenu ne doit pas représenter plus de 85 % de la capacité du récipient à 15 °C. Les récipients, y compris les fermetures, doivent pouvoir résister à une pression interne représentant deux fois la pression du </w:t>
      </w:r>
      <w:r>
        <w:rPr>
          <w:strike/>
          <w:lang w:val="fr-FR"/>
        </w:rPr>
        <w:t xml:space="preserve">gaz de pétrole liquéfié </w:t>
      </w:r>
      <w:r>
        <w:rPr>
          <w:b/>
          <w:bCs/>
          <w:lang w:val="fr-FR"/>
        </w:rPr>
        <w:t xml:space="preserve">GPL </w:t>
      </w:r>
      <w:r>
        <w:rPr>
          <w:lang w:val="fr-FR"/>
        </w:rPr>
        <w:t xml:space="preserve">à 55 °C. Les mécanismes de soupape et les dispositifs d’allumage doivent être fermés de manière sûre, fixés avec un ruban adhésif ou bloqués autrement ou encore conçus pour empêcher tout fonctionnement ou fuite du contenu pendant le transport. Les briquets ne doivent pas contenir plus de 10 g de </w:t>
      </w:r>
      <w:r>
        <w:rPr>
          <w:strike/>
          <w:lang w:val="fr-FR"/>
        </w:rPr>
        <w:t xml:space="preserve">gaz de pétrole liquéfié </w:t>
      </w:r>
      <w:r>
        <w:rPr>
          <w:b/>
          <w:bCs/>
          <w:lang w:val="fr-FR"/>
        </w:rPr>
        <w:t>GPL</w:t>
      </w:r>
      <w:r>
        <w:rPr>
          <w:lang w:val="fr-FR"/>
        </w:rPr>
        <w:t>, et les recharges pas plus de 65 g ;</w:t>
      </w:r>
    </w:p>
    <w:p w14:paraId="469057BF" w14:textId="64F64A67" w:rsidR="00CE7D22" w:rsidRPr="00B96029" w:rsidRDefault="00CE7D22" w:rsidP="00CE7D22">
      <w:pPr>
        <w:pStyle w:val="SingleTxtG"/>
        <w:ind w:left="1701"/>
        <w:rPr>
          <w:lang w:val="fr-FR"/>
        </w:rPr>
      </w:pPr>
      <w:r>
        <w:rPr>
          <w:lang w:val="fr-FR"/>
        </w:rPr>
        <w:t>5.2.2.2.1.6 d) </w:t>
      </w:r>
      <w:r w:rsidR="0043050B">
        <w:rPr>
          <w:lang w:val="fr-FR"/>
        </w:rPr>
        <w:t>−</w:t>
      </w:r>
      <w:r>
        <w:rPr>
          <w:lang w:val="fr-FR"/>
        </w:rPr>
        <w:t xml:space="preserve"> L’étiquette conforme au modèle n</w:t>
      </w:r>
      <w:r>
        <w:rPr>
          <w:vertAlign w:val="superscript"/>
          <w:lang w:val="fr-FR"/>
        </w:rPr>
        <w:t>o</w:t>
      </w:r>
      <w:r>
        <w:rPr>
          <w:lang w:val="fr-FR"/>
        </w:rPr>
        <w:t xml:space="preserve"> 2.1 apposée sur les bouteilles et cartouches à gaz pour les </w:t>
      </w:r>
      <w:r>
        <w:rPr>
          <w:strike/>
          <w:lang w:val="fr-FR"/>
        </w:rPr>
        <w:t>gaz de pétrole liquéfiés</w:t>
      </w:r>
      <w:r>
        <w:rPr>
          <w:b/>
          <w:bCs/>
          <w:strike/>
          <w:lang w:val="fr-FR"/>
        </w:rPr>
        <w:t xml:space="preserve"> </w:t>
      </w:r>
      <w:r>
        <w:rPr>
          <w:b/>
          <w:bCs/>
          <w:lang w:val="fr-FR"/>
        </w:rPr>
        <w:t>GPL</w:t>
      </w:r>
      <w:r>
        <w:rPr>
          <w:lang w:val="fr-FR"/>
        </w:rPr>
        <w:t>, sur laquelle ils peuvent figurer dans la couleur du récipient si le contraste est satisfaisant. ».</w:t>
      </w:r>
    </w:p>
    <w:p w14:paraId="3F640F63" w14:textId="4B851C73" w:rsidR="00F9573C" w:rsidRPr="00CE7D22" w:rsidRDefault="00CE7D22" w:rsidP="00CE7D22">
      <w:pPr>
        <w:spacing w:before="240"/>
        <w:jc w:val="center"/>
        <w:rPr>
          <w:u w:val="single"/>
          <w:lang w:val="fr-FR"/>
        </w:rPr>
      </w:pPr>
      <w:r w:rsidRPr="00B96029">
        <w:rPr>
          <w:u w:val="single"/>
          <w:lang w:val="fr-FR"/>
        </w:rPr>
        <w:tab/>
      </w:r>
      <w:r w:rsidRPr="00B96029">
        <w:rPr>
          <w:u w:val="single"/>
          <w:lang w:val="fr-FR"/>
        </w:rPr>
        <w:tab/>
      </w:r>
      <w:r w:rsidRPr="00B96029">
        <w:rPr>
          <w:u w:val="single"/>
          <w:lang w:val="fr-FR"/>
        </w:rPr>
        <w:tab/>
      </w:r>
    </w:p>
    <w:sectPr w:rsidR="00F9573C" w:rsidRPr="00CE7D22" w:rsidSect="00CE7D2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A769" w14:textId="77777777" w:rsidR="00E42668" w:rsidRDefault="00E42668" w:rsidP="00F95C08">
      <w:pPr>
        <w:spacing w:line="240" w:lineRule="auto"/>
      </w:pPr>
    </w:p>
  </w:endnote>
  <w:endnote w:type="continuationSeparator" w:id="0">
    <w:p w14:paraId="7AA3337A" w14:textId="77777777" w:rsidR="00E42668" w:rsidRPr="00AC3823" w:rsidRDefault="00E42668" w:rsidP="00AC3823">
      <w:pPr>
        <w:pStyle w:val="Pieddepage"/>
      </w:pPr>
    </w:p>
  </w:endnote>
  <w:endnote w:type="continuationNotice" w:id="1">
    <w:p w14:paraId="6EB01126" w14:textId="77777777" w:rsidR="00E42668" w:rsidRDefault="00E42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8B2" w14:textId="72D7FD43" w:rsidR="00CE7D22" w:rsidRPr="00CE7D22" w:rsidRDefault="00CE7D22" w:rsidP="00CE7D22">
    <w:pPr>
      <w:pStyle w:val="Pieddepage"/>
      <w:tabs>
        <w:tab w:val="right" w:pos="9638"/>
      </w:tabs>
    </w:pPr>
    <w:r w:rsidRPr="00CE7D22">
      <w:rPr>
        <w:b/>
        <w:sz w:val="18"/>
      </w:rPr>
      <w:fldChar w:fldCharType="begin"/>
    </w:r>
    <w:r w:rsidRPr="00CE7D22">
      <w:rPr>
        <w:b/>
        <w:sz w:val="18"/>
      </w:rPr>
      <w:instrText xml:space="preserve"> PAGE  \* MERGEFORMAT </w:instrText>
    </w:r>
    <w:r w:rsidRPr="00CE7D22">
      <w:rPr>
        <w:b/>
        <w:sz w:val="18"/>
      </w:rPr>
      <w:fldChar w:fldCharType="separate"/>
    </w:r>
    <w:r w:rsidRPr="00CE7D22">
      <w:rPr>
        <w:b/>
        <w:noProof/>
        <w:sz w:val="18"/>
      </w:rPr>
      <w:t>2</w:t>
    </w:r>
    <w:r w:rsidRPr="00CE7D22">
      <w:rPr>
        <w:b/>
        <w:sz w:val="18"/>
      </w:rPr>
      <w:fldChar w:fldCharType="end"/>
    </w:r>
    <w:r>
      <w:rPr>
        <w:b/>
        <w:sz w:val="18"/>
      </w:rPr>
      <w:tab/>
    </w:r>
    <w:r>
      <w:t>GE.23-25716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362F" w14:textId="34FCAB4C" w:rsidR="00CE7D22" w:rsidRPr="00CE7D22" w:rsidRDefault="00CE7D22" w:rsidP="00CE7D22">
    <w:pPr>
      <w:pStyle w:val="Pieddepage"/>
      <w:tabs>
        <w:tab w:val="right" w:pos="9638"/>
      </w:tabs>
      <w:rPr>
        <w:b/>
        <w:sz w:val="18"/>
      </w:rPr>
    </w:pPr>
    <w:r>
      <w:t>GE.23-25716</w:t>
    </w:r>
    <w:r>
      <w:tab/>
    </w:r>
    <w:r w:rsidRPr="00CE7D22">
      <w:rPr>
        <w:b/>
        <w:sz w:val="18"/>
      </w:rPr>
      <w:fldChar w:fldCharType="begin"/>
    </w:r>
    <w:r w:rsidRPr="00CE7D22">
      <w:rPr>
        <w:b/>
        <w:sz w:val="18"/>
      </w:rPr>
      <w:instrText xml:space="preserve"> PAGE  \* MERGEFORMAT </w:instrText>
    </w:r>
    <w:r w:rsidRPr="00CE7D22">
      <w:rPr>
        <w:b/>
        <w:sz w:val="18"/>
      </w:rPr>
      <w:fldChar w:fldCharType="separate"/>
    </w:r>
    <w:r w:rsidRPr="00CE7D22">
      <w:rPr>
        <w:b/>
        <w:noProof/>
        <w:sz w:val="18"/>
      </w:rPr>
      <w:t>3</w:t>
    </w:r>
    <w:r w:rsidRPr="00CE7D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703C" w14:textId="76B858B4" w:rsidR="007F20FA" w:rsidRPr="00CE7D22" w:rsidRDefault="00CE7D22" w:rsidP="00CE7D2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1018392" wp14:editId="5EFBBE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23-25716  (F)</w:t>
    </w:r>
    <w:r>
      <w:rPr>
        <w:noProof/>
        <w:sz w:val="20"/>
      </w:rPr>
      <w:drawing>
        <wp:anchor distT="0" distB="0" distL="114300" distR="114300" simplePos="0" relativeHeight="251660288" behindDoc="0" locked="0" layoutInCell="1" allowOverlap="1" wp14:anchorId="6EDB60D4" wp14:editId="232E786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160124    160124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7173" w14:textId="77777777" w:rsidR="00E42668" w:rsidRPr="00AC3823" w:rsidRDefault="00E42668" w:rsidP="00AC3823">
      <w:pPr>
        <w:pStyle w:val="Pieddepage"/>
        <w:tabs>
          <w:tab w:val="right" w:pos="2155"/>
        </w:tabs>
        <w:spacing w:after="80" w:line="240" w:lineRule="atLeast"/>
        <w:ind w:left="680"/>
        <w:rPr>
          <w:u w:val="single"/>
        </w:rPr>
      </w:pPr>
      <w:r>
        <w:rPr>
          <w:u w:val="single"/>
        </w:rPr>
        <w:tab/>
      </w:r>
    </w:p>
  </w:footnote>
  <w:footnote w:type="continuationSeparator" w:id="0">
    <w:p w14:paraId="7B6F321A" w14:textId="77777777" w:rsidR="00E42668" w:rsidRPr="00AC3823" w:rsidRDefault="00E42668" w:rsidP="00AC3823">
      <w:pPr>
        <w:pStyle w:val="Pieddepage"/>
        <w:tabs>
          <w:tab w:val="right" w:pos="2155"/>
        </w:tabs>
        <w:spacing w:after="80" w:line="240" w:lineRule="atLeast"/>
        <w:ind w:left="680"/>
        <w:rPr>
          <w:u w:val="single"/>
        </w:rPr>
      </w:pPr>
      <w:r>
        <w:rPr>
          <w:u w:val="single"/>
        </w:rPr>
        <w:tab/>
      </w:r>
    </w:p>
  </w:footnote>
  <w:footnote w:type="continuationNotice" w:id="1">
    <w:p w14:paraId="3ED32F44" w14:textId="77777777" w:rsidR="00E42668" w:rsidRPr="00AC3823" w:rsidRDefault="00E42668">
      <w:pPr>
        <w:spacing w:line="240" w:lineRule="auto"/>
        <w:rPr>
          <w:sz w:val="2"/>
          <w:szCs w:val="2"/>
        </w:rPr>
      </w:pPr>
    </w:p>
  </w:footnote>
  <w:footnote w:id="2">
    <w:p w14:paraId="2A08092C" w14:textId="03AB4E4B" w:rsidR="00CE7D22" w:rsidRPr="00B96029" w:rsidRDefault="00CE7D22" w:rsidP="006D7538">
      <w:pPr>
        <w:pStyle w:val="Notedebasdepage"/>
        <w:rPr>
          <w:lang w:val="fr-FR"/>
        </w:rPr>
      </w:pPr>
      <w:r>
        <w:rPr>
          <w:lang w:val="fr-FR"/>
        </w:rPr>
        <w:tab/>
      </w:r>
      <w:r w:rsidRPr="006D7538">
        <w:rPr>
          <w:sz w:val="20"/>
          <w:lang w:val="fr-FR"/>
        </w:rPr>
        <w:t>*</w:t>
      </w:r>
      <w:r>
        <w:rPr>
          <w:lang w:val="fr-FR"/>
        </w:rPr>
        <w:tab/>
        <w:t>A/78/6 (Sect.</w:t>
      </w:r>
      <w:r w:rsidR="006D7538">
        <w:rPr>
          <w:lang w:val="fr-FR"/>
        </w:rPr>
        <w:t xml:space="preserve"> </w:t>
      </w:r>
      <w:r>
        <w:rPr>
          <w:lang w:val="fr-FR"/>
        </w:rPr>
        <w:t>20), tableau 20.5.</w:t>
      </w:r>
    </w:p>
  </w:footnote>
  <w:footnote w:id="3">
    <w:p w14:paraId="7508BE19" w14:textId="4807DBDF" w:rsidR="00CE7D22" w:rsidRPr="00563AA0" w:rsidRDefault="00CE7D22" w:rsidP="006D7538">
      <w:pPr>
        <w:pStyle w:val="Notedebasdepage"/>
      </w:pPr>
      <w:r>
        <w:rPr>
          <w:lang w:val="fr-FR"/>
        </w:rPr>
        <w:tab/>
      </w:r>
      <w:r w:rsidRPr="006D7538">
        <w:rPr>
          <w:sz w:val="20"/>
          <w:lang w:val="fr-FR"/>
        </w:rPr>
        <w:t>**</w:t>
      </w:r>
      <w:r>
        <w:rPr>
          <w:lang w:val="fr-FR"/>
        </w:rPr>
        <w:tab/>
        <w:t>Diffusé par l</w:t>
      </w:r>
      <w:r w:rsidR="006D7538">
        <w:rPr>
          <w:lang w:val="fr-FR"/>
        </w:rPr>
        <w:t>’</w:t>
      </w:r>
      <w:r>
        <w:rPr>
          <w:lang w:val="fr-FR"/>
        </w:rPr>
        <w:t>Organisation intergouvernementale pour les transports internationaux ferroviaires (OTIF) sous la cote</w:t>
      </w:r>
      <w:r w:rsidR="006D7538">
        <w:rPr>
          <w:lang w:val="fr-FR"/>
        </w:rPr>
        <w:t> </w:t>
      </w:r>
      <w:r>
        <w:rPr>
          <w:lang w:val="fr-FR"/>
        </w:rPr>
        <w:t>OTIF/RID/RC/2024/11.</w:t>
      </w:r>
    </w:p>
  </w:footnote>
  <w:footnote w:id="4">
    <w:p w14:paraId="7F83DF92" w14:textId="3082CF5F" w:rsidR="00CE7D22" w:rsidRPr="00B96029" w:rsidRDefault="00CE7D22" w:rsidP="006D7538">
      <w:pPr>
        <w:pStyle w:val="Notedebasdepage"/>
        <w:rPr>
          <w:lang w:val="fr-FR"/>
        </w:rPr>
      </w:pPr>
      <w:r>
        <w:rPr>
          <w:lang w:val="fr-FR"/>
        </w:rPr>
        <w:tab/>
      </w:r>
      <w:r w:rsidRPr="006D7538">
        <w:rPr>
          <w:rStyle w:val="Appelnotedebasdep"/>
        </w:rPr>
        <w:footnoteRef/>
      </w:r>
      <w:r>
        <w:rPr>
          <w:lang w:val="fr-FR"/>
        </w:rPr>
        <w:tab/>
      </w:r>
      <w:hyperlink r:id="rId1" w:history="1">
        <w:r w:rsidR="0043050B" w:rsidRPr="00644FDA">
          <w:rPr>
            <w:rStyle w:val="Lienhypertexte"/>
            <w:lang w:val="fr-FR"/>
          </w:rPr>
          <w:t>https://unece.org/sites/default/files/2023-11/UN-SCETDG-63-INF18e.pdf</w:t>
        </w:r>
      </w:hyperlink>
      <w:r w:rsidR="0043050B">
        <w:rPr>
          <w:lang w:val="fr-FR"/>
        </w:rPr>
        <w:t>.</w:t>
      </w:r>
    </w:p>
  </w:footnote>
  <w:footnote w:id="5">
    <w:p w14:paraId="0124D569" w14:textId="102B20FF" w:rsidR="00CE7D22" w:rsidRPr="00B96029" w:rsidRDefault="00CE7D22" w:rsidP="006D7538">
      <w:pPr>
        <w:pStyle w:val="Notedebasdepage"/>
        <w:rPr>
          <w:lang w:val="fr-FR"/>
        </w:rPr>
      </w:pPr>
      <w:r>
        <w:rPr>
          <w:lang w:val="fr-FR"/>
        </w:rPr>
        <w:tab/>
      </w:r>
      <w:r w:rsidRPr="006D7538">
        <w:rPr>
          <w:rStyle w:val="Appelnotedebasdep"/>
        </w:rPr>
        <w:footnoteRef/>
      </w:r>
      <w:r>
        <w:rPr>
          <w:lang w:val="fr-FR"/>
        </w:rPr>
        <w:tab/>
      </w:r>
      <w:hyperlink r:id="rId2" w:history="1">
        <w:r w:rsidR="0043050B" w:rsidRPr="00644FDA">
          <w:rPr>
            <w:rStyle w:val="Lienhypertexte"/>
            <w:lang w:val="fr-FR"/>
          </w:rPr>
          <w:t>https://unece.org/sites/default/files/2023-11/UN-SCETDG-63-INF19e.pdf</w:t>
        </w:r>
      </w:hyperlink>
      <w:r w:rsidR="0043050B">
        <w:rPr>
          <w:lang w:val="fr-FR"/>
        </w:rPr>
        <w:t>.</w:t>
      </w:r>
    </w:p>
  </w:footnote>
  <w:footnote w:id="6">
    <w:p w14:paraId="7D1BC9E0" w14:textId="5AEF4663" w:rsidR="00CE7D22" w:rsidRPr="00B96029" w:rsidRDefault="00CE7D22" w:rsidP="006D7538">
      <w:pPr>
        <w:pStyle w:val="Notedebasdepage"/>
        <w:rPr>
          <w:lang w:val="fr-FR"/>
        </w:rPr>
      </w:pPr>
      <w:r>
        <w:rPr>
          <w:lang w:val="fr-FR"/>
        </w:rPr>
        <w:tab/>
      </w:r>
      <w:r w:rsidRPr="006D7538">
        <w:rPr>
          <w:rStyle w:val="Appelnotedebasdep"/>
        </w:rPr>
        <w:footnoteRef/>
      </w:r>
      <w:r>
        <w:rPr>
          <w:lang w:val="fr-FR"/>
        </w:rPr>
        <w:tab/>
      </w:r>
      <w:hyperlink r:id="rId3" w:history="1">
        <w:r w:rsidR="0043050B" w:rsidRPr="00644FDA">
          <w:rPr>
            <w:rStyle w:val="Lienhypertexte"/>
            <w:lang w:val="fr-FR"/>
          </w:rPr>
          <w:t>https://unece.org/sites/default/files/2023-11/UN-SCETDG-63-INF35e.pdf</w:t>
        </w:r>
      </w:hyperlink>
      <w:r w:rsidR="0043050B">
        <w:rPr>
          <w:lang w:val="fr-FR"/>
        </w:rPr>
        <w:t>.</w:t>
      </w:r>
    </w:p>
  </w:footnote>
  <w:footnote w:id="7">
    <w:p w14:paraId="2E1C8113" w14:textId="0C842423" w:rsidR="00CE7D22" w:rsidRPr="00B96029" w:rsidRDefault="00CE7D22" w:rsidP="006D7538">
      <w:pPr>
        <w:pStyle w:val="Notedebasdepage"/>
        <w:rPr>
          <w:lang w:val="fr-FR"/>
        </w:rPr>
      </w:pPr>
      <w:r>
        <w:rPr>
          <w:lang w:val="fr-FR"/>
        </w:rPr>
        <w:tab/>
      </w:r>
      <w:r w:rsidRPr="006D7538">
        <w:rPr>
          <w:rStyle w:val="Appelnotedebasdep"/>
        </w:rPr>
        <w:footnoteRef/>
      </w:r>
      <w:r>
        <w:rPr>
          <w:lang w:val="fr-FR"/>
        </w:rPr>
        <w:tab/>
      </w:r>
      <w:hyperlink r:id="rId4" w:history="1">
        <w:r w:rsidR="0043050B" w:rsidRPr="00644FDA">
          <w:rPr>
            <w:rStyle w:val="Lienhypertexte"/>
            <w:lang w:val="fr-FR"/>
          </w:rPr>
          <w:t>https://unece.org/sites/default/files/2023-10/UN-SCETDG-63-INF12e.pdf</w:t>
        </w:r>
      </w:hyperlink>
      <w:r w:rsidR="0043050B">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D612" w14:textId="184174CC" w:rsidR="00CE7D22" w:rsidRPr="00CE7D22" w:rsidRDefault="00CE7D22">
    <w:pPr>
      <w:pStyle w:val="En-tte"/>
    </w:pPr>
    <w:fldSimple w:instr=" TITLE  \* MERGEFORMAT ">
      <w:r>
        <w:t>ECE/TRANS/WP.15/AC.1/2024/11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49AC" w14:textId="1503D7A5" w:rsidR="00CE7D22" w:rsidRPr="00CE7D22" w:rsidRDefault="00CE7D22" w:rsidP="00CE7D22">
    <w:pPr>
      <w:pStyle w:val="En-tte"/>
      <w:jc w:val="right"/>
    </w:pPr>
    <w:fldSimple w:instr=" TITLE  \* MERGEFORMAT ">
      <w:r>
        <w:t>ECE/TRANS/WP.15/AC.1/2024/11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79593311">
    <w:abstractNumId w:val="12"/>
  </w:num>
  <w:num w:numId="2" w16cid:durableId="1189641965">
    <w:abstractNumId w:val="11"/>
  </w:num>
  <w:num w:numId="3" w16cid:durableId="1817337406">
    <w:abstractNumId w:val="10"/>
  </w:num>
  <w:num w:numId="4" w16cid:durableId="441463042">
    <w:abstractNumId w:val="8"/>
  </w:num>
  <w:num w:numId="5" w16cid:durableId="257913883">
    <w:abstractNumId w:val="3"/>
  </w:num>
  <w:num w:numId="6" w16cid:durableId="840202444">
    <w:abstractNumId w:val="2"/>
  </w:num>
  <w:num w:numId="7" w16cid:durableId="526066988">
    <w:abstractNumId w:val="1"/>
  </w:num>
  <w:num w:numId="8" w16cid:durableId="1415661152">
    <w:abstractNumId w:val="0"/>
  </w:num>
  <w:num w:numId="9" w16cid:durableId="1327905974">
    <w:abstractNumId w:val="9"/>
  </w:num>
  <w:num w:numId="10" w16cid:durableId="925918266">
    <w:abstractNumId w:val="7"/>
  </w:num>
  <w:num w:numId="11" w16cid:durableId="1384254571">
    <w:abstractNumId w:val="6"/>
  </w:num>
  <w:num w:numId="12" w16cid:durableId="285889575">
    <w:abstractNumId w:val="5"/>
  </w:num>
  <w:num w:numId="13" w16cid:durableId="1914469336">
    <w:abstractNumId w:val="4"/>
  </w:num>
  <w:num w:numId="14" w16cid:durableId="378941836">
    <w:abstractNumId w:val="12"/>
  </w:num>
  <w:num w:numId="15" w16cid:durableId="1168791318">
    <w:abstractNumId w:val="11"/>
  </w:num>
  <w:num w:numId="16" w16cid:durableId="720323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68"/>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35F8"/>
    <w:rsid w:val="003916DE"/>
    <w:rsid w:val="00421996"/>
    <w:rsid w:val="0043050B"/>
    <w:rsid w:val="00441C3B"/>
    <w:rsid w:val="00446FE5"/>
    <w:rsid w:val="00452396"/>
    <w:rsid w:val="00477EB2"/>
    <w:rsid w:val="004837D8"/>
    <w:rsid w:val="004E2EED"/>
    <w:rsid w:val="004E468C"/>
    <w:rsid w:val="005505B7"/>
    <w:rsid w:val="00573BE5"/>
    <w:rsid w:val="00586ED3"/>
    <w:rsid w:val="00596AA9"/>
    <w:rsid w:val="006D7538"/>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E7D22"/>
    <w:rsid w:val="00D3439C"/>
    <w:rsid w:val="00D7622E"/>
    <w:rsid w:val="00DB1831"/>
    <w:rsid w:val="00DD3BFD"/>
    <w:rsid w:val="00DF6678"/>
    <w:rsid w:val="00E0299A"/>
    <w:rsid w:val="00E42668"/>
    <w:rsid w:val="00E85C74"/>
    <w:rsid w:val="00EA6547"/>
    <w:rsid w:val="00ED7237"/>
    <w:rsid w:val="00EF2E22"/>
    <w:rsid w:val="00F35BAF"/>
    <w:rsid w:val="00F660DF"/>
    <w:rsid w:val="00F9413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7A0F4"/>
  <w15:docId w15:val="{5C7342B4-F182-4B06-B684-B57047D6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qFormat/>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CE7D22"/>
    <w:rPr>
      <w:rFonts w:ascii="Times New Roman" w:eastAsiaTheme="minorHAnsi" w:hAnsi="Times New Roman" w:cs="Times New Roman"/>
      <w:b/>
      <w:sz w:val="28"/>
      <w:szCs w:val="20"/>
      <w:lang w:eastAsia="en-US"/>
    </w:rPr>
  </w:style>
  <w:style w:type="character" w:customStyle="1" w:styleId="H1GChar">
    <w:name w:val="_ H_1_G Char"/>
    <w:link w:val="H1G"/>
    <w:qFormat/>
    <w:locked/>
    <w:rsid w:val="00CE7D22"/>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CE7D22"/>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430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11/UN-SCETDG-63-INF35e.pdf" TargetMode="External"/><Relationship Id="rId2" Type="http://schemas.openxmlformats.org/officeDocument/2006/relationships/hyperlink" Target="https://unece.org/sites/default/files/2023-11/UN-SCETDG-63-INF19e.pdf" TargetMode="External"/><Relationship Id="rId1" Type="http://schemas.openxmlformats.org/officeDocument/2006/relationships/hyperlink" Target="https://unece.org/sites/default/files/2023-11/UN-SCETDG-63-INF18e.pdf" TargetMode="External"/><Relationship Id="rId4" Type="http://schemas.openxmlformats.org/officeDocument/2006/relationships/hyperlink" Target="https://unece.org/sites/default/files/2023-10/UN-SCETDG-63-INF1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9D2B4-B2AB-4058-8817-4349E9C70CBB}">
  <ds:schemaRefs>
    <ds:schemaRef ds:uri="http://schemas.openxmlformats.org/officeDocument/2006/bibliography"/>
  </ds:schemaRefs>
</ds:datastoreItem>
</file>

<file path=customXml/itemProps2.xml><?xml version="1.0" encoding="utf-8"?>
<ds:datastoreItem xmlns:ds="http://schemas.openxmlformats.org/officeDocument/2006/customXml" ds:itemID="{0AA2698C-2658-4F0C-B621-5D1294F609E0}"/>
</file>

<file path=customXml/itemProps3.xml><?xml version="1.0" encoding="utf-8"?>
<ds:datastoreItem xmlns:ds="http://schemas.openxmlformats.org/officeDocument/2006/customXml" ds:itemID="{84BF4B8A-1973-4E33-9E92-3D7002B85B04}"/>
</file>

<file path=docProps/app.xml><?xml version="1.0" encoding="utf-8"?>
<Properties xmlns="http://schemas.openxmlformats.org/officeDocument/2006/extended-properties" xmlns:vt="http://schemas.openxmlformats.org/officeDocument/2006/docPropsVTypes">
  <Template>ECE_TRANS.dotm</Template>
  <TotalTime>0</TotalTime>
  <Pages>4</Pages>
  <Words>2012</Words>
  <Characters>10507</Characters>
  <Application>Microsoft Office Word</Application>
  <DocSecurity>0</DocSecurity>
  <Lines>207</Lines>
  <Paragraphs>74</Paragraphs>
  <ScaleCrop>false</ScaleCrop>
  <HeadingPairs>
    <vt:vector size="2" baseType="variant">
      <vt:variant>
        <vt:lpstr>Titre</vt:lpstr>
      </vt:variant>
      <vt:variant>
        <vt:i4>1</vt:i4>
      </vt:variant>
    </vt:vector>
  </HeadingPairs>
  <TitlesOfParts>
    <vt:vector size="1" baseType="lpstr">
      <vt:lpstr>ECE/TRANS/WP.15/AC.1/2024/11</vt:lpstr>
    </vt:vector>
  </TitlesOfParts>
  <Company>DCM</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ECE/TRANS/WP.15/AC.1/2024/11</dc:title>
  <dc:subject/>
  <dc:creator>Sandrine CLERE</dc:creator>
  <cp:keywords/>
  <cp:lastModifiedBy>Sandrine Clere</cp:lastModifiedBy>
  <cp:revision>2</cp:revision>
  <cp:lastPrinted>2014-05-14T10:59:00Z</cp:lastPrinted>
  <dcterms:created xsi:type="dcterms:W3CDTF">2024-01-16T14:19:00Z</dcterms:created>
  <dcterms:modified xsi:type="dcterms:W3CDTF">2024-01-16T14:19:00Z</dcterms:modified>
</cp:coreProperties>
</file>