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1C036E" w14:textId="77777777" w:rsidTr="00B20551">
        <w:trPr>
          <w:cantSplit/>
          <w:trHeight w:hRule="exact" w:val="851"/>
        </w:trPr>
        <w:tc>
          <w:tcPr>
            <w:tcW w:w="1276" w:type="dxa"/>
            <w:tcBorders>
              <w:bottom w:val="single" w:sz="4" w:space="0" w:color="auto"/>
            </w:tcBorders>
            <w:vAlign w:val="bottom"/>
          </w:tcPr>
          <w:p w14:paraId="1E46AF0C" w14:textId="77777777" w:rsidR="009E6CB7" w:rsidRDefault="009E6CB7" w:rsidP="00B20551">
            <w:pPr>
              <w:spacing w:after="80"/>
            </w:pPr>
          </w:p>
        </w:tc>
        <w:tc>
          <w:tcPr>
            <w:tcW w:w="2268" w:type="dxa"/>
            <w:tcBorders>
              <w:bottom w:val="single" w:sz="4" w:space="0" w:color="auto"/>
            </w:tcBorders>
            <w:vAlign w:val="bottom"/>
          </w:tcPr>
          <w:p w14:paraId="18B6169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C8D26F3" w14:textId="514403E4" w:rsidR="009E6CB7" w:rsidRPr="00D47EEA" w:rsidRDefault="00871927" w:rsidP="00871927">
            <w:pPr>
              <w:jc w:val="right"/>
            </w:pPr>
            <w:r w:rsidRPr="00871927">
              <w:rPr>
                <w:sz w:val="40"/>
              </w:rPr>
              <w:t>ECE</w:t>
            </w:r>
            <w:r>
              <w:t>/TRANS/WP.15/AC.1/2024/1</w:t>
            </w:r>
            <w:r w:rsidR="00F42E15">
              <w:t>5</w:t>
            </w:r>
          </w:p>
        </w:tc>
      </w:tr>
      <w:tr w:rsidR="009E6CB7" w14:paraId="3CB11AA6" w14:textId="77777777" w:rsidTr="00B20551">
        <w:trPr>
          <w:cantSplit/>
          <w:trHeight w:hRule="exact" w:val="2835"/>
        </w:trPr>
        <w:tc>
          <w:tcPr>
            <w:tcW w:w="1276" w:type="dxa"/>
            <w:tcBorders>
              <w:top w:val="single" w:sz="4" w:space="0" w:color="auto"/>
              <w:bottom w:val="single" w:sz="12" w:space="0" w:color="auto"/>
            </w:tcBorders>
          </w:tcPr>
          <w:p w14:paraId="43BC73EB" w14:textId="77777777" w:rsidR="009E6CB7" w:rsidRDefault="00686A48" w:rsidP="00B20551">
            <w:pPr>
              <w:spacing w:before="120"/>
            </w:pPr>
            <w:r>
              <w:rPr>
                <w:noProof/>
                <w:lang w:val="fr-CH" w:eastAsia="fr-CH"/>
              </w:rPr>
              <w:drawing>
                <wp:inline distT="0" distB="0" distL="0" distR="0" wp14:anchorId="5E3DBDA3" wp14:editId="01A10CD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B7DA0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DECCD3C" w14:textId="77777777" w:rsidR="009E6CB7" w:rsidRDefault="00871927" w:rsidP="00871927">
            <w:pPr>
              <w:spacing w:before="240" w:line="240" w:lineRule="exact"/>
            </w:pPr>
            <w:r>
              <w:t>Distr.: General</w:t>
            </w:r>
          </w:p>
          <w:p w14:paraId="7BBF6BD5" w14:textId="42BEE06C" w:rsidR="00871927" w:rsidRDefault="00871927" w:rsidP="00871927">
            <w:pPr>
              <w:spacing w:line="240" w:lineRule="exact"/>
            </w:pPr>
            <w:r>
              <w:t>2</w:t>
            </w:r>
            <w:r w:rsidR="001D0F04">
              <w:t>6</w:t>
            </w:r>
            <w:r>
              <w:t xml:space="preserve"> December 202</w:t>
            </w:r>
            <w:r w:rsidR="00A2763A">
              <w:t>3</w:t>
            </w:r>
          </w:p>
          <w:p w14:paraId="73E2FBD8" w14:textId="77777777" w:rsidR="00871927" w:rsidRDefault="00871927" w:rsidP="00871927">
            <w:pPr>
              <w:spacing w:line="240" w:lineRule="exact"/>
            </w:pPr>
          </w:p>
          <w:p w14:paraId="3B335E30" w14:textId="65E47FE2" w:rsidR="00871927" w:rsidRDefault="00871927" w:rsidP="00871927">
            <w:pPr>
              <w:spacing w:line="240" w:lineRule="exact"/>
            </w:pPr>
            <w:r>
              <w:t>Original: English</w:t>
            </w:r>
          </w:p>
        </w:tc>
      </w:tr>
    </w:tbl>
    <w:p w14:paraId="2B4B343B" w14:textId="77777777" w:rsidR="00871927" w:rsidRPr="00960236" w:rsidRDefault="00871927" w:rsidP="00C411EB">
      <w:pPr>
        <w:spacing w:before="120"/>
        <w:rPr>
          <w:b/>
          <w:sz w:val="28"/>
          <w:szCs w:val="28"/>
        </w:rPr>
      </w:pPr>
      <w:r w:rsidRPr="00960236">
        <w:rPr>
          <w:b/>
          <w:sz w:val="28"/>
          <w:szCs w:val="28"/>
        </w:rPr>
        <w:t>Economic Commission for Europe</w:t>
      </w:r>
    </w:p>
    <w:p w14:paraId="7F1F872F" w14:textId="77777777" w:rsidR="00871927" w:rsidRPr="00960236" w:rsidRDefault="00871927" w:rsidP="00C411EB">
      <w:pPr>
        <w:spacing w:before="120"/>
        <w:rPr>
          <w:sz w:val="28"/>
          <w:szCs w:val="28"/>
        </w:rPr>
      </w:pPr>
      <w:r w:rsidRPr="00960236">
        <w:rPr>
          <w:sz w:val="28"/>
          <w:szCs w:val="28"/>
        </w:rPr>
        <w:t>Inland Transport Committee</w:t>
      </w:r>
    </w:p>
    <w:p w14:paraId="77920869" w14:textId="77777777" w:rsidR="00871927" w:rsidRPr="00960236" w:rsidRDefault="00871927" w:rsidP="00C411EB">
      <w:pPr>
        <w:spacing w:before="120"/>
        <w:rPr>
          <w:b/>
          <w:sz w:val="24"/>
          <w:szCs w:val="24"/>
        </w:rPr>
      </w:pPr>
      <w:r w:rsidRPr="00960236">
        <w:rPr>
          <w:b/>
          <w:sz w:val="24"/>
          <w:szCs w:val="24"/>
        </w:rPr>
        <w:t>Working Party on the Transport of Dangerous Goods</w:t>
      </w:r>
    </w:p>
    <w:p w14:paraId="3859AB8A" w14:textId="77777777" w:rsidR="00871927" w:rsidRPr="00960236" w:rsidRDefault="00871927"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6316AFA9" w14:textId="379725F2" w:rsidR="00871927" w:rsidRDefault="00A2763A" w:rsidP="00C411EB">
      <w:r>
        <w:t>Bern</w:t>
      </w:r>
      <w:r w:rsidR="00871927">
        <w:t xml:space="preserve">, </w:t>
      </w:r>
      <w:r>
        <w:t>25-28 March 2024</w:t>
      </w:r>
    </w:p>
    <w:p w14:paraId="785DE120" w14:textId="7EFE087A" w:rsidR="00871927" w:rsidRDefault="00871927" w:rsidP="00C411EB">
      <w:r>
        <w:t xml:space="preserve">Item </w:t>
      </w:r>
      <w:r w:rsidR="003734D6">
        <w:t>7</w:t>
      </w:r>
      <w:r>
        <w:t xml:space="preserve"> of the provisional agenda</w:t>
      </w:r>
    </w:p>
    <w:p w14:paraId="52C11F7A" w14:textId="55E17FAF" w:rsidR="003734D6" w:rsidRDefault="003734D6" w:rsidP="00C411EB">
      <w:pPr>
        <w:rPr>
          <w:b/>
          <w:bCs/>
          <w:lang w:val="en-US"/>
        </w:rPr>
      </w:pPr>
      <w:r w:rsidRPr="00511E0F">
        <w:rPr>
          <w:b/>
          <w:bCs/>
          <w:lang w:val="en-US"/>
        </w:rPr>
        <w:t>Accidents and risk management</w:t>
      </w:r>
    </w:p>
    <w:p w14:paraId="708C6B01" w14:textId="72A0BADC" w:rsidR="00B82044" w:rsidRPr="00A74237" w:rsidRDefault="00B82044" w:rsidP="005F47B7">
      <w:pPr>
        <w:pStyle w:val="HChG"/>
      </w:pPr>
      <w:r w:rsidRPr="00A74237">
        <w:tab/>
      </w:r>
      <w:r w:rsidRPr="00A74237">
        <w:tab/>
      </w:r>
      <w:r w:rsidRPr="00A74237">
        <w:tab/>
        <w:t>Report o</w:t>
      </w:r>
      <w:r w:rsidR="008D5ABE">
        <w:t>f</w:t>
      </w:r>
      <w:r w:rsidRPr="00A74237">
        <w:t xml:space="preserve"> the meeting on </w:t>
      </w:r>
      <w:r w:rsidR="001B02E9">
        <w:t xml:space="preserve">the </w:t>
      </w:r>
      <w:r w:rsidRPr="00A74237">
        <w:t xml:space="preserve">improvement of </w:t>
      </w:r>
      <w:r w:rsidR="008D5ABE">
        <w:t>t</w:t>
      </w:r>
      <w:r>
        <w:t xml:space="preserve">ransport of </w:t>
      </w:r>
      <w:r w:rsidR="008D5ABE">
        <w:t>d</w:t>
      </w:r>
      <w:r>
        <w:t xml:space="preserve">angerous </w:t>
      </w:r>
      <w:r w:rsidR="008D5ABE">
        <w:t>g</w:t>
      </w:r>
      <w:r>
        <w:t xml:space="preserve">oods </w:t>
      </w:r>
      <w:r w:rsidRPr="00A74237">
        <w:t>occurrence reporting</w:t>
      </w:r>
      <w:r w:rsidR="008D5ABE">
        <w:t>, held</w:t>
      </w:r>
      <w:r w:rsidR="008D5ABE" w:rsidRPr="008D5ABE">
        <w:t xml:space="preserve"> </w:t>
      </w:r>
      <w:r w:rsidR="008D5ABE">
        <w:t>on 23 and 24 October</w:t>
      </w:r>
      <w:r w:rsidR="008D5ABE" w:rsidRPr="00A74237">
        <w:t xml:space="preserve"> 202</w:t>
      </w:r>
      <w:r w:rsidR="008D5ABE">
        <w:t>3</w:t>
      </w:r>
    </w:p>
    <w:p w14:paraId="55F1FF1F" w14:textId="575DF6D5" w:rsidR="00B82044" w:rsidRPr="00A74237" w:rsidRDefault="00B82044" w:rsidP="005F47B7">
      <w:pPr>
        <w:pStyle w:val="H1G"/>
      </w:pPr>
      <w:r w:rsidRPr="00A74237">
        <w:tab/>
      </w:r>
      <w:r w:rsidRPr="00A74237">
        <w:tab/>
      </w:r>
      <w:r w:rsidRPr="00A74237">
        <w:tab/>
        <w:t xml:space="preserve">Submitted by the </w:t>
      </w:r>
      <w:r w:rsidRPr="005F47B7">
        <w:t>Government</w:t>
      </w:r>
      <w:r>
        <w:t xml:space="preserve"> of France</w:t>
      </w:r>
      <w:r w:rsidR="00032120" w:rsidRPr="00E82BD0">
        <w:rPr>
          <w:rStyle w:val="FootnoteReference"/>
        </w:rPr>
        <w:footnoteReference w:customMarkFollows="1" w:id="2"/>
        <w:t>*</w:t>
      </w:r>
      <w:r w:rsidR="00E244BE" w:rsidRPr="00E82BD0">
        <w:rPr>
          <w:rStyle w:val="FootnoteReference"/>
        </w:rPr>
        <w:t xml:space="preserve">, </w:t>
      </w:r>
      <w:r w:rsidR="00E244BE" w:rsidRPr="00E82BD0">
        <w:rPr>
          <w:rStyle w:val="FootnoteReferenc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F47B7" w14:paraId="7DBBFB10" w14:textId="77777777" w:rsidTr="00A341BA">
        <w:trPr>
          <w:jc w:val="center"/>
        </w:trPr>
        <w:tc>
          <w:tcPr>
            <w:tcW w:w="9629" w:type="dxa"/>
            <w:shd w:val="clear" w:color="auto" w:fill="auto"/>
          </w:tcPr>
          <w:p w14:paraId="13E61B8F" w14:textId="77777777" w:rsidR="005F47B7" w:rsidRPr="00C6263E" w:rsidRDefault="005F47B7" w:rsidP="006E5E26">
            <w:pPr>
              <w:spacing w:before="240" w:after="120"/>
              <w:ind w:left="255"/>
              <w:rPr>
                <w:i/>
                <w:sz w:val="24"/>
              </w:rPr>
            </w:pPr>
            <w:r w:rsidRPr="00C6263E">
              <w:rPr>
                <w:i/>
                <w:sz w:val="24"/>
              </w:rPr>
              <w:t>Summary</w:t>
            </w:r>
          </w:p>
        </w:tc>
      </w:tr>
      <w:tr w:rsidR="005F47B7" w14:paraId="7C4687ED" w14:textId="77777777" w:rsidTr="00A341BA">
        <w:trPr>
          <w:jc w:val="center"/>
        </w:trPr>
        <w:tc>
          <w:tcPr>
            <w:tcW w:w="9629" w:type="dxa"/>
            <w:shd w:val="clear" w:color="auto" w:fill="auto"/>
          </w:tcPr>
          <w:p w14:paraId="7E6635B3" w14:textId="12F01E65" w:rsidR="005F47B7" w:rsidRDefault="00A341BA" w:rsidP="004916C3">
            <w:pPr>
              <w:pStyle w:val="SingleTxtG"/>
              <w:ind w:left="3393" w:hanging="2268"/>
              <w:rPr>
                <w:szCs w:val="22"/>
              </w:rPr>
            </w:pPr>
            <w:r w:rsidRPr="00A74237">
              <w:rPr>
                <w:b/>
                <w:szCs w:val="22"/>
              </w:rPr>
              <w:t>Executive summary</w:t>
            </w:r>
            <w:r w:rsidRPr="00A74237">
              <w:rPr>
                <w:szCs w:val="22"/>
              </w:rPr>
              <w:t>:</w:t>
            </w:r>
            <w:r w:rsidRPr="00A74237">
              <w:rPr>
                <w:szCs w:val="22"/>
              </w:rPr>
              <w:tab/>
            </w:r>
            <w:r>
              <w:rPr>
                <w:szCs w:val="22"/>
              </w:rPr>
              <w:t xml:space="preserve">Report of the </w:t>
            </w:r>
            <w:r w:rsidR="007053A0">
              <w:rPr>
                <w:szCs w:val="22"/>
              </w:rPr>
              <w:t xml:space="preserve">informal </w:t>
            </w:r>
            <w:r>
              <w:rPr>
                <w:szCs w:val="22"/>
              </w:rPr>
              <w:t xml:space="preserve">working group meeting </w:t>
            </w:r>
            <w:r w:rsidR="00052DD4">
              <w:rPr>
                <w:szCs w:val="22"/>
              </w:rPr>
              <w:t xml:space="preserve">held </w:t>
            </w:r>
            <w:r>
              <w:rPr>
                <w:szCs w:val="22"/>
              </w:rPr>
              <w:t xml:space="preserve">in Paris </w:t>
            </w:r>
            <w:r w:rsidR="00052DD4">
              <w:rPr>
                <w:szCs w:val="22"/>
              </w:rPr>
              <w:t xml:space="preserve">on </w:t>
            </w:r>
            <w:r>
              <w:rPr>
                <w:szCs w:val="22"/>
              </w:rPr>
              <w:t>23</w:t>
            </w:r>
            <w:r w:rsidR="00052DD4">
              <w:rPr>
                <w:szCs w:val="22"/>
              </w:rPr>
              <w:t xml:space="preserve"> and </w:t>
            </w:r>
            <w:r>
              <w:rPr>
                <w:szCs w:val="22"/>
              </w:rPr>
              <w:t>24 October 2023</w:t>
            </w:r>
            <w:r w:rsidR="00052DD4">
              <w:rPr>
                <w:szCs w:val="22"/>
              </w:rPr>
              <w:t>.</w:t>
            </w:r>
          </w:p>
          <w:p w14:paraId="2F9B84E8" w14:textId="61A6D6AE" w:rsidR="00A341BA" w:rsidRPr="00425780" w:rsidRDefault="0092004B" w:rsidP="008E2CEA">
            <w:pPr>
              <w:pStyle w:val="SingleTxtG"/>
              <w:tabs>
                <w:tab w:val="clear" w:pos="2835"/>
              </w:tabs>
              <w:ind w:left="3393" w:hanging="2268"/>
              <w:rPr>
                <w:szCs w:val="22"/>
              </w:rPr>
            </w:pPr>
            <w:r w:rsidRPr="00A74237">
              <w:rPr>
                <w:b/>
                <w:szCs w:val="22"/>
              </w:rPr>
              <w:t>Related documents</w:t>
            </w:r>
            <w:r w:rsidRPr="00A74237">
              <w:rPr>
                <w:szCs w:val="22"/>
              </w:rPr>
              <w:t>:</w:t>
            </w:r>
            <w:r w:rsidR="00563C97" w:rsidRPr="00A74237">
              <w:rPr>
                <w:szCs w:val="22"/>
              </w:rPr>
              <w:tab/>
            </w:r>
            <w:r w:rsidR="00425780" w:rsidRPr="00A74237">
              <w:rPr>
                <w:szCs w:val="22"/>
              </w:rPr>
              <w:t xml:space="preserve">Informal document </w:t>
            </w:r>
            <w:hyperlink r:id="rId12" w:history="1">
              <w:r w:rsidR="00425780" w:rsidRPr="00A74237">
                <w:rPr>
                  <w:rStyle w:val="Hyperlink"/>
                  <w:szCs w:val="22"/>
                </w:rPr>
                <w:t>INF.8</w:t>
              </w:r>
            </w:hyperlink>
            <w:r w:rsidR="00425780" w:rsidRPr="00A74237">
              <w:rPr>
                <w:szCs w:val="22"/>
              </w:rPr>
              <w:t xml:space="preserve"> (Joint Meeting, September 2022); Informal document </w:t>
            </w:r>
            <w:hyperlink r:id="rId13" w:history="1">
              <w:r w:rsidR="00425780" w:rsidRPr="00D668BB">
                <w:rPr>
                  <w:rStyle w:val="Hyperlink"/>
                  <w:lang w:eastAsia="zh-CN"/>
                </w:rPr>
                <w:t>INF.27</w:t>
              </w:r>
            </w:hyperlink>
            <w:r w:rsidR="00425780" w:rsidRPr="00B3291A">
              <w:rPr>
                <w:szCs w:val="22"/>
              </w:rPr>
              <w:t xml:space="preserve"> </w:t>
            </w:r>
            <w:r w:rsidR="00425780" w:rsidRPr="00A74237">
              <w:rPr>
                <w:szCs w:val="22"/>
              </w:rPr>
              <w:t xml:space="preserve">(Joint Meeting, </w:t>
            </w:r>
            <w:r w:rsidR="00231AAF">
              <w:rPr>
                <w:szCs w:val="22"/>
              </w:rPr>
              <w:t>March</w:t>
            </w:r>
            <w:r w:rsidR="00425780" w:rsidRPr="00A74237">
              <w:rPr>
                <w:szCs w:val="22"/>
              </w:rPr>
              <w:t xml:space="preserve"> 20</w:t>
            </w:r>
            <w:r w:rsidR="00425780">
              <w:rPr>
                <w:szCs w:val="22"/>
              </w:rPr>
              <w:t>23</w:t>
            </w:r>
            <w:r w:rsidR="00425780" w:rsidRPr="00A74237">
              <w:rPr>
                <w:szCs w:val="22"/>
              </w:rPr>
              <w:t xml:space="preserve">); </w:t>
            </w:r>
            <w:r w:rsidR="00425780">
              <w:rPr>
                <w:szCs w:val="22"/>
              </w:rPr>
              <w:t xml:space="preserve">and two documents for the present session </w:t>
            </w:r>
            <w:r w:rsidR="005F3B56">
              <w:rPr>
                <w:szCs w:val="22"/>
              </w:rPr>
              <w:t>on behalf of</w:t>
            </w:r>
            <w:r w:rsidR="00425780">
              <w:rPr>
                <w:szCs w:val="22"/>
              </w:rPr>
              <w:t xml:space="preserve"> the </w:t>
            </w:r>
            <w:r w:rsidR="00EA1442">
              <w:rPr>
                <w:szCs w:val="22"/>
              </w:rPr>
              <w:t xml:space="preserve">informal </w:t>
            </w:r>
            <w:r w:rsidR="00425780">
              <w:rPr>
                <w:szCs w:val="22"/>
              </w:rPr>
              <w:t>working group</w:t>
            </w:r>
          </w:p>
        </w:tc>
      </w:tr>
    </w:tbl>
    <w:p w14:paraId="50D9CE2B" w14:textId="728F6162" w:rsidR="00B82044" w:rsidRPr="00A74237" w:rsidRDefault="006F22CB" w:rsidP="006F22CB">
      <w:pPr>
        <w:pStyle w:val="HChG"/>
      </w:pPr>
      <w:r>
        <w:tab/>
      </w:r>
      <w:r w:rsidRPr="00A74237">
        <w:t>I.</w:t>
      </w:r>
      <w:r w:rsidRPr="00A74237">
        <w:tab/>
      </w:r>
      <w:r w:rsidR="00B82044" w:rsidRPr="006F22CB">
        <w:t>Background</w:t>
      </w:r>
    </w:p>
    <w:p w14:paraId="4EC71D30" w14:textId="6A8EC4BA" w:rsidR="00B82044" w:rsidRPr="00A74237" w:rsidRDefault="006F22CB" w:rsidP="006F22CB">
      <w:pPr>
        <w:pStyle w:val="SingleTxtG"/>
      </w:pPr>
      <w:r w:rsidRPr="00A74237">
        <w:t>1.</w:t>
      </w:r>
      <w:r w:rsidRPr="00A74237">
        <w:tab/>
      </w:r>
      <w:r w:rsidR="00B82044" w:rsidRPr="00A74237">
        <w:t xml:space="preserve">At the Joint Meeting of </w:t>
      </w:r>
      <w:r w:rsidR="00B82044">
        <w:t>March</w:t>
      </w:r>
      <w:r w:rsidR="00B82044" w:rsidRPr="00A74237">
        <w:t xml:space="preserve"> 202</w:t>
      </w:r>
      <w:r w:rsidR="00B82044">
        <w:t>3</w:t>
      </w:r>
      <w:r w:rsidR="00B82044" w:rsidRPr="00A74237">
        <w:t xml:space="preserve"> in </w:t>
      </w:r>
      <w:r w:rsidR="00B82044">
        <w:t>Bern</w:t>
      </w:r>
      <w:r w:rsidR="00B82044" w:rsidRPr="00A74237">
        <w:t xml:space="preserve">, </w:t>
      </w:r>
      <w:r w:rsidR="00B82044">
        <w:t xml:space="preserve">France </w:t>
      </w:r>
      <w:r w:rsidR="00B82044" w:rsidRPr="00A74237">
        <w:t xml:space="preserve">presented </w:t>
      </w:r>
      <w:r w:rsidR="00B82044" w:rsidRPr="00A74237">
        <w:rPr>
          <w:szCs w:val="22"/>
        </w:rPr>
        <w:t xml:space="preserve">informal document </w:t>
      </w:r>
      <w:hyperlink r:id="rId14" w:history="1">
        <w:r w:rsidR="00B82044" w:rsidRPr="003C5933">
          <w:rPr>
            <w:rStyle w:val="Hyperlink"/>
            <w:szCs w:val="22"/>
          </w:rPr>
          <w:t>INF.27</w:t>
        </w:r>
      </w:hyperlink>
      <w:r w:rsidR="00B82044" w:rsidRPr="001D64D4">
        <w:rPr>
          <w:szCs w:val="22"/>
        </w:rPr>
        <w:t xml:space="preserve"> </w:t>
      </w:r>
      <w:r w:rsidR="00B82044" w:rsidRPr="00A74237">
        <w:rPr>
          <w:szCs w:val="22"/>
        </w:rPr>
        <w:t xml:space="preserve">as </w:t>
      </w:r>
      <w:r w:rsidR="00B82044" w:rsidRPr="00A74237">
        <w:t xml:space="preserve">a contribution to the on-going activities of the UNECE/OTIF </w:t>
      </w:r>
      <w:r w:rsidR="006B0243">
        <w:t>working group</w:t>
      </w:r>
      <w:r w:rsidR="00B82044" w:rsidRPr="00A74237">
        <w:t xml:space="preserve"> on improvement of accident reports (in particular </w:t>
      </w:r>
      <w:r w:rsidR="0004687C">
        <w:t xml:space="preserve">as a follow-up </w:t>
      </w:r>
      <w:r w:rsidR="00B82044" w:rsidRPr="00A74237">
        <w:t>to</w:t>
      </w:r>
      <w:r w:rsidR="005F1009">
        <w:t xml:space="preserve"> informal document</w:t>
      </w:r>
      <w:r w:rsidR="00B82044" w:rsidRPr="00A74237">
        <w:t xml:space="preserve"> </w:t>
      </w:r>
      <w:hyperlink r:id="rId15" w:history="1">
        <w:r w:rsidR="00B82044" w:rsidRPr="003665F9">
          <w:rPr>
            <w:color w:val="0000FF"/>
            <w:lang w:eastAsia="zh-CN"/>
          </w:rPr>
          <w:t>INF.47</w:t>
        </w:r>
      </w:hyperlink>
      <w:r w:rsidR="0004687C">
        <w:t xml:space="preserve"> of the </w:t>
      </w:r>
      <w:r w:rsidR="008A67DB">
        <w:t xml:space="preserve">Joint Meeting in </w:t>
      </w:r>
      <w:r w:rsidR="0004687C">
        <w:t>Autumn 2020).</w:t>
      </w:r>
    </w:p>
    <w:p w14:paraId="47B7A4E9" w14:textId="7768633D" w:rsidR="00B82044" w:rsidRPr="00A74237" w:rsidRDefault="006F22CB" w:rsidP="006F22CB">
      <w:pPr>
        <w:pStyle w:val="SingleTxtG"/>
      </w:pPr>
      <w:r w:rsidRPr="00A74237">
        <w:t>2.</w:t>
      </w:r>
      <w:r w:rsidRPr="00A74237">
        <w:tab/>
      </w:r>
      <w:r w:rsidR="00B82044" w:rsidRPr="00A74237">
        <w:t xml:space="preserve">As agreed, </w:t>
      </w:r>
      <w:r w:rsidR="00B82044" w:rsidRPr="006F22CB">
        <w:t>France</w:t>
      </w:r>
      <w:r w:rsidR="00B82044" w:rsidRPr="00A74237">
        <w:t xml:space="preserve"> organised another meeting </w:t>
      </w:r>
      <w:r w:rsidR="00B82044">
        <w:t xml:space="preserve">in Paris </w:t>
      </w:r>
      <w:r w:rsidR="00B82044" w:rsidRPr="00A74237">
        <w:t xml:space="preserve">on </w:t>
      </w:r>
      <w:r w:rsidR="00B82044">
        <w:t>23 and 24 October</w:t>
      </w:r>
      <w:r w:rsidR="00FC40AE">
        <w:t xml:space="preserve"> 2023</w:t>
      </w:r>
      <w:r w:rsidR="00B82044" w:rsidRPr="00A74237">
        <w:t xml:space="preserve"> to </w:t>
      </w:r>
      <w:r w:rsidR="00B82044">
        <w:t>resume the work of the informal working group and to concentrate on some points that have not yet been addressed.</w:t>
      </w:r>
    </w:p>
    <w:p w14:paraId="6B3E5CC1" w14:textId="32EC15D4" w:rsidR="00B82044" w:rsidRPr="00A74237" w:rsidRDefault="006F22CB" w:rsidP="006F22CB">
      <w:pPr>
        <w:pStyle w:val="SingleTxtG"/>
      </w:pPr>
      <w:r w:rsidRPr="00A74237">
        <w:t>3.</w:t>
      </w:r>
      <w:r w:rsidRPr="00A74237">
        <w:tab/>
      </w:r>
      <w:r w:rsidR="00B82044">
        <w:t>Eight</w:t>
      </w:r>
      <w:r w:rsidR="00B82044" w:rsidRPr="00A74237">
        <w:t xml:space="preserve"> main </w:t>
      </w:r>
      <w:r w:rsidR="00B82044" w:rsidRPr="006F22CB">
        <w:t>agenda</w:t>
      </w:r>
      <w:r w:rsidR="00B82044" w:rsidRPr="00A74237">
        <w:t xml:space="preserve"> items were discussed</w:t>
      </w:r>
      <w:r w:rsidR="00B82044" w:rsidRPr="00D90C3D">
        <w:t xml:space="preserve"> </w:t>
      </w:r>
      <w:r w:rsidR="00B82044">
        <w:t>as follows</w:t>
      </w:r>
      <w:r w:rsidR="00B82044" w:rsidRPr="00A74237">
        <w:t>:</w:t>
      </w:r>
    </w:p>
    <w:p w14:paraId="52793759" w14:textId="08E42EA5" w:rsidR="00B82044" w:rsidRPr="00A74237" w:rsidRDefault="006F22CB" w:rsidP="006F22CB">
      <w:pPr>
        <w:pStyle w:val="SingleTxtG"/>
        <w:rPr>
          <w:rFonts w:eastAsia="Calibri"/>
        </w:rPr>
      </w:pPr>
      <w:r>
        <w:rPr>
          <w:rFonts w:eastAsia="Calibri"/>
        </w:rPr>
        <w:tab/>
        <w:t>(</w:t>
      </w:r>
      <w:r w:rsidR="00B82044">
        <w:rPr>
          <w:rFonts w:eastAsia="Calibri"/>
        </w:rPr>
        <w:t>a)</w:t>
      </w:r>
      <w:r w:rsidR="00B82044" w:rsidRPr="00A74237">
        <w:rPr>
          <w:rFonts w:eastAsia="Calibri"/>
        </w:rPr>
        <w:tab/>
      </w:r>
      <w:bookmarkStart w:id="0" w:name="_Hlk149205304"/>
      <w:r w:rsidR="00B82044" w:rsidRPr="006F22CB">
        <w:rPr>
          <w:rFonts w:eastAsia="Calibri"/>
        </w:rPr>
        <w:t>Presentation</w:t>
      </w:r>
      <w:r w:rsidR="00B82044">
        <w:rPr>
          <w:rFonts w:eastAsia="Calibri"/>
        </w:rPr>
        <w:t xml:space="preserve"> of the online reporting on occurrences in France;</w:t>
      </w:r>
    </w:p>
    <w:bookmarkEnd w:id="0"/>
    <w:p w14:paraId="0F4D2614" w14:textId="6488BD7F" w:rsidR="00B82044" w:rsidRPr="00A74237" w:rsidRDefault="006F22CB" w:rsidP="00CB4B9C">
      <w:pPr>
        <w:pStyle w:val="SingleTxtG"/>
        <w:ind w:left="2268" w:hanging="1134"/>
        <w:rPr>
          <w:rFonts w:eastAsia="Calibri"/>
        </w:rPr>
      </w:pPr>
      <w:r>
        <w:rPr>
          <w:rFonts w:eastAsia="Calibri"/>
        </w:rPr>
        <w:lastRenderedPageBreak/>
        <w:tab/>
        <w:t>(</w:t>
      </w:r>
      <w:r w:rsidR="00B82044">
        <w:rPr>
          <w:rFonts w:eastAsia="Calibri"/>
        </w:rPr>
        <w:t>b)</w:t>
      </w:r>
      <w:r w:rsidR="00B82044" w:rsidRPr="00A74237">
        <w:rPr>
          <w:rFonts w:eastAsia="Calibri"/>
        </w:rPr>
        <w:tab/>
      </w:r>
      <w:r w:rsidR="00B82044" w:rsidRPr="006F22CB">
        <w:rPr>
          <w:rFonts w:eastAsia="Calibri"/>
        </w:rPr>
        <w:t>Presentation</w:t>
      </w:r>
      <w:r w:rsidR="00B82044">
        <w:rPr>
          <w:rFonts w:eastAsia="Calibri"/>
        </w:rPr>
        <w:t xml:space="preserve"> </w:t>
      </w:r>
      <w:r w:rsidR="00116B74">
        <w:rPr>
          <w:rFonts w:eastAsia="Calibri"/>
        </w:rPr>
        <w:t>by</w:t>
      </w:r>
      <w:r w:rsidR="00B82044">
        <w:rPr>
          <w:rFonts w:eastAsia="Calibri"/>
        </w:rPr>
        <w:t xml:space="preserve"> </w:t>
      </w:r>
      <w:r w:rsidR="00413A4B">
        <w:rPr>
          <w:rFonts w:eastAsia="Calibri"/>
        </w:rPr>
        <w:t xml:space="preserve">the </w:t>
      </w:r>
      <w:r w:rsidR="00413A4B" w:rsidRPr="006C29A5">
        <w:t xml:space="preserve">European </w:t>
      </w:r>
      <w:r w:rsidR="00413A4B">
        <w:t xml:space="preserve">Union </w:t>
      </w:r>
      <w:r w:rsidR="00413A4B" w:rsidRPr="006C29A5">
        <w:t>Agency</w:t>
      </w:r>
      <w:r w:rsidR="00413A4B">
        <w:t xml:space="preserve"> for Railways (</w:t>
      </w:r>
      <w:r w:rsidR="00B82044">
        <w:rPr>
          <w:rFonts w:eastAsia="Calibri"/>
        </w:rPr>
        <w:t>ERA</w:t>
      </w:r>
      <w:r w:rsidR="00413A4B">
        <w:rPr>
          <w:rFonts w:eastAsia="Calibri"/>
        </w:rPr>
        <w:t>)</w:t>
      </w:r>
      <w:r w:rsidR="00B82044">
        <w:rPr>
          <w:rFonts w:eastAsia="Calibri"/>
        </w:rPr>
        <w:t xml:space="preserve"> on the </w:t>
      </w:r>
      <w:r w:rsidR="00FE5FEC">
        <w:rPr>
          <w:rFonts w:eastAsia="Calibri"/>
        </w:rPr>
        <w:t>reporting</w:t>
      </w:r>
      <w:r w:rsidR="00FE5FEC" w:rsidRPr="00DE7321">
        <w:rPr>
          <w:rFonts w:eastAsia="Calibri"/>
        </w:rPr>
        <w:t xml:space="preserve"> </w:t>
      </w:r>
      <w:r w:rsidR="00656F88">
        <w:rPr>
          <w:rFonts w:eastAsia="Calibri"/>
        </w:rPr>
        <w:t xml:space="preserve">according </w:t>
      </w:r>
      <w:r w:rsidR="0033200F">
        <w:rPr>
          <w:rFonts w:eastAsia="Calibri"/>
        </w:rPr>
        <w:t xml:space="preserve">to </w:t>
      </w:r>
      <w:r w:rsidR="00656F88">
        <w:rPr>
          <w:rFonts w:eastAsia="Calibri"/>
        </w:rPr>
        <w:t>the</w:t>
      </w:r>
      <w:r w:rsidR="00FE5FEC">
        <w:rPr>
          <w:rFonts w:eastAsia="Calibri"/>
        </w:rPr>
        <w:t xml:space="preserve"> </w:t>
      </w:r>
      <w:r w:rsidR="00DE7321" w:rsidRPr="00DE7321">
        <w:rPr>
          <w:rFonts w:eastAsia="Calibri"/>
        </w:rPr>
        <w:t xml:space="preserve">Common Safety Methods on the Assessment of Safety Level and Performance </w:t>
      </w:r>
      <w:r w:rsidR="00726CA0" w:rsidRPr="00DE7321">
        <w:rPr>
          <w:rFonts w:eastAsia="Calibri"/>
        </w:rPr>
        <w:t>(CSM ASLP)</w:t>
      </w:r>
      <w:r w:rsidR="00726CA0">
        <w:rPr>
          <w:rFonts w:eastAsia="Calibri"/>
        </w:rPr>
        <w:t xml:space="preserve"> </w:t>
      </w:r>
      <w:r w:rsidR="00DE7321" w:rsidRPr="00DE7321">
        <w:rPr>
          <w:rFonts w:eastAsia="Calibri"/>
        </w:rPr>
        <w:t>of Railway Operators</w:t>
      </w:r>
      <w:r w:rsidR="00B82044">
        <w:rPr>
          <w:rFonts w:eastAsia="Calibri"/>
        </w:rPr>
        <w:t>;</w:t>
      </w:r>
    </w:p>
    <w:p w14:paraId="1DBA9174" w14:textId="504FA652" w:rsidR="00B82044" w:rsidRDefault="006F22CB" w:rsidP="00F152D2">
      <w:pPr>
        <w:pStyle w:val="SingleTxtG"/>
        <w:ind w:left="2268" w:hanging="1134"/>
      </w:pPr>
      <w:r>
        <w:rPr>
          <w:rFonts w:eastAsia="Calibri"/>
          <w:iCs/>
        </w:rPr>
        <w:tab/>
        <w:t>(</w:t>
      </w:r>
      <w:r w:rsidR="00B82044">
        <w:rPr>
          <w:rFonts w:eastAsia="Calibri"/>
          <w:iCs/>
        </w:rPr>
        <w:t>c)</w:t>
      </w:r>
      <w:r w:rsidR="00B82044" w:rsidRPr="00824720">
        <w:rPr>
          <w:rFonts w:eastAsia="Calibri"/>
          <w:iCs/>
        </w:rPr>
        <w:tab/>
      </w:r>
      <w:bookmarkStart w:id="1" w:name="_Hlk149208218"/>
      <w:r w:rsidR="00B82044" w:rsidRPr="006F22CB">
        <w:rPr>
          <w:rFonts w:eastAsia="Calibri"/>
        </w:rPr>
        <w:t>Definition</w:t>
      </w:r>
      <w:r w:rsidR="00B82044" w:rsidRPr="00824720">
        <w:rPr>
          <w:rFonts w:eastAsia="Calibri"/>
          <w:iCs/>
        </w:rPr>
        <w:t xml:space="preserve"> of a revised</w:t>
      </w:r>
      <w:r w:rsidR="00B82044">
        <w:rPr>
          <w:rFonts w:eastAsia="Calibri"/>
          <w:iCs/>
        </w:rPr>
        <w:t xml:space="preserve"> </w:t>
      </w:r>
      <w:r w:rsidR="00B82044" w:rsidRPr="00824720">
        <w:t>scope for the accident reporting and declaration criteria, if necessary</w:t>
      </w:r>
      <w:bookmarkEnd w:id="1"/>
      <w:r w:rsidR="00B82044">
        <w:t>;</w:t>
      </w:r>
    </w:p>
    <w:p w14:paraId="196ACDDC" w14:textId="20CC2D2C" w:rsidR="00B82044" w:rsidRDefault="006F22CB" w:rsidP="00F152D2">
      <w:pPr>
        <w:pStyle w:val="SingleTxtG"/>
        <w:ind w:left="2268" w:hanging="1134"/>
      </w:pPr>
      <w:r>
        <w:tab/>
        <w:t>(</w:t>
      </w:r>
      <w:r w:rsidR="00B82044">
        <w:t>d)</w:t>
      </w:r>
      <w:r w:rsidR="00B82044">
        <w:tab/>
      </w:r>
      <w:bookmarkStart w:id="2" w:name="_Hlk153180558"/>
      <w:r w:rsidR="00B82044">
        <w:t>Coordination with CSM ASLP reporting</w:t>
      </w:r>
      <w:bookmarkEnd w:id="2"/>
      <w:r w:rsidR="00B82044">
        <w:t>;</w:t>
      </w:r>
    </w:p>
    <w:p w14:paraId="316825AC" w14:textId="53EDAF40" w:rsidR="00B82044" w:rsidRDefault="006F22CB" w:rsidP="00F152D2">
      <w:pPr>
        <w:pStyle w:val="SingleTxtG"/>
        <w:ind w:left="2268" w:hanging="1134"/>
      </w:pPr>
      <w:r>
        <w:tab/>
        <w:t>(</w:t>
      </w:r>
      <w:r w:rsidR="00B82044">
        <w:t>e)</w:t>
      </w:r>
      <w:r w:rsidR="00B82044">
        <w:tab/>
      </w:r>
      <w:bookmarkStart w:id="3" w:name="_Hlk149213007"/>
      <w:r w:rsidR="00B82044">
        <w:t>Identification of data for short-term and long-term reporting and associated timing;</w:t>
      </w:r>
      <w:bookmarkEnd w:id="3"/>
    </w:p>
    <w:p w14:paraId="037A0C88" w14:textId="606901EA" w:rsidR="00B82044" w:rsidRDefault="006F22CB" w:rsidP="006F22CB">
      <w:pPr>
        <w:pStyle w:val="SingleTxtG"/>
      </w:pPr>
      <w:r>
        <w:tab/>
        <w:t>(</w:t>
      </w:r>
      <w:r w:rsidR="00B82044">
        <w:t>f)</w:t>
      </w:r>
      <w:r w:rsidR="00B82044">
        <w:tab/>
        <w:t>Anonymity issues;</w:t>
      </w:r>
    </w:p>
    <w:p w14:paraId="7C3F7719" w14:textId="127CBF1B" w:rsidR="00B82044" w:rsidRDefault="006F22CB" w:rsidP="006F22CB">
      <w:pPr>
        <w:pStyle w:val="SingleTxtG"/>
      </w:pPr>
      <w:r>
        <w:tab/>
        <w:t>(</w:t>
      </w:r>
      <w:r w:rsidR="00B82044">
        <w:t>g)</w:t>
      </w:r>
      <w:r w:rsidR="00B82044">
        <w:tab/>
        <w:t>Drafting of a new text in 1.8.5 as a frame and introduction to the new reporting;</w:t>
      </w:r>
    </w:p>
    <w:p w14:paraId="29C8F50B" w14:textId="0CDD80C7" w:rsidR="00B82044" w:rsidRPr="00824720" w:rsidRDefault="006F22CB" w:rsidP="006F22CB">
      <w:pPr>
        <w:pStyle w:val="SingleTxtG"/>
      </w:pPr>
      <w:r>
        <w:tab/>
        <w:t>(</w:t>
      </w:r>
      <w:r w:rsidR="00B82044">
        <w:t>h)</w:t>
      </w:r>
      <w:r w:rsidR="00B82044">
        <w:tab/>
        <w:t>Measures to facilitate declarations and IT tools.</w:t>
      </w:r>
    </w:p>
    <w:p w14:paraId="1D6D5D52" w14:textId="3073286E" w:rsidR="00B82044" w:rsidRDefault="00B82044" w:rsidP="00B82044">
      <w:pPr>
        <w:pStyle w:val="HChG"/>
        <w:jc w:val="both"/>
      </w:pPr>
      <w:r w:rsidRPr="00A74237">
        <w:tab/>
      </w:r>
      <w:r w:rsidR="00212D71">
        <w:t>II.</w:t>
      </w:r>
      <w:r w:rsidR="00212D71">
        <w:tab/>
      </w:r>
      <w:r>
        <w:t>Introduction</w:t>
      </w:r>
    </w:p>
    <w:p w14:paraId="07A1E0B8" w14:textId="57B81348" w:rsidR="00B82044" w:rsidRPr="006C29A5" w:rsidRDefault="006F22CB" w:rsidP="00212D71">
      <w:pPr>
        <w:pStyle w:val="SingleTxtG"/>
      </w:pPr>
      <w:r w:rsidRPr="006C29A5">
        <w:t>4.</w:t>
      </w:r>
      <w:r w:rsidRPr="006C29A5">
        <w:tab/>
      </w:r>
      <w:r w:rsidR="00B82044" w:rsidRPr="006C29A5">
        <w:t xml:space="preserve">Based on the mandate given by the </w:t>
      </w:r>
      <w:r w:rsidR="00A079FC">
        <w:t>J</w:t>
      </w:r>
      <w:r w:rsidR="00B82044" w:rsidRPr="006C29A5">
        <w:t xml:space="preserve">oint </w:t>
      </w:r>
      <w:r w:rsidR="00A079FC">
        <w:t>M</w:t>
      </w:r>
      <w:r w:rsidR="00B82044" w:rsidRPr="006C29A5">
        <w:t>eeting in its Spring session 2023, a meeting was held in Paris (23 and 24 of October 2023). The meeting was chaired by Mr</w:t>
      </w:r>
      <w:r w:rsidR="00545DA7">
        <w:t>.</w:t>
      </w:r>
      <w:r w:rsidR="00B82044" w:rsidRPr="006C29A5">
        <w:t xml:space="preserve"> C. </w:t>
      </w:r>
      <w:r w:rsidR="00A079FC" w:rsidRPr="006C29A5">
        <w:t>Pfauvadel</w:t>
      </w:r>
      <w:r w:rsidR="00B82044" w:rsidRPr="006C29A5">
        <w:t>, representative of France.</w:t>
      </w:r>
    </w:p>
    <w:p w14:paraId="130D6FAC" w14:textId="322A7632" w:rsidR="00B82044" w:rsidRPr="006C29A5" w:rsidRDefault="006F22CB" w:rsidP="00685841">
      <w:pPr>
        <w:pStyle w:val="SingleTxtG"/>
      </w:pPr>
      <w:r w:rsidRPr="006C29A5">
        <w:t>5.</w:t>
      </w:r>
      <w:r w:rsidRPr="006C29A5">
        <w:tab/>
      </w:r>
      <w:r w:rsidR="00B82044" w:rsidRPr="006C29A5">
        <w:t>The following Contracting</w:t>
      </w:r>
      <w:r w:rsidR="006724BC">
        <w:t xml:space="preserve"> States/</w:t>
      </w:r>
      <w:r w:rsidR="00B82044" w:rsidRPr="006C29A5">
        <w:t>Parties of RID</w:t>
      </w:r>
      <w:r w:rsidR="006724BC">
        <w:t xml:space="preserve">/ADR </w:t>
      </w:r>
      <w:r w:rsidR="00B82044" w:rsidRPr="006C29A5">
        <w:t xml:space="preserve">respectively participated in the meeting: Belgium, Finland, France, Italy, Netherlands and United Kingdom. The following Non-Governmental Organisation was represented: Liquid Gas Europe. The European </w:t>
      </w:r>
      <w:r w:rsidR="00B82044">
        <w:t xml:space="preserve">Union </w:t>
      </w:r>
      <w:r w:rsidR="00B82044" w:rsidRPr="006C29A5">
        <w:t>Agency</w:t>
      </w:r>
      <w:r w:rsidR="00B82044">
        <w:t xml:space="preserve"> for Railways (ERA)</w:t>
      </w:r>
      <w:r w:rsidR="00B82044" w:rsidRPr="006C29A5">
        <w:t xml:space="preserve"> was also present.</w:t>
      </w:r>
    </w:p>
    <w:p w14:paraId="0581D282" w14:textId="5CECB98B" w:rsidR="00B82044" w:rsidRDefault="00B82044" w:rsidP="00685841">
      <w:pPr>
        <w:pStyle w:val="H1G"/>
      </w:pPr>
      <w:r>
        <w:tab/>
      </w:r>
      <w:r>
        <w:tab/>
      </w:r>
      <w:bookmarkStart w:id="4" w:name="_Hlk149207260"/>
      <w:r>
        <w:t>Presentation of the online reporting on occurrences in France</w:t>
      </w:r>
    </w:p>
    <w:bookmarkEnd w:id="4"/>
    <w:p w14:paraId="60758178" w14:textId="6E2299B4" w:rsidR="00B82044" w:rsidRPr="006C29A5" w:rsidRDefault="006F22CB" w:rsidP="00685841">
      <w:pPr>
        <w:pStyle w:val="SingleTxtG"/>
      </w:pPr>
      <w:r w:rsidRPr="006C29A5">
        <w:t>6.</w:t>
      </w:r>
      <w:r w:rsidRPr="006C29A5">
        <w:tab/>
      </w:r>
      <w:r w:rsidR="00B82044" w:rsidRPr="006C29A5">
        <w:t>The representative of France presented the online reporting on occurrences</w:t>
      </w:r>
      <w:r w:rsidR="00B82044">
        <w:t xml:space="preserve"> </w:t>
      </w:r>
      <w:r w:rsidR="00BA43D0">
        <w:t xml:space="preserve">and announced </w:t>
      </w:r>
      <w:r w:rsidR="00B82044" w:rsidRPr="006C29A5">
        <w:t>that the project is almost finished and will be launched in January</w:t>
      </w:r>
      <w:r w:rsidR="008F5394">
        <w:t xml:space="preserve"> 2024</w:t>
      </w:r>
      <w:r w:rsidR="00B82044" w:rsidRPr="006C29A5">
        <w:t>. This system will allow the online reporting on occurrences by all the participants mentioned in 1.8.5.</w:t>
      </w:r>
    </w:p>
    <w:p w14:paraId="44A79B69" w14:textId="0D3712A4" w:rsidR="00B82044" w:rsidRDefault="00B82044" w:rsidP="00685841">
      <w:pPr>
        <w:pStyle w:val="H1G"/>
      </w:pPr>
      <w:r>
        <w:tab/>
      </w:r>
      <w:r>
        <w:tab/>
        <w:t>Presentation of the ERA CSM ASLP reporting</w:t>
      </w:r>
    </w:p>
    <w:p w14:paraId="6D01DED6" w14:textId="45B89698" w:rsidR="00B82044" w:rsidRPr="006C29A5" w:rsidRDefault="006F22CB" w:rsidP="00685841">
      <w:pPr>
        <w:pStyle w:val="SingleTxtG"/>
      </w:pPr>
      <w:bookmarkStart w:id="5" w:name="_Hlk153180583"/>
      <w:r w:rsidRPr="006C29A5">
        <w:t>7.</w:t>
      </w:r>
      <w:r w:rsidRPr="006C29A5">
        <w:tab/>
      </w:r>
      <w:r w:rsidR="00B82044" w:rsidRPr="006C29A5">
        <w:t xml:space="preserve">The representative of ERA </w:t>
      </w:r>
      <w:r w:rsidR="0092078E">
        <w:t>gave</w:t>
      </w:r>
      <w:r w:rsidR="00B82044" w:rsidRPr="006C29A5">
        <w:t xml:space="preserve"> a presentation of CSM ASLP reporting. </w:t>
      </w:r>
      <w:r w:rsidR="0092078E">
        <w:t>He</w:t>
      </w:r>
      <w:r w:rsidR="00B82044">
        <w:t xml:space="preserve"> reminded that CSM ASLP is there to take care of safety in general (transport of passengers, freight and also dangerous goods).</w:t>
      </w:r>
    </w:p>
    <w:p w14:paraId="7BCEB3D2" w14:textId="754AC445" w:rsidR="00B82044" w:rsidRDefault="00685841" w:rsidP="00685841">
      <w:pPr>
        <w:pStyle w:val="H1G"/>
      </w:pPr>
      <w:bookmarkStart w:id="6" w:name="_Hlk153180523"/>
      <w:bookmarkEnd w:id="5"/>
      <w:r>
        <w:rPr>
          <w:rFonts w:eastAsia="Calibri"/>
          <w:iCs/>
        </w:rPr>
        <w:tab/>
      </w:r>
      <w:r>
        <w:rPr>
          <w:rFonts w:eastAsia="Calibri"/>
          <w:iCs/>
        </w:rPr>
        <w:tab/>
      </w:r>
      <w:r w:rsidR="00B82044" w:rsidRPr="00F85EC3">
        <w:rPr>
          <w:rFonts w:eastAsia="Calibri"/>
          <w:iCs/>
        </w:rPr>
        <w:t>Definition of a revised</w:t>
      </w:r>
      <w:r w:rsidR="00B82044">
        <w:rPr>
          <w:rFonts w:eastAsia="Calibri"/>
          <w:iCs/>
        </w:rPr>
        <w:t xml:space="preserve"> </w:t>
      </w:r>
      <w:r w:rsidR="00B82044" w:rsidRPr="00F85EC3">
        <w:rPr>
          <w:lang w:val="en-US"/>
        </w:rPr>
        <w:t>scope for the accident</w:t>
      </w:r>
      <w:r w:rsidR="00B82044">
        <w:rPr>
          <w:lang w:val="en-US"/>
        </w:rPr>
        <w:t xml:space="preserve"> </w:t>
      </w:r>
      <w:r w:rsidR="00B82044" w:rsidRPr="00F85EC3">
        <w:rPr>
          <w:lang w:val="en-US"/>
        </w:rPr>
        <w:t>reporting and declaration criteria, if necessary</w:t>
      </w:r>
    </w:p>
    <w:p w14:paraId="43D577B3" w14:textId="22562648" w:rsidR="00B82044" w:rsidRDefault="006F22CB" w:rsidP="00685841">
      <w:pPr>
        <w:pStyle w:val="SingleTxtG"/>
      </w:pPr>
      <w:bookmarkStart w:id="7" w:name="_Hlk149213036"/>
      <w:bookmarkEnd w:id="6"/>
      <w:r>
        <w:t>8.</w:t>
      </w:r>
      <w:r>
        <w:tab/>
      </w:r>
      <w:r w:rsidR="00B82044">
        <w:t>The representative of France</w:t>
      </w:r>
      <w:r w:rsidR="004C4EBD">
        <w:t xml:space="preserve">, </w:t>
      </w:r>
      <w:r w:rsidR="00B82044">
        <w:t>chair</w:t>
      </w:r>
      <w:r w:rsidR="004C4EBD">
        <w:t xml:space="preserve">ing </w:t>
      </w:r>
      <w:r w:rsidR="00B82044">
        <w:t xml:space="preserve">the </w:t>
      </w:r>
      <w:r w:rsidR="00EE1DF8">
        <w:t xml:space="preserve">informal </w:t>
      </w:r>
      <w:r w:rsidR="00B82044">
        <w:t>working group</w:t>
      </w:r>
      <w:r w:rsidR="004C4EBD">
        <w:t>,</w:t>
      </w:r>
      <w:r w:rsidR="00B82044">
        <w:t xml:space="preserve"> explained that the criteria described in 1.8.5.3 should be clarified. Indeed, for example, for a carriage under 1.1.3.6 in </w:t>
      </w:r>
      <w:r w:rsidR="005C6CBA">
        <w:t xml:space="preserve">the </w:t>
      </w:r>
      <w:r w:rsidR="00B82044">
        <w:t xml:space="preserve">case of loss of containment there is no reporting to </w:t>
      </w:r>
      <w:r w:rsidR="00314DE9">
        <w:t xml:space="preserve">be </w:t>
      </w:r>
      <w:r w:rsidR="00B82044">
        <w:t>do</w:t>
      </w:r>
      <w:r w:rsidR="00314DE9">
        <w:t>ne</w:t>
      </w:r>
      <w:r w:rsidR="00B82044">
        <w:t xml:space="preserve">, but in </w:t>
      </w:r>
      <w:r w:rsidR="009664A4">
        <w:t xml:space="preserve">the </w:t>
      </w:r>
      <w:r w:rsidR="00B82044">
        <w:t xml:space="preserve">case of </w:t>
      </w:r>
      <w:r w:rsidR="009664A4">
        <w:t xml:space="preserve">an </w:t>
      </w:r>
      <w:r w:rsidR="00B82044">
        <w:t>imminent risk of loss of containment a report should be established even if the quantities carried are under 1.1.3.6. A modification of those criteria could be a benefit to ensure a global risk analysis.</w:t>
      </w:r>
    </w:p>
    <w:p w14:paraId="6F5DE3F8" w14:textId="1E6FF950" w:rsidR="00B82044" w:rsidRDefault="006F22CB" w:rsidP="00685841">
      <w:pPr>
        <w:pStyle w:val="SingleTxtG"/>
      </w:pPr>
      <w:r>
        <w:t>9.</w:t>
      </w:r>
      <w:r>
        <w:tab/>
      </w:r>
      <w:r w:rsidR="00B82044">
        <w:t xml:space="preserve">After discussions, the working group was </w:t>
      </w:r>
      <w:r w:rsidR="008F10E0">
        <w:t>of</w:t>
      </w:r>
      <w:r w:rsidR="00B82044">
        <w:t xml:space="preserve"> the opinion that the notion of imminent risk of loss should be better specified by adding a list of cases.</w:t>
      </w:r>
    </w:p>
    <w:p w14:paraId="7FFF880B" w14:textId="54C471CF" w:rsidR="00B82044" w:rsidRPr="00CE12C0" w:rsidRDefault="006F22CB" w:rsidP="00685841">
      <w:pPr>
        <w:pStyle w:val="SingleTxtG"/>
      </w:pPr>
      <w:r w:rsidRPr="00CE12C0">
        <w:t>10.</w:t>
      </w:r>
      <w:r w:rsidRPr="00CE12C0">
        <w:tab/>
      </w:r>
      <w:r w:rsidR="00B82044" w:rsidRPr="00502088">
        <w:t xml:space="preserve">The </w:t>
      </w:r>
      <w:r w:rsidR="00D565FE">
        <w:t xml:space="preserve">informal </w:t>
      </w:r>
      <w:r w:rsidR="00B82044" w:rsidRPr="00502088">
        <w:t>working group also agreed that some other criteria should be clarified</w:t>
      </w:r>
      <w:r w:rsidR="00B82044">
        <w:t xml:space="preserve"> (such criteria to be clarified are notably related to the definition criteria of injury)</w:t>
      </w:r>
      <w:r w:rsidR="00B82044" w:rsidRPr="00502088">
        <w:t>.</w:t>
      </w:r>
    </w:p>
    <w:p w14:paraId="38A7A836" w14:textId="50586EF2" w:rsidR="00B82044" w:rsidRDefault="00685841" w:rsidP="00685841">
      <w:pPr>
        <w:pStyle w:val="H1G"/>
      </w:pPr>
      <w:bookmarkStart w:id="8" w:name="_Hlk153380170"/>
      <w:r>
        <w:lastRenderedPageBreak/>
        <w:tab/>
      </w:r>
      <w:r>
        <w:tab/>
      </w:r>
      <w:r w:rsidR="00B82044" w:rsidRPr="00685841">
        <w:t>Coordination</w:t>
      </w:r>
      <w:r w:rsidR="00B82044" w:rsidRPr="0034266A">
        <w:rPr>
          <w:lang w:val="en-US"/>
        </w:rPr>
        <w:t xml:space="preserve"> with CSM ASLP reporting</w:t>
      </w:r>
    </w:p>
    <w:bookmarkEnd w:id="8"/>
    <w:p w14:paraId="12ECE168" w14:textId="66A3C961" w:rsidR="00B82044" w:rsidRPr="006C29A5" w:rsidRDefault="006F22CB" w:rsidP="00685841">
      <w:pPr>
        <w:pStyle w:val="SingleTxtG"/>
      </w:pPr>
      <w:r w:rsidRPr="006C29A5">
        <w:t>11.</w:t>
      </w:r>
      <w:r w:rsidRPr="006C29A5">
        <w:tab/>
      </w:r>
      <w:r w:rsidR="00B82044">
        <w:t xml:space="preserve">It was agreed that </w:t>
      </w:r>
      <w:r w:rsidR="00246E16">
        <w:t xml:space="preserve">a </w:t>
      </w:r>
      <w:r w:rsidR="00B82044">
        <w:t xml:space="preserve">CSM ASLP report can be recognized as a part of </w:t>
      </w:r>
      <w:r w:rsidR="000F49BE">
        <w:t xml:space="preserve">an </w:t>
      </w:r>
      <w:r w:rsidR="00B82044">
        <w:t>RID report to avoid duplication of reporting and that there is a need of ensuring that the taxonomy used in the two reports is the same (e.g. definition of an event). To establish the link between the CSM ASLP and the RID report, a note should be included in RID.</w:t>
      </w:r>
    </w:p>
    <w:p w14:paraId="471003D6" w14:textId="75B4CF1B" w:rsidR="00B82044" w:rsidRPr="00C539C1" w:rsidRDefault="00685841" w:rsidP="00685841">
      <w:pPr>
        <w:pStyle w:val="H1G"/>
      </w:pPr>
      <w:bookmarkStart w:id="9" w:name="_Hlk153377866"/>
      <w:bookmarkEnd w:id="7"/>
      <w:r>
        <w:rPr>
          <w:lang w:val="en-US"/>
        </w:rPr>
        <w:tab/>
      </w:r>
      <w:r>
        <w:rPr>
          <w:lang w:val="en-US"/>
        </w:rPr>
        <w:tab/>
      </w:r>
      <w:r w:rsidR="00B82044" w:rsidRPr="00C539C1">
        <w:rPr>
          <w:lang w:val="en-US"/>
        </w:rPr>
        <w:t>Identification of data for short-term and long-term reporting and associated timing</w:t>
      </w:r>
    </w:p>
    <w:bookmarkEnd w:id="9"/>
    <w:p w14:paraId="4C6FF1CC" w14:textId="076F0D57" w:rsidR="00B82044" w:rsidRDefault="006F22CB" w:rsidP="00685841">
      <w:pPr>
        <w:pStyle w:val="SingleTxtG"/>
      </w:pPr>
      <w:r>
        <w:t>12.</w:t>
      </w:r>
      <w:r>
        <w:tab/>
      </w:r>
      <w:r w:rsidR="00B82044">
        <w:t xml:space="preserve">The </w:t>
      </w:r>
      <w:r w:rsidR="004A025C">
        <w:t>C</w:t>
      </w:r>
      <w:r w:rsidR="00B82044">
        <w:t xml:space="preserve">hair of the </w:t>
      </w:r>
      <w:r w:rsidR="00712886">
        <w:t xml:space="preserve">informal </w:t>
      </w:r>
      <w:r w:rsidR="00B82044">
        <w:t xml:space="preserve">working group introduced this item, saying that when an occurrence appears during an operation </w:t>
      </w:r>
      <w:r w:rsidR="00DA2E4A">
        <w:t>of</w:t>
      </w:r>
      <w:r w:rsidR="00B82044">
        <w:t xml:space="preserve"> dangerous goods (carriage, loading, unloading</w:t>
      </w:r>
      <w:r w:rsidR="00120D86">
        <w:t>, etc.</w:t>
      </w:r>
      <w:r w:rsidR="00B82044">
        <w:t>), some elements of the report are available on short-time because they are factual elements. On the contrary, some other elements need more inquiries to be defined. So, as for CSM ALSP, the notion of short-time report and long-time report shall be introduced for the reporting of 1.8.5.</w:t>
      </w:r>
    </w:p>
    <w:p w14:paraId="7D9BFCC4" w14:textId="09866473" w:rsidR="00B82044" w:rsidRDefault="006F22CB" w:rsidP="00685841">
      <w:pPr>
        <w:pStyle w:val="SingleTxtG"/>
      </w:pPr>
      <w:r>
        <w:t>13.</w:t>
      </w:r>
      <w:r>
        <w:tab/>
      </w:r>
      <w:r w:rsidR="00614477">
        <w:t>T</w:t>
      </w:r>
      <w:r w:rsidR="00B82044" w:rsidRPr="000F7130">
        <w:t xml:space="preserve">o align on CSM ASLP for the reporting a nota should be included in the RID clarifying that this part of the short-term report, </w:t>
      </w:r>
      <w:r w:rsidR="0094672E">
        <w:t>which</w:t>
      </w:r>
      <w:r w:rsidR="00B82044" w:rsidRPr="000F7130">
        <w:t xml:space="preserve"> would be in RID, is overlapping with </w:t>
      </w:r>
      <w:r w:rsidR="0057653D">
        <w:t xml:space="preserve">the </w:t>
      </w:r>
      <w:r w:rsidR="00B82044" w:rsidRPr="000F7130">
        <w:t xml:space="preserve">reporting on CSM ASLP and that this part is subject to </w:t>
      </w:r>
      <w:r w:rsidR="0057653D">
        <w:t xml:space="preserve">the </w:t>
      </w:r>
      <w:r w:rsidR="00B82044" w:rsidRPr="000F7130">
        <w:t xml:space="preserve">declaration </w:t>
      </w:r>
      <w:r w:rsidR="0057653D">
        <w:t>with</w:t>
      </w:r>
      <w:r w:rsidR="00B82044" w:rsidRPr="000F7130">
        <w:t>in 72 hours under CSM ASLP.</w:t>
      </w:r>
    </w:p>
    <w:p w14:paraId="643CED5A" w14:textId="424DE58E" w:rsidR="00B82044" w:rsidRPr="000F7130" w:rsidRDefault="006F22CB" w:rsidP="00685841">
      <w:pPr>
        <w:pStyle w:val="SingleTxtG"/>
      </w:pPr>
      <w:r w:rsidRPr="000F7130">
        <w:t>14.</w:t>
      </w:r>
      <w:r w:rsidRPr="000F7130">
        <w:tab/>
      </w:r>
      <w:r w:rsidR="00B82044" w:rsidRPr="000F7130">
        <w:t xml:space="preserve">The </w:t>
      </w:r>
      <w:r w:rsidR="00712886">
        <w:t xml:space="preserve">informal </w:t>
      </w:r>
      <w:r w:rsidR="00B82044" w:rsidRPr="000F7130">
        <w:t>working group considered that the following items should be included in the short-term report:</w:t>
      </w:r>
    </w:p>
    <w:p w14:paraId="106A832B" w14:textId="2AC616B8" w:rsidR="00B82044" w:rsidRDefault="00980588" w:rsidP="00980588">
      <w:pPr>
        <w:pStyle w:val="SingleTxtG"/>
      </w:pPr>
      <w:r>
        <w:tab/>
      </w:r>
      <w:r w:rsidR="00A43EDE">
        <w:t>(a)</w:t>
      </w:r>
      <w:r>
        <w:tab/>
      </w:r>
      <w:r w:rsidR="00B82044">
        <w:t>general information (name of the company, type of activity</w:t>
      </w:r>
      <w:r w:rsidR="004A054F">
        <w:t xml:space="preserve"> </w:t>
      </w:r>
      <w:r w:rsidR="00B82044">
        <w:t>…)</w:t>
      </w:r>
      <w:r w:rsidR="00025210">
        <w:t>;</w:t>
      </w:r>
    </w:p>
    <w:p w14:paraId="6136CA8E" w14:textId="792F5BD0" w:rsidR="00B82044" w:rsidRDefault="00025210" w:rsidP="00025210">
      <w:pPr>
        <w:pStyle w:val="SingleTxtG"/>
      </w:pPr>
      <w:r>
        <w:tab/>
      </w:r>
      <w:r w:rsidR="00A43EDE">
        <w:t>(b)</w:t>
      </w:r>
      <w:r>
        <w:tab/>
      </w:r>
      <w:r w:rsidR="00B82044">
        <w:t>date and location of occurrence</w:t>
      </w:r>
      <w:r>
        <w:t>;</w:t>
      </w:r>
    </w:p>
    <w:p w14:paraId="0E05A3CC" w14:textId="32E1F904" w:rsidR="00B82044" w:rsidRDefault="00025210" w:rsidP="00025210">
      <w:pPr>
        <w:pStyle w:val="SingleTxtG"/>
      </w:pPr>
      <w:r>
        <w:tab/>
      </w:r>
      <w:r w:rsidR="00A43EDE">
        <w:t>(c)</w:t>
      </w:r>
      <w:r>
        <w:tab/>
      </w:r>
      <w:r w:rsidR="00B82044">
        <w:t>nature of operation performed at the time of the occurrence</w:t>
      </w:r>
      <w:r>
        <w:t>;</w:t>
      </w:r>
    </w:p>
    <w:p w14:paraId="09698668" w14:textId="56BFEC9B" w:rsidR="00B82044" w:rsidRDefault="00025210" w:rsidP="00025210">
      <w:pPr>
        <w:pStyle w:val="SingleTxtG"/>
      </w:pPr>
      <w:r>
        <w:tab/>
      </w:r>
      <w:r w:rsidR="00A43EDE">
        <w:t>(d)</w:t>
      </w:r>
      <w:r>
        <w:tab/>
      </w:r>
      <w:r w:rsidR="00B82044">
        <w:t>the context of the occurrence (including type of railway event)</w:t>
      </w:r>
      <w:r>
        <w:t>;</w:t>
      </w:r>
    </w:p>
    <w:p w14:paraId="3055E739" w14:textId="2C3598AB" w:rsidR="00B82044" w:rsidRDefault="00025210" w:rsidP="00025210">
      <w:pPr>
        <w:pStyle w:val="SingleTxtG"/>
      </w:pPr>
      <w:r>
        <w:tab/>
      </w:r>
      <w:r w:rsidR="00A43EDE">
        <w:t>(e)</w:t>
      </w:r>
      <w:r>
        <w:tab/>
      </w:r>
      <w:r w:rsidR="00B82044">
        <w:t>the description of the infrastructure (description of the road)</w:t>
      </w:r>
      <w:r>
        <w:t>;</w:t>
      </w:r>
    </w:p>
    <w:p w14:paraId="6A944C52" w14:textId="53AD1AE7" w:rsidR="00B82044" w:rsidRDefault="00025210" w:rsidP="00025210">
      <w:pPr>
        <w:pStyle w:val="SingleTxtG"/>
      </w:pPr>
      <w:r>
        <w:tab/>
      </w:r>
      <w:r w:rsidR="00A43EDE">
        <w:t>(f)</w:t>
      </w:r>
      <w:r>
        <w:tab/>
      </w:r>
      <w:r w:rsidR="00B82044">
        <w:t>involvement of authorities</w:t>
      </w:r>
      <w:r>
        <w:t>;</w:t>
      </w:r>
    </w:p>
    <w:p w14:paraId="5640E517" w14:textId="024A2468" w:rsidR="00B82044" w:rsidRDefault="00025210" w:rsidP="00025210">
      <w:pPr>
        <w:pStyle w:val="SingleTxtG"/>
      </w:pPr>
      <w:r>
        <w:tab/>
      </w:r>
      <w:r w:rsidR="00A43EDE">
        <w:t>(g)</w:t>
      </w:r>
      <w:r>
        <w:tab/>
      </w:r>
      <w:r w:rsidR="00B82044">
        <w:t>loss of containment</w:t>
      </w:r>
      <w:r>
        <w:t>;</w:t>
      </w:r>
    </w:p>
    <w:p w14:paraId="12A19480" w14:textId="06A4BEA8" w:rsidR="00B82044" w:rsidRDefault="00025210" w:rsidP="00025210">
      <w:pPr>
        <w:pStyle w:val="SingleTxtG"/>
      </w:pPr>
      <w:r>
        <w:tab/>
      </w:r>
      <w:r w:rsidR="00A43EDE">
        <w:t>(h)</w:t>
      </w:r>
      <w:r>
        <w:tab/>
      </w:r>
      <w:r w:rsidR="0084710B">
        <w:t>i</w:t>
      </w:r>
      <w:r w:rsidR="00B82044">
        <w:t>njured people</w:t>
      </w:r>
      <w:r>
        <w:t>;</w:t>
      </w:r>
    </w:p>
    <w:p w14:paraId="09E66722" w14:textId="72BC8FD7" w:rsidR="00B82044" w:rsidRDefault="00025210" w:rsidP="00025210">
      <w:pPr>
        <w:pStyle w:val="SingleTxtG"/>
      </w:pPr>
      <w:r>
        <w:tab/>
      </w:r>
      <w:r w:rsidR="00A43EDE">
        <w:t>(i)</w:t>
      </w:r>
      <w:r>
        <w:tab/>
      </w:r>
      <w:r w:rsidR="00B82044">
        <w:t>number of transport units involved.</w:t>
      </w:r>
    </w:p>
    <w:p w14:paraId="670F2CA3" w14:textId="0A97F380" w:rsidR="00B82044" w:rsidRDefault="006F22CB" w:rsidP="00685841">
      <w:pPr>
        <w:pStyle w:val="SingleTxtG"/>
      </w:pPr>
      <w:bookmarkStart w:id="10" w:name="_Hlk153377938"/>
      <w:bookmarkStart w:id="11" w:name="_Hlk153380212"/>
      <w:bookmarkStart w:id="12" w:name="_Hlk153377959"/>
      <w:r>
        <w:t>15.</w:t>
      </w:r>
      <w:r>
        <w:tab/>
      </w:r>
      <w:r w:rsidR="00B82044">
        <w:t xml:space="preserve">It was agreed by the </w:t>
      </w:r>
      <w:r w:rsidR="004A054F">
        <w:t xml:space="preserve">informal </w:t>
      </w:r>
      <w:r w:rsidR="00B82044">
        <w:t>working group that the short-term report should be a notification to the competent authority tha</w:t>
      </w:r>
      <w:r w:rsidR="00F1447E">
        <w:t>t</w:t>
      </w:r>
      <w:r w:rsidR="00B82044">
        <w:t xml:space="preserve"> an event occurred and that </w:t>
      </w:r>
      <w:r w:rsidR="008839BC">
        <w:t>the notification</w:t>
      </w:r>
      <w:r w:rsidR="00B82044">
        <w:t xml:space="preserve"> should contain the minimum information. A discussion took place on who would be responsible for sending the report amongst the participants </w:t>
      </w:r>
      <w:r w:rsidR="00CD75FF">
        <w:t>in</w:t>
      </w:r>
      <w:r w:rsidR="00B82044">
        <w:t xml:space="preserve"> the transport chain. Some experts felt that the current text was not so clear and that some clarification that any participant </w:t>
      </w:r>
      <w:r w:rsidR="0080593A">
        <w:t>in</w:t>
      </w:r>
      <w:r w:rsidR="00B82044">
        <w:t xml:space="preserve"> the transport </w:t>
      </w:r>
      <w:r w:rsidR="0080593A">
        <w:t xml:space="preserve">chain </w:t>
      </w:r>
      <w:r w:rsidR="00B82044">
        <w:t>should sent its own repor</w:t>
      </w:r>
      <w:bookmarkEnd w:id="10"/>
      <w:r w:rsidR="00B82044">
        <w:t>t. This would be useful because each participant may have some information that the others do not know.</w:t>
      </w:r>
    </w:p>
    <w:bookmarkEnd w:id="11"/>
    <w:p w14:paraId="4C304646" w14:textId="59E4D8B8" w:rsidR="00B82044" w:rsidRDefault="00685841" w:rsidP="00685841">
      <w:pPr>
        <w:pStyle w:val="H1G"/>
      </w:pPr>
      <w:r>
        <w:tab/>
      </w:r>
      <w:r>
        <w:tab/>
      </w:r>
      <w:r w:rsidR="00B82044">
        <w:t>Anonymity issue (IT tool)</w:t>
      </w:r>
    </w:p>
    <w:p w14:paraId="7304DC32" w14:textId="58D9826C" w:rsidR="00B82044" w:rsidRDefault="006F22CB" w:rsidP="00685841">
      <w:pPr>
        <w:pStyle w:val="SingleTxtG"/>
      </w:pPr>
      <w:r>
        <w:t>16.</w:t>
      </w:r>
      <w:r>
        <w:tab/>
      </w:r>
      <w:r w:rsidR="00B82044">
        <w:t xml:space="preserve">ERA confirmed that the </w:t>
      </w:r>
      <w:r w:rsidR="00456E47">
        <w:t>i</w:t>
      </w:r>
      <w:r w:rsidR="00B82044">
        <w:t xml:space="preserve">nformation </w:t>
      </w:r>
      <w:r w:rsidR="00456E47">
        <w:t>s</w:t>
      </w:r>
      <w:r w:rsidR="00B82044">
        <w:t xml:space="preserve">haring </w:t>
      </w:r>
      <w:r w:rsidR="00456E47">
        <w:t>s</w:t>
      </w:r>
      <w:r w:rsidR="00B82044">
        <w:t>ystem to be developed in accordance with the CSM ASLP will be compliant with the protection of data including anonymity issues.</w:t>
      </w:r>
    </w:p>
    <w:p w14:paraId="01DCF399" w14:textId="40826C62" w:rsidR="00B82044" w:rsidRDefault="006F22CB" w:rsidP="00685841">
      <w:pPr>
        <w:pStyle w:val="SingleTxtG"/>
      </w:pPr>
      <w:r>
        <w:t>17.</w:t>
      </w:r>
      <w:r>
        <w:tab/>
      </w:r>
      <w:r w:rsidR="00B82044">
        <w:t xml:space="preserve">The working group was in the opinion that an IT tool would facilitate the reporting. The way to introduce such a tool should be examined by the </w:t>
      </w:r>
      <w:r w:rsidR="00685645">
        <w:t>J</w:t>
      </w:r>
      <w:r w:rsidR="00B82044">
        <w:t xml:space="preserve">oint </w:t>
      </w:r>
      <w:r w:rsidR="00685645">
        <w:t>M</w:t>
      </w:r>
      <w:r w:rsidR="00B82044">
        <w:t xml:space="preserve">eeting. The </w:t>
      </w:r>
      <w:r w:rsidR="00D75411">
        <w:t>Inland Transport Committee (</w:t>
      </w:r>
      <w:r w:rsidR="00B82044">
        <w:t>ITC</w:t>
      </w:r>
      <w:r w:rsidR="00D75411">
        <w:t>)</w:t>
      </w:r>
      <w:r w:rsidR="00B82044">
        <w:t xml:space="preserve"> could probably promote this idea in including this topic in the program of work (ITC strategy: support the new technologies and innovations).</w:t>
      </w:r>
    </w:p>
    <w:bookmarkEnd w:id="12"/>
    <w:p w14:paraId="1479DBFF" w14:textId="09D816E3" w:rsidR="00B82044" w:rsidRDefault="00685841" w:rsidP="00685841">
      <w:pPr>
        <w:pStyle w:val="H1G"/>
        <w:rPr>
          <w:rFonts w:eastAsia="Calibri"/>
        </w:rPr>
      </w:pPr>
      <w:r>
        <w:rPr>
          <w:rFonts w:eastAsia="Calibri"/>
        </w:rPr>
        <w:lastRenderedPageBreak/>
        <w:tab/>
      </w:r>
      <w:r>
        <w:rPr>
          <w:rFonts w:eastAsia="Calibri"/>
        </w:rPr>
        <w:tab/>
      </w:r>
      <w:r w:rsidR="00B82044">
        <w:rPr>
          <w:rFonts w:eastAsia="Calibri"/>
        </w:rPr>
        <w:t>Conclusion of the meeting</w:t>
      </w:r>
    </w:p>
    <w:p w14:paraId="21F98DF2" w14:textId="73E12D74" w:rsidR="00B82044" w:rsidRDefault="006F22CB" w:rsidP="00685841">
      <w:pPr>
        <w:pStyle w:val="SingleTxtG"/>
      </w:pPr>
      <w:r>
        <w:t>18.</w:t>
      </w:r>
      <w:r>
        <w:tab/>
      </w:r>
      <w:r w:rsidR="00B82044">
        <w:t xml:space="preserve">It was felt that the discussion </w:t>
      </w:r>
      <w:r w:rsidR="009B0F85">
        <w:t>on</w:t>
      </w:r>
      <w:r w:rsidR="00B82044">
        <w:t xml:space="preserve"> </w:t>
      </w:r>
      <w:r w:rsidR="009B0F85">
        <w:t xml:space="preserve">the </w:t>
      </w:r>
      <w:r w:rsidR="00B82044">
        <w:t>modifications in 1.8.5.1 and 1.8.5.2 to introduce a long</w:t>
      </w:r>
      <w:r w:rsidR="009B0F85">
        <w:t>-</w:t>
      </w:r>
      <w:r w:rsidR="00B82044">
        <w:t>term and short</w:t>
      </w:r>
      <w:r w:rsidR="009B0F85">
        <w:t>-</w:t>
      </w:r>
      <w:r w:rsidR="00B82044">
        <w:t>term report, as well as the design of the report itself in 1.8.5.4 were well advanced and could be subject to a proposal for amendments to RID</w:t>
      </w:r>
      <w:r w:rsidR="00BE2A37">
        <w:t>/</w:t>
      </w:r>
      <w:r w:rsidR="00B82044">
        <w:t>ADR</w:t>
      </w:r>
      <w:r w:rsidR="00BE2A37">
        <w:t>/</w:t>
      </w:r>
      <w:r w:rsidR="00B82044">
        <w:t xml:space="preserve">ADN at the next session of the </w:t>
      </w:r>
      <w:r w:rsidR="004F1453">
        <w:t>J</w:t>
      </w:r>
      <w:r w:rsidR="00B82044">
        <w:t>oint Meeting. France volunteered to draft a</w:t>
      </w:r>
      <w:r w:rsidR="00D7737F">
        <w:t>n</w:t>
      </w:r>
      <w:r w:rsidR="00B82044">
        <w:t xml:space="preserve"> </w:t>
      </w:r>
      <w:r w:rsidR="00D7737F">
        <w:t>official</w:t>
      </w:r>
      <w:r w:rsidR="00B82044">
        <w:t xml:space="preserve"> document to be sent in due time to cover these points</w:t>
      </w:r>
      <w:r w:rsidR="00305305">
        <w:t>.</w:t>
      </w:r>
    </w:p>
    <w:p w14:paraId="70483E3D" w14:textId="2EB25BE6" w:rsidR="003734D6" w:rsidRDefault="00D75411" w:rsidP="00505A8F">
      <w:pPr>
        <w:pStyle w:val="SingleTxtG"/>
      </w:pPr>
      <w:r>
        <w:t>19.</w:t>
      </w:r>
      <w:r>
        <w:tab/>
      </w:r>
      <w:r w:rsidR="000D51EC">
        <w:t>On</w:t>
      </w:r>
      <w:r w:rsidR="00B82044">
        <w:t xml:space="preserve"> the declaration criteria in 1.8.5.3</w:t>
      </w:r>
      <w:r w:rsidR="00E7430A">
        <w:t xml:space="preserve"> i</w:t>
      </w:r>
      <w:r w:rsidR="00B82044">
        <w:t xml:space="preserve">t was felt that the discussions in the </w:t>
      </w:r>
      <w:r w:rsidR="00981169">
        <w:t xml:space="preserve">informal </w:t>
      </w:r>
      <w:r w:rsidR="00B82044">
        <w:t>working group could not yet lead to draft a precise proposal with an amended text of 1.8.5.3. However</w:t>
      </w:r>
      <w:r w:rsidR="00F81F4F">
        <w:t>,</w:t>
      </w:r>
      <w:r w:rsidR="00B82044">
        <w:t xml:space="preserve"> France volunteered to present </w:t>
      </w:r>
      <w:r w:rsidR="00591A38">
        <w:t xml:space="preserve">in a separate document </w:t>
      </w:r>
      <w:r w:rsidR="00B82044">
        <w:t xml:space="preserve">some </w:t>
      </w:r>
      <w:r w:rsidR="00BE2947">
        <w:t>ideas to</w:t>
      </w:r>
      <w:r w:rsidR="00B82044">
        <w:t xml:space="preserve"> start </w:t>
      </w:r>
      <w:r w:rsidR="005B339E">
        <w:t xml:space="preserve">the </w:t>
      </w:r>
      <w:r w:rsidR="00B82044">
        <w:t>analysis.</w:t>
      </w:r>
    </w:p>
    <w:p w14:paraId="40B497DE" w14:textId="6B32E734" w:rsidR="00B82044" w:rsidRPr="00B82044" w:rsidRDefault="00B82044" w:rsidP="00B82044">
      <w:pPr>
        <w:spacing w:before="240"/>
        <w:jc w:val="center"/>
        <w:rPr>
          <w:u w:val="single"/>
        </w:rPr>
      </w:pPr>
      <w:r>
        <w:rPr>
          <w:u w:val="single"/>
        </w:rPr>
        <w:tab/>
      </w:r>
      <w:r>
        <w:rPr>
          <w:u w:val="single"/>
        </w:rPr>
        <w:tab/>
      </w:r>
      <w:r>
        <w:rPr>
          <w:u w:val="single"/>
        </w:rPr>
        <w:tab/>
      </w:r>
    </w:p>
    <w:sectPr w:rsidR="00B82044" w:rsidRPr="00B82044" w:rsidSect="00871927">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F93C" w14:textId="77777777" w:rsidR="00BF4003" w:rsidRDefault="00BF4003"/>
  </w:endnote>
  <w:endnote w:type="continuationSeparator" w:id="0">
    <w:p w14:paraId="6C4BCF72" w14:textId="77777777" w:rsidR="00BF4003" w:rsidRDefault="00BF4003"/>
  </w:endnote>
  <w:endnote w:type="continuationNotice" w:id="1">
    <w:p w14:paraId="5CED42B1" w14:textId="77777777" w:rsidR="00BF4003" w:rsidRDefault="00BF4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84B0" w14:textId="1D3759A6" w:rsidR="00871927" w:rsidRPr="00871927" w:rsidRDefault="00871927" w:rsidP="00871927">
    <w:pPr>
      <w:pStyle w:val="Footer"/>
      <w:tabs>
        <w:tab w:val="right" w:pos="9638"/>
      </w:tabs>
      <w:rPr>
        <w:sz w:val="18"/>
      </w:rPr>
    </w:pPr>
    <w:r w:rsidRPr="00871927">
      <w:rPr>
        <w:b/>
        <w:sz w:val="18"/>
      </w:rPr>
      <w:fldChar w:fldCharType="begin"/>
    </w:r>
    <w:r w:rsidRPr="00871927">
      <w:rPr>
        <w:b/>
        <w:sz w:val="18"/>
      </w:rPr>
      <w:instrText xml:space="preserve"> PAGE  \* MERGEFORMAT </w:instrText>
    </w:r>
    <w:r w:rsidRPr="00871927">
      <w:rPr>
        <w:b/>
        <w:sz w:val="18"/>
      </w:rPr>
      <w:fldChar w:fldCharType="separate"/>
    </w:r>
    <w:r w:rsidRPr="00871927">
      <w:rPr>
        <w:b/>
        <w:noProof/>
        <w:sz w:val="18"/>
      </w:rPr>
      <w:t>2</w:t>
    </w:r>
    <w:r w:rsidRPr="008719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4B6A" w14:textId="6C823A8D" w:rsidR="00871927" w:rsidRPr="00871927" w:rsidRDefault="00871927" w:rsidP="00871927">
    <w:pPr>
      <w:pStyle w:val="Footer"/>
      <w:tabs>
        <w:tab w:val="right" w:pos="9638"/>
      </w:tabs>
      <w:rPr>
        <w:b/>
        <w:sz w:val="18"/>
      </w:rPr>
    </w:pPr>
    <w:r>
      <w:tab/>
    </w:r>
    <w:r w:rsidRPr="00871927">
      <w:rPr>
        <w:b/>
        <w:sz w:val="18"/>
      </w:rPr>
      <w:fldChar w:fldCharType="begin"/>
    </w:r>
    <w:r w:rsidRPr="00871927">
      <w:rPr>
        <w:b/>
        <w:sz w:val="18"/>
      </w:rPr>
      <w:instrText xml:space="preserve"> PAGE  \* MERGEFORMAT </w:instrText>
    </w:r>
    <w:r w:rsidRPr="00871927">
      <w:rPr>
        <w:b/>
        <w:sz w:val="18"/>
      </w:rPr>
      <w:fldChar w:fldCharType="separate"/>
    </w:r>
    <w:r w:rsidRPr="00871927">
      <w:rPr>
        <w:b/>
        <w:noProof/>
        <w:sz w:val="18"/>
      </w:rPr>
      <w:t>3</w:t>
    </w:r>
    <w:r w:rsidRPr="008719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1655" w14:textId="04E09B22" w:rsidR="00EC3D0C" w:rsidRDefault="00EC3D0C" w:rsidP="00EC3D0C">
    <w:pPr>
      <w:pStyle w:val="Footer"/>
    </w:pPr>
    <w:r w:rsidRPr="0027112F">
      <w:rPr>
        <w:noProof/>
        <w:lang w:val="en-US"/>
      </w:rPr>
      <w:drawing>
        <wp:anchor distT="0" distB="0" distL="114300" distR="114300" simplePos="0" relativeHeight="251659264" behindDoc="0" locked="1" layoutInCell="1" allowOverlap="1" wp14:anchorId="37AC1DC0" wp14:editId="60FE23A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DB99A5" w14:textId="44CCC1EE" w:rsidR="00EC3D0C" w:rsidRPr="00EC3D0C" w:rsidRDefault="00EC3D0C" w:rsidP="00EC3D0C">
    <w:pPr>
      <w:pStyle w:val="Footer"/>
      <w:ind w:right="1134"/>
      <w:rPr>
        <w:sz w:val="20"/>
      </w:rPr>
    </w:pPr>
    <w:r>
      <w:rPr>
        <w:sz w:val="20"/>
      </w:rPr>
      <w:t>GE.23-26072(E)</w:t>
    </w:r>
    <w:r>
      <w:rPr>
        <w:noProof/>
        <w:sz w:val="20"/>
      </w:rPr>
      <w:drawing>
        <wp:anchor distT="0" distB="0" distL="114300" distR="114300" simplePos="0" relativeHeight="251660288" behindDoc="0" locked="0" layoutInCell="1" allowOverlap="1" wp14:anchorId="0E3B73AD" wp14:editId="25B45B1A">
          <wp:simplePos x="0" y="0"/>
          <wp:positionH relativeFrom="margin">
            <wp:posOffset>5615940</wp:posOffset>
          </wp:positionH>
          <wp:positionV relativeFrom="margin">
            <wp:posOffset>8905875</wp:posOffset>
          </wp:positionV>
          <wp:extent cx="638175" cy="638175"/>
          <wp:effectExtent l="0" t="0" r="9525" b="9525"/>
          <wp:wrapNone/>
          <wp:docPr id="242170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BB7E" w14:textId="77777777" w:rsidR="00BF4003" w:rsidRPr="000B175B" w:rsidRDefault="00BF4003" w:rsidP="000B175B">
      <w:pPr>
        <w:tabs>
          <w:tab w:val="right" w:pos="2155"/>
        </w:tabs>
        <w:spacing w:after="80"/>
        <w:ind w:left="680"/>
        <w:rPr>
          <w:u w:val="single"/>
        </w:rPr>
      </w:pPr>
      <w:r>
        <w:rPr>
          <w:u w:val="single"/>
        </w:rPr>
        <w:tab/>
      </w:r>
    </w:p>
  </w:footnote>
  <w:footnote w:type="continuationSeparator" w:id="0">
    <w:p w14:paraId="69D82858" w14:textId="77777777" w:rsidR="00BF4003" w:rsidRPr="00FC68B7" w:rsidRDefault="00BF4003" w:rsidP="00FC68B7">
      <w:pPr>
        <w:tabs>
          <w:tab w:val="left" w:pos="2155"/>
        </w:tabs>
        <w:spacing w:after="80"/>
        <w:ind w:left="680"/>
        <w:rPr>
          <w:u w:val="single"/>
        </w:rPr>
      </w:pPr>
      <w:r>
        <w:rPr>
          <w:u w:val="single"/>
        </w:rPr>
        <w:tab/>
      </w:r>
    </w:p>
  </w:footnote>
  <w:footnote w:type="continuationNotice" w:id="1">
    <w:p w14:paraId="5ACBD1A3" w14:textId="77777777" w:rsidR="00BF4003" w:rsidRDefault="00BF4003"/>
  </w:footnote>
  <w:footnote w:id="2">
    <w:p w14:paraId="40872C92" w14:textId="60CCBC62" w:rsidR="00032120" w:rsidRPr="00032120" w:rsidRDefault="00032120">
      <w:pPr>
        <w:pStyle w:val="FootnoteText"/>
        <w:rPr>
          <w:lang w:val="fr-CH"/>
        </w:rPr>
      </w:pPr>
      <w:r>
        <w:rPr>
          <w:rStyle w:val="FootnoteReference"/>
        </w:rPr>
        <w:tab/>
      </w:r>
      <w:r w:rsidRPr="001E6946">
        <w:rPr>
          <w:rStyle w:val="FootnoteReference"/>
          <w:b/>
        </w:rPr>
        <w:t>*</w:t>
      </w:r>
      <w:r>
        <w:rPr>
          <w:rStyle w:val="FootnoteReference"/>
          <w:sz w:val="20"/>
          <w:vertAlign w:val="baseline"/>
        </w:rPr>
        <w:tab/>
      </w:r>
      <w:r w:rsidR="0021740A">
        <w:rPr>
          <w:sz w:val="20"/>
        </w:rPr>
        <w:t xml:space="preserve"> </w:t>
      </w:r>
      <w:r w:rsidR="0021740A" w:rsidRPr="00513E18">
        <w:rPr>
          <w:szCs w:val="18"/>
        </w:rPr>
        <w:t>A/78/6 (Sect.20), table 20.5.</w:t>
      </w:r>
    </w:p>
  </w:footnote>
  <w:footnote w:id="3">
    <w:p w14:paraId="4AD33979" w14:textId="298FD0A8" w:rsidR="00E244BE" w:rsidRPr="00E244BE" w:rsidRDefault="00E244BE">
      <w:pPr>
        <w:pStyle w:val="FootnoteText"/>
        <w:rPr>
          <w:lang w:val="fr-CH"/>
        </w:rPr>
      </w:pPr>
      <w:r>
        <w:rPr>
          <w:rStyle w:val="FootnoteReference"/>
        </w:rPr>
        <w:tab/>
      </w:r>
      <w:r w:rsidRPr="001E6946">
        <w:rPr>
          <w:rStyle w:val="FootnoteReference"/>
          <w:b/>
        </w:rPr>
        <w:t>**</w:t>
      </w:r>
      <w:r>
        <w:rPr>
          <w:rStyle w:val="FootnoteReference"/>
          <w:sz w:val="20"/>
          <w:vertAlign w:val="baseline"/>
        </w:rPr>
        <w:tab/>
      </w:r>
      <w:r>
        <w:t xml:space="preserve"> </w:t>
      </w:r>
      <w:r w:rsidRPr="00513E18">
        <w:rPr>
          <w:szCs w:val="18"/>
        </w:rPr>
        <w:t>Circulated by the Intergovernmental Organisation for International Carriage by Rail (OTIF) under the symbol OTIF/RID/RC/2024/1</w:t>
      </w:r>
      <w:r>
        <w:rPr>
          <w:szCs w:val="18"/>
        </w:rPr>
        <w:t>5</w:t>
      </w:r>
      <w:r w:rsidRPr="00513E1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53D" w14:textId="50CECFC6" w:rsidR="00871927" w:rsidRPr="00212D71" w:rsidRDefault="00EC3D0C">
    <w:pPr>
      <w:pStyle w:val="Header"/>
      <w:rPr>
        <w:lang w:val="fr-CH"/>
      </w:rPr>
    </w:pPr>
    <w:r>
      <w:fldChar w:fldCharType="begin"/>
    </w:r>
    <w:r>
      <w:instrText xml:space="preserve"> TITLE  \* MERGEFORMAT </w:instrText>
    </w:r>
    <w:r>
      <w:fldChar w:fldCharType="separate"/>
    </w:r>
    <w:r w:rsidR="00871927">
      <w:t>ECE/TRANS/WP.15/AC.1/2024/1</w:t>
    </w:r>
    <w:r w:rsidR="00212D71">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BA58" w14:textId="6C844EDC" w:rsidR="00871927" w:rsidRPr="00871927" w:rsidRDefault="00EC3D0C" w:rsidP="00871927">
    <w:pPr>
      <w:pStyle w:val="Header"/>
      <w:jc w:val="right"/>
    </w:pPr>
    <w:r>
      <w:fldChar w:fldCharType="begin"/>
    </w:r>
    <w:r>
      <w:instrText xml:space="preserve"> TITLE  \* MERGEFORMAT </w:instrText>
    </w:r>
    <w:r>
      <w:fldChar w:fldCharType="separate"/>
    </w:r>
    <w:r w:rsidR="00871927">
      <w:t>ECE/TRANS/WP.15/AC.1/2024/1</w:t>
    </w:r>
    <w:r w:rsidR="00FD7D28">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C37F9"/>
    <w:multiLevelType w:val="hybridMultilevel"/>
    <w:tmpl w:val="71B6E040"/>
    <w:lvl w:ilvl="0" w:tplc="35CAE3D2">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A31570"/>
    <w:multiLevelType w:val="hybridMultilevel"/>
    <w:tmpl w:val="7B34EF52"/>
    <w:lvl w:ilvl="0" w:tplc="B0A66378">
      <w:start w:val="5"/>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56DEE"/>
    <w:multiLevelType w:val="hybridMultilevel"/>
    <w:tmpl w:val="0C5ECA58"/>
    <w:lvl w:ilvl="0" w:tplc="13D6812C">
      <w:start w:val="1"/>
      <w:numFmt w:val="decimal"/>
      <w:lvlText w:val="%1."/>
      <w:lvlJc w:val="left"/>
      <w:pPr>
        <w:ind w:left="1847" w:hanging="570"/>
      </w:pPr>
      <w:rPr>
        <w:rFonts w:hint="default"/>
      </w:rPr>
    </w:lvl>
    <w:lvl w:ilvl="1" w:tplc="040C0019" w:tentative="1">
      <w:start w:val="1"/>
      <w:numFmt w:val="lowerLetter"/>
      <w:lvlText w:val="%2."/>
      <w:lvlJc w:val="left"/>
      <w:pPr>
        <w:ind w:left="2769" w:hanging="360"/>
      </w:pPr>
    </w:lvl>
    <w:lvl w:ilvl="2" w:tplc="040C001B" w:tentative="1">
      <w:start w:val="1"/>
      <w:numFmt w:val="lowerRoman"/>
      <w:lvlText w:val="%3."/>
      <w:lvlJc w:val="right"/>
      <w:pPr>
        <w:ind w:left="3489" w:hanging="180"/>
      </w:pPr>
    </w:lvl>
    <w:lvl w:ilvl="3" w:tplc="040C000F" w:tentative="1">
      <w:start w:val="1"/>
      <w:numFmt w:val="decimal"/>
      <w:lvlText w:val="%4."/>
      <w:lvlJc w:val="left"/>
      <w:pPr>
        <w:ind w:left="4209" w:hanging="360"/>
      </w:pPr>
    </w:lvl>
    <w:lvl w:ilvl="4" w:tplc="040C0019" w:tentative="1">
      <w:start w:val="1"/>
      <w:numFmt w:val="lowerLetter"/>
      <w:lvlText w:val="%5."/>
      <w:lvlJc w:val="left"/>
      <w:pPr>
        <w:ind w:left="4929" w:hanging="360"/>
      </w:pPr>
    </w:lvl>
    <w:lvl w:ilvl="5" w:tplc="040C001B" w:tentative="1">
      <w:start w:val="1"/>
      <w:numFmt w:val="lowerRoman"/>
      <w:lvlText w:val="%6."/>
      <w:lvlJc w:val="right"/>
      <w:pPr>
        <w:ind w:left="5649" w:hanging="180"/>
      </w:pPr>
    </w:lvl>
    <w:lvl w:ilvl="6" w:tplc="040C000F" w:tentative="1">
      <w:start w:val="1"/>
      <w:numFmt w:val="decimal"/>
      <w:lvlText w:val="%7."/>
      <w:lvlJc w:val="left"/>
      <w:pPr>
        <w:ind w:left="6369" w:hanging="360"/>
      </w:pPr>
    </w:lvl>
    <w:lvl w:ilvl="7" w:tplc="040C0019" w:tentative="1">
      <w:start w:val="1"/>
      <w:numFmt w:val="lowerLetter"/>
      <w:lvlText w:val="%8."/>
      <w:lvlJc w:val="left"/>
      <w:pPr>
        <w:ind w:left="7089" w:hanging="360"/>
      </w:pPr>
    </w:lvl>
    <w:lvl w:ilvl="8" w:tplc="040C001B" w:tentative="1">
      <w:start w:val="1"/>
      <w:numFmt w:val="lowerRoman"/>
      <w:lvlText w:val="%9."/>
      <w:lvlJc w:val="right"/>
      <w:pPr>
        <w:ind w:left="7809"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82B3E"/>
    <w:multiLevelType w:val="hybridMultilevel"/>
    <w:tmpl w:val="E75A0440"/>
    <w:lvl w:ilvl="0" w:tplc="2B70D37C">
      <w:start w:val="1"/>
      <w:numFmt w:val="upperRoman"/>
      <w:lvlText w:val="%1."/>
      <w:lvlJc w:val="left"/>
      <w:pPr>
        <w:ind w:left="1850" w:hanging="720"/>
      </w:pPr>
      <w:rPr>
        <w:rFonts w:hint="default"/>
      </w:rPr>
    </w:lvl>
    <w:lvl w:ilvl="1" w:tplc="100C0019" w:tentative="1">
      <w:start w:val="1"/>
      <w:numFmt w:val="lowerLetter"/>
      <w:lvlText w:val="%2."/>
      <w:lvlJc w:val="left"/>
      <w:pPr>
        <w:ind w:left="2210" w:hanging="360"/>
      </w:pPr>
    </w:lvl>
    <w:lvl w:ilvl="2" w:tplc="100C001B" w:tentative="1">
      <w:start w:val="1"/>
      <w:numFmt w:val="lowerRoman"/>
      <w:lvlText w:val="%3."/>
      <w:lvlJc w:val="right"/>
      <w:pPr>
        <w:ind w:left="2930" w:hanging="180"/>
      </w:pPr>
    </w:lvl>
    <w:lvl w:ilvl="3" w:tplc="100C000F" w:tentative="1">
      <w:start w:val="1"/>
      <w:numFmt w:val="decimal"/>
      <w:lvlText w:val="%4."/>
      <w:lvlJc w:val="left"/>
      <w:pPr>
        <w:ind w:left="3650" w:hanging="360"/>
      </w:pPr>
    </w:lvl>
    <w:lvl w:ilvl="4" w:tplc="100C0019" w:tentative="1">
      <w:start w:val="1"/>
      <w:numFmt w:val="lowerLetter"/>
      <w:lvlText w:val="%5."/>
      <w:lvlJc w:val="left"/>
      <w:pPr>
        <w:ind w:left="4370" w:hanging="360"/>
      </w:pPr>
    </w:lvl>
    <w:lvl w:ilvl="5" w:tplc="100C001B" w:tentative="1">
      <w:start w:val="1"/>
      <w:numFmt w:val="lowerRoman"/>
      <w:lvlText w:val="%6."/>
      <w:lvlJc w:val="right"/>
      <w:pPr>
        <w:ind w:left="5090" w:hanging="180"/>
      </w:pPr>
    </w:lvl>
    <w:lvl w:ilvl="6" w:tplc="100C000F" w:tentative="1">
      <w:start w:val="1"/>
      <w:numFmt w:val="decimal"/>
      <w:lvlText w:val="%7."/>
      <w:lvlJc w:val="left"/>
      <w:pPr>
        <w:ind w:left="5810" w:hanging="360"/>
      </w:pPr>
    </w:lvl>
    <w:lvl w:ilvl="7" w:tplc="100C0019" w:tentative="1">
      <w:start w:val="1"/>
      <w:numFmt w:val="lowerLetter"/>
      <w:lvlText w:val="%8."/>
      <w:lvlJc w:val="left"/>
      <w:pPr>
        <w:ind w:left="6530" w:hanging="360"/>
      </w:pPr>
    </w:lvl>
    <w:lvl w:ilvl="8" w:tplc="100C001B" w:tentative="1">
      <w:start w:val="1"/>
      <w:numFmt w:val="lowerRoman"/>
      <w:lvlText w:val="%9."/>
      <w:lvlJc w:val="right"/>
      <w:pPr>
        <w:ind w:left="7250" w:hanging="180"/>
      </w:pPr>
    </w:lvl>
  </w:abstractNum>
  <w:num w:numId="1" w16cid:durableId="1698771937">
    <w:abstractNumId w:val="1"/>
  </w:num>
  <w:num w:numId="2" w16cid:durableId="1756322174">
    <w:abstractNumId w:val="0"/>
  </w:num>
  <w:num w:numId="3" w16cid:durableId="1847474005">
    <w:abstractNumId w:val="2"/>
  </w:num>
  <w:num w:numId="4" w16cid:durableId="1027029296">
    <w:abstractNumId w:val="3"/>
  </w:num>
  <w:num w:numId="5" w16cid:durableId="1438520411">
    <w:abstractNumId w:val="8"/>
  </w:num>
  <w:num w:numId="6" w16cid:durableId="611204153">
    <w:abstractNumId w:val="9"/>
  </w:num>
  <w:num w:numId="7" w16cid:durableId="1646545203">
    <w:abstractNumId w:val="7"/>
  </w:num>
  <w:num w:numId="8" w16cid:durableId="1105610986">
    <w:abstractNumId w:val="6"/>
  </w:num>
  <w:num w:numId="9" w16cid:durableId="2094937965">
    <w:abstractNumId w:val="5"/>
  </w:num>
  <w:num w:numId="10" w16cid:durableId="1597404813">
    <w:abstractNumId w:val="4"/>
  </w:num>
  <w:num w:numId="11" w16cid:durableId="1391809554">
    <w:abstractNumId w:val="15"/>
  </w:num>
  <w:num w:numId="12" w16cid:durableId="256987906">
    <w:abstractNumId w:val="14"/>
  </w:num>
  <w:num w:numId="13" w16cid:durableId="1169441689">
    <w:abstractNumId w:val="10"/>
  </w:num>
  <w:num w:numId="14" w16cid:durableId="474639513">
    <w:abstractNumId w:val="12"/>
  </w:num>
  <w:num w:numId="15" w16cid:durableId="240875727">
    <w:abstractNumId w:val="17"/>
  </w:num>
  <w:num w:numId="16" w16cid:durableId="1346521109">
    <w:abstractNumId w:val="13"/>
  </w:num>
  <w:num w:numId="17" w16cid:durableId="1772704288">
    <w:abstractNumId w:val="19"/>
  </w:num>
  <w:num w:numId="18" w16cid:durableId="1446540779">
    <w:abstractNumId w:val="21"/>
  </w:num>
  <w:num w:numId="19" w16cid:durableId="1607928031">
    <w:abstractNumId w:val="11"/>
  </w:num>
  <w:num w:numId="20" w16cid:durableId="1980643083">
    <w:abstractNumId w:val="11"/>
  </w:num>
  <w:num w:numId="21" w16cid:durableId="1332487741">
    <w:abstractNumId w:val="18"/>
  </w:num>
  <w:num w:numId="22" w16cid:durableId="420563029">
    <w:abstractNumId w:val="16"/>
  </w:num>
  <w:num w:numId="23" w16cid:durableId="137190924">
    <w:abstractNumId w:val="20"/>
  </w:num>
  <w:num w:numId="24" w16cid:durableId="169136962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27"/>
    <w:rsid w:val="00002A7D"/>
    <w:rsid w:val="000038A8"/>
    <w:rsid w:val="00006790"/>
    <w:rsid w:val="00025210"/>
    <w:rsid w:val="00027624"/>
    <w:rsid w:val="00031AE0"/>
    <w:rsid w:val="00032120"/>
    <w:rsid w:val="00035F62"/>
    <w:rsid w:val="0004687C"/>
    <w:rsid w:val="00050F6B"/>
    <w:rsid w:val="00052DD4"/>
    <w:rsid w:val="000678CD"/>
    <w:rsid w:val="00072C8C"/>
    <w:rsid w:val="00081CE0"/>
    <w:rsid w:val="00084D30"/>
    <w:rsid w:val="00090320"/>
    <w:rsid w:val="000931C0"/>
    <w:rsid w:val="0009732C"/>
    <w:rsid w:val="000A01F9"/>
    <w:rsid w:val="000A2E09"/>
    <w:rsid w:val="000B175B"/>
    <w:rsid w:val="000B3A0F"/>
    <w:rsid w:val="000C6B8D"/>
    <w:rsid w:val="000D51EC"/>
    <w:rsid w:val="000E0415"/>
    <w:rsid w:val="000E528B"/>
    <w:rsid w:val="000F49BE"/>
    <w:rsid w:val="000F7715"/>
    <w:rsid w:val="00116B74"/>
    <w:rsid w:val="00120D86"/>
    <w:rsid w:val="00141A59"/>
    <w:rsid w:val="0015588A"/>
    <w:rsid w:val="00156B99"/>
    <w:rsid w:val="00166124"/>
    <w:rsid w:val="001715EA"/>
    <w:rsid w:val="00176D99"/>
    <w:rsid w:val="00181A4A"/>
    <w:rsid w:val="00184DDA"/>
    <w:rsid w:val="001900CD"/>
    <w:rsid w:val="001A0452"/>
    <w:rsid w:val="001A3751"/>
    <w:rsid w:val="001B02E9"/>
    <w:rsid w:val="001B4B04"/>
    <w:rsid w:val="001B5875"/>
    <w:rsid w:val="001B7BC7"/>
    <w:rsid w:val="001C4B9C"/>
    <w:rsid w:val="001C6663"/>
    <w:rsid w:val="001C7895"/>
    <w:rsid w:val="001D0F04"/>
    <w:rsid w:val="001D26DF"/>
    <w:rsid w:val="001D27E7"/>
    <w:rsid w:val="001D64D4"/>
    <w:rsid w:val="001E555D"/>
    <w:rsid w:val="001E5C24"/>
    <w:rsid w:val="001E6946"/>
    <w:rsid w:val="001F1599"/>
    <w:rsid w:val="001F19C4"/>
    <w:rsid w:val="002043F0"/>
    <w:rsid w:val="00211E0B"/>
    <w:rsid w:val="00212D71"/>
    <w:rsid w:val="002148D5"/>
    <w:rsid w:val="0021740A"/>
    <w:rsid w:val="00231AAF"/>
    <w:rsid w:val="002320E8"/>
    <w:rsid w:val="00232575"/>
    <w:rsid w:val="00233BA5"/>
    <w:rsid w:val="00246E16"/>
    <w:rsid w:val="00247258"/>
    <w:rsid w:val="0024774F"/>
    <w:rsid w:val="00257CAC"/>
    <w:rsid w:val="00264441"/>
    <w:rsid w:val="0027237A"/>
    <w:rsid w:val="0027277D"/>
    <w:rsid w:val="002974E9"/>
    <w:rsid w:val="002A7F94"/>
    <w:rsid w:val="002B109A"/>
    <w:rsid w:val="002C68D0"/>
    <w:rsid w:val="002C6D45"/>
    <w:rsid w:val="002D6E53"/>
    <w:rsid w:val="002F046D"/>
    <w:rsid w:val="002F3023"/>
    <w:rsid w:val="00301764"/>
    <w:rsid w:val="00305305"/>
    <w:rsid w:val="00314DE9"/>
    <w:rsid w:val="003229D8"/>
    <w:rsid w:val="0033200F"/>
    <w:rsid w:val="00336C97"/>
    <w:rsid w:val="00337F88"/>
    <w:rsid w:val="00342432"/>
    <w:rsid w:val="00343326"/>
    <w:rsid w:val="00343866"/>
    <w:rsid w:val="0035223F"/>
    <w:rsid w:val="00352D4B"/>
    <w:rsid w:val="0035638C"/>
    <w:rsid w:val="003665F9"/>
    <w:rsid w:val="003734D6"/>
    <w:rsid w:val="003A46BB"/>
    <w:rsid w:val="003A4EC7"/>
    <w:rsid w:val="003A7295"/>
    <w:rsid w:val="003B1F60"/>
    <w:rsid w:val="003C2CC4"/>
    <w:rsid w:val="003C5933"/>
    <w:rsid w:val="003D4B23"/>
    <w:rsid w:val="003E278A"/>
    <w:rsid w:val="00413520"/>
    <w:rsid w:val="00413A4B"/>
    <w:rsid w:val="00425780"/>
    <w:rsid w:val="00430D57"/>
    <w:rsid w:val="004325CB"/>
    <w:rsid w:val="00440A07"/>
    <w:rsid w:val="00456E47"/>
    <w:rsid w:val="00462880"/>
    <w:rsid w:val="00476F24"/>
    <w:rsid w:val="00477E63"/>
    <w:rsid w:val="004916C3"/>
    <w:rsid w:val="004A025C"/>
    <w:rsid w:val="004A054F"/>
    <w:rsid w:val="004A2603"/>
    <w:rsid w:val="004C4EBD"/>
    <w:rsid w:val="004C55B0"/>
    <w:rsid w:val="004F0C40"/>
    <w:rsid w:val="004F1453"/>
    <w:rsid w:val="004F6BA0"/>
    <w:rsid w:val="00500665"/>
    <w:rsid w:val="00503BEA"/>
    <w:rsid w:val="00505A8F"/>
    <w:rsid w:val="00505BAD"/>
    <w:rsid w:val="00513E18"/>
    <w:rsid w:val="00515132"/>
    <w:rsid w:val="00524280"/>
    <w:rsid w:val="00533616"/>
    <w:rsid w:val="00535ABA"/>
    <w:rsid w:val="0053768B"/>
    <w:rsid w:val="005420F2"/>
    <w:rsid w:val="0054285C"/>
    <w:rsid w:val="00545DA7"/>
    <w:rsid w:val="00563C97"/>
    <w:rsid w:val="0057653D"/>
    <w:rsid w:val="00584173"/>
    <w:rsid w:val="00591A38"/>
    <w:rsid w:val="00595520"/>
    <w:rsid w:val="005A0551"/>
    <w:rsid w:val="005A44B9"/>
    <w:rsid w:val="005A5B1B"/>
    <w:rsid w:val="005B1BA0"/>
    <w:rsid w:val="005B339E"/>
    <w:rsid w:val="005B3DB3"/>
    <w:rsid w:val="005B7C73"/>
    <w:rsid w:val="005C6CBA"/>
    <w:rsid w:val="005C7A90"/>
    <w:rsid w:val="005D15CA"/>
    <w:rsid w:val="005D7969"/>
    <w:rsid w:val="005F08DF"/>
    <w:rsid w:val="005F1009"/>
    <w:rsid w:val="005F3066"/>
    <w:rsid w:val="005F3B56"/>
    <w:rsid w:val="005F3E61"/>
    <w:rsid w:val="005F47B7"/>
    <w:rsid w:val="00604DDD"/>
    <w:rsid w:val="006115CC"/>
    <w:rsid w:val="00611FC4"/>
    <w:rsid w:val="00614477"/>
    <w:rsid w:val="006176FB"/>
    <w:rsid w:val="00630FCB"/>
    <w:rsid w:val="00640B26"/>
    <w:rsid w:val="00651329"/>
    <w:rsid w:val="00656F88"/>
    <w:rsid w:val="0065766B"/>
    <w:rsid w:val="006724BC"/>
    <w:rsid w:val="006770B2"/>
    <w:rsid w:val="006801E5"/>
    <w:rsid w:val="00685645"/>
    <w:rsid w:val="00685841"/>
    <w:rsid w:val="00686A48"/>
    <w:rsid w:val="00692815"/>
    <w:rsid w:val="006940E1"/>
    <w:rsid w:val="006A3C72"/>
    <w:rsid w:val="006A7392"/>
    <w:rsid w:val="006B0243"/>
    <w:rsid w:val="006B03A1"/>
    <w:rsid w:val="006B6497"/>
    <w:rsid w:val="006B67D9"/>
    <w:rsid w:val="006C5535"/>
    <w:rsid w:val="006D0589"/>
    <w:rsid w:val="006E564B"/>
    <w:rsid w:val="006E7154"/>
    <w:rsid w:val="006F22CB"/>
    <w:rsid w:val="007003CD"/>
    <w:rsid w:val="007053A0"/>
    <w:rsid w:val="00706945"/>
    <w:rsid w:val="0070701E"/>
    <w:rsid w:val="00712886"/>
    <w:rsid w:val="00715B38"/>
    <w:rsid w:val="007173E0"/>
    <w:rsid w:val="0072632A"/>
    <w:rsid w:val="00726CA0"/>
    <w:rsid w:val="00726F5C"/>
    <w:rsid w:val="007358E8"/>
    <w:rsid w:val="00736ECE"/>
    <w:rsid w:val="00737CC6"/>
    <w:rsid w:val="00743C3A"/>
    <w:rsid w:val="00744EE0"/>
    <w:rsid w:val="0074533B"/>
    <w:rsid w:val="00762109"/>
    <w:rsid w:val="007643BC"/>
    <w:rsid w:val="007801C5"/>
    <w:rsid w:val="00780C68"/>
    <w:rsid w:val="00793092"/>
    <w:rsid w:val="007959FE"/>
    <w:rsid w:val="007A0CF1"/>
    <w:rsid w:val="007A478E"/>
    <w:rsid w:val="007B3FBC"/>
    <w:rsid w:val="007B6BA5"/>
    <w:rsid w:val="007C3390"/>
    <w:rsid w:val="007C42D8"/>
    <w:rsid w:val="007C4F4B"/>
    <w:rsid w:val="007D7362"/>
    <w:rsid w:val="007F5CE2"/>
    <w:rsid w:val="007F6611"/>
    <w:rsid w:val="007F6E8C"/>
    <w:rsid w:val="007F7754"/>
    <w:rsid w:val="00800522"/>
    <w:rsid w:val="0080593A"/>
    <w:rsid w:val="00810BAC"/>
    <w:rsid w:val="008175E9"/>
    <w:rsid w:val="008242D7"/>
    <w:rsid w:val="0082577B"/>
    <w:rsid w:val="008272DD"/>
    <w:rsid w:val="00831D88"/>
    <w:rsid w:val="00844550"/>
    <w:rsid w:val="00846266"/>
    <w:rsid w:val="0084710B"/>
    <w:rsid w:val="00854301"/>
    <w:rsid w:val="00866893"/>
    <w:rsid w:val="00866F02"/>
    <w:rsid w:val="00867D18"/>
    <w:rsid w:val="00870F75"/>
    <w:rsid w:val="00871927"/>
    <w:rsid w:val="00871F9A"/>
    <w:rsid w:val="00871FD5"/>
    <w:rsid w:val="0088172E"/>
    <w:rsid w:val="00881EFA"/>
    <w:rsid w:val="008839BC"/>
    <w:rsid w:val="008879CB"/>
    <w:rsid w:val="008979B1"/>
    <w:rsid w:val="008A67DB"/>
    <w:rsid w:val="008A6B25"/>
    <w:rsid w:val="008A6C4F"/>
    <w:rsid w:val="008A77AE"/>
    <w:rsid w:val="008B389E"/>
    <w:rsid w:val="008D045E"/>
    <w:rsid w:val="008D3D24"/>
    <w:rsid w:val="008D3F25"/>
    <w:rsid w:val="008D4984"/>
    <w:rsid w:val="008D4D82"/>
    <w:rsid w:val="008D5ABE"/>
    <w:rsid w:val="008D64D8"/>
    <w:rsid w:val="008E0E46"/>
    <w:rsid w:val="008E1D57"/>
    <w:rsid w:val="008E2CEA"/>
    <w:rsid w:val="008E7116"/>
    <w:rsid w:val="008F10E0"/>
    <w:rsid w:val="008F143B"/>
    <w:rsid w:val="008F3882"/>
    <w:rsid w:val="008F4B7C"/>
    <w:rsid w:val="008F5394"/>
    <w:rsid w:val="008F7ABB"/>
    <w:rsid w:val="00900404"/>
    <w:rsid w:val="0092004B"/>
    <w:rsid w:val="0092078E"/>
    <w:rsid w:val="00926E47"/>
    <w:rsid w:val="009369ED"/>
    <w:rsid w:val="0094672E"/>
    <w:rsid w:val="00947162"/>
    <w:rsid w:val="0095661F"/>
    <w:rsid w:val="00957F23"/>
    <w:rsid w:val="009610D0"/>
    <w:rsid w:val="0096375C"/>
    <w:rsid w:val="009662E6"/>
    <w:rsid w:val="009664A4"/>
    <w:rsid w:val="0097095E"/>
    <w:rsid w:val="00975071"/>
    <w:rsid w:val="00980588"/>
    <w:rsid w:val="00981169"/>
    <w:rsid w:val="00982C83"/>
    <w:rsid w:val="0098592B"/>
    <w:rsid w:val="00985A45"/>
    <w:rsid w:val="00985FC4"/>
    <w:rsid w:val="00990766"/>
    <w:rsid w:val="00991261"/>
    <w:rsid w:val="009964C4"/>
    <w:rsid w:val="009A7B81"/>
    <w:rsid w:val="009B0F85"/>
    <w:rsid w:val="009B446C"/>
    <w:rsid w:val="009D01C0"/>
    <w:rsid w:val="009D55BA"/>
    <w:rsid w:val="009D6A08"/>
    <w:rsid w:val="009E0A16"/>
    <w:rsid w:val="009E6CB7"/>
    <w:rsid w:val="009E7970"/>
    <w:rsid w:val="009F2EAC"/>
    <w:rsid w:val="009F57E3"/>
    <w:rsid w:val="00A04F8B"/>
    <w:rsid w:val="00A075B1"/>
    <w:rsid w:val="00A079FC"/>
    <w:rsid w:val="00A10F4F"/>
    <w:rsid w:val="00A11067"/>
    <w:rsid w:val="00A1704A"/>
    <w:rsid w:val="00A2763A"/>
    <w:rsid w:val="00A341BA"/>
    <w:rsid w:val="00A35C67"/>
    <w:rsid w:val="00A425EB"/>
    <w:rsid w:val="00A43EDE"/>
    <w:rsid w:val="00A70693"/>
    <w:rsid w:val="00A72F22"/>
    <w:rsid w:val="00A733BC"/>
    <w:rsid w:val="00A748A6"/>
    <w:rsid w:val="00A76A69"/>
    <w:rsid w:val="00A879A4"/>
    <w:rsid w:val="00AA0FF8"/>
    <w:rsid w:val="00AC0F2C"/>
    <w:rsid w:val="00AC502A"/>
    <w:rsid w:val="00AC7079"/>
    <w:rsid w:val="00AD12BF"/>
    <w:rsid w:val="00AE5A4D"/>
    <w:rsid w:val="00AF5493"/>
    <w:rsid w:val="00AF58C1"/>
    <w:rsid w:val="00B04A3F"/>
    <w:rsid w:val="00B06643"/>
    <w:rsid w:val="00B11DC4"/>
    <w:rsid w:val="00B15055"/>
    <w:rsid w:val="00B177C6"/>
    <w:rsid w:val="00B20551"/>
    <w:rsid w:val="00B23D55"/>
    <w:rsid w:val="00B30179"/>
    <w:rsid w:val="00B3291A"/>
    <w:rsid w:val="00B33FC7"/>
    <w:rsid w:val="00B37B15"/>
    <w:rsid w:val="00B45C02"/>
    <w:rsid w:val="00B66D7D"/>
    <w:rsid w:val="00B70B63"/>
    <w:rsid w:val="00B72A1E"/>
    <w:rsid w:val="00B81E12"/>
    <w:rsid w:val="00B82044"/>
    <w:rsid w:val="00BA2837"/>
    <w:rsid w:val="00BA339B"/>
    <w:rsid w:val="00BA43D0"/>
    <w:rsid w:val="00BB23CC"/>
    <w:rsid w:val="00BC1E7E"/>
    <w:rsid w:val="00BC74E9"/>
    <w:rsid w:val="00BE2947"/>
    <w:rsid w:val="00BE2A37"/>
    <w:rsid w:val="00BE36A9"/>
    <w:rsid w:val="00BE618E"/>
    <w:rsid w:val="00BE7BEC"/>
    <w:rsid w:val="00BF0A5A"/>
    <w:rsid w:val="00BF0E63"/>
    <w:rsid w:val="00BF12A3"/>
    <w:rsid w:val="00BF16D7"/>
    <w:rsid w:val="00BF2373"/>
    <w:rsid w:val="00BF4003"/>
    <w:rsid w:val="00C0294F"/>
    <w:rsid w:val="00C044E2"/>
    <w:rsid w:val="00C048CB"/>
    <w:rsid w:val="00C066F3"/>
    <w:rsid w:val="00C06CDC"/>
    <w:rsid w:val="00C3029C"/>
    <w:rsid w:val="00C408B7"/>
    <w:rsid w:val="00C411EB"/>
    <w:rsid w:val="00C463DD"/>
    <w:rsid w:val="00C745C3"/>
    <w:rsid w:val="00C832FE"/>
    <w:rsid w:val="00C978F5"/>
    <w:rsid w:val="00CA24A4"/>
    <w:rsid w:val="00CB348D"/>
    <w:rsid w:val="00CB4B9C"/>
    <w:rsid w:val="00CD46F5"/>
    <w:rsid w:val="00CD75FF"/>
    <w:rsid w:val="00CE4A8F"/>
    <w:rsid w:val="00CE78F6"/>
    <w:rsid w:val="00CF071D"/>
    <w:rsid w:val="00D0123D"/>
    <w:rsid w:val="00D15B04"/>
    <w:rsid w:val="00D2031B"/>
    <w:rsid w:val="00D25FE2"/>
    <w:rsid w:val="00D27833"/>
    <w:rsid w:val="00D368BE"/>
    <w:rsid w:val="00D37DA9"/>
    <w:rsid w:val="00D406A7"/>
    <w:rsid w:val="00D40765"/>
    <w:rsid w:val="00D43252"/>
    <w:rsid w:val="00D44D86"/>
    <w:rsid w:val="00D50B7D"/>
    <w:rsid w:val="00D52012"/>
    <w:rsid w:val="00D546B0"/>
    <w:rsid w:val="00D565FE"/>
    <w:rsid w:val="00D668BB"/>
    <w:rsid w:val="00D704E5"/>
    <w:rsid w:val="00D72727"/>
    <w:rsid w:val="00D75411"/>
    <w:rsid w:val="00D7737F"/>
    <w:rsid w:val="00D81D1E"/>
    <w:rsid w:val="00D83262"/>
    <w:rsid w:val="00D978C6"/>
    <w:rsid w:val="00DA0956"/>
    <w:rsid w:val="00DA2E4A"/>
    <w:rsid w:val="00DA357F"/>
    <w:rsid w:val="00DA3E12"/>
    <w:rsid w:val="00DB6908"/>
    <w:rsid w:val="00DC18AD"/>
    <w:rsid w:val="00DE7321"/>
    <w:rsid w:val="00DF7CAE"/>
    <w:rsid w:val="00E244BE"/>
    <w:rsid w:val="00E26807"/>
    <w:rsid w:val="00E423C0"/>
    <w:rsid w:val="00E424FB"/>
    <w:rsid w:val="00E42EC7"/>
    <w:rsid w:val="00E6414C"/>
    <w:rsid w:val="00E7260F"/>
    <w:rsid w:val="00E7430A"/>
    <w:rsid w:val="00E77517"/>
    <w:rsid w:val="00E80266"/>
    <w:rsid w:val="00E82BD0"/>
    <w:rsid w:val="00E8702D"/>
    <w:rsid w:val="00E905F4"/>
    <w:rsid w:val="00E916A9"/>
    <w:rsid w:val="00E916DE"/>
    <w:rsid w:val="00E925AD"/>
    <w:rsid w:val="00E96630"/>
    <w:rsid w:val="00EA1442"/>
    <w:rsid w:val="00EA377D"/>
    <w:rsid w:val="00EC3D0C"/>
    <w:rsid w:val="00ED18DC"/>
    <w:rsid w:val="00ED355C"/>
    <w:rsid w:val="00ED6201"/>
    <w:rsid w:val="00ED7A2A"/>
    <w:rsid w:val="00EE1DF8"/>
    <w:rsid w:val="00EF1D7F"/>
    <w:rsid w:val="00F0137E"/>
    <w:rsid w:val="00F1447E"/>
    <w:rsid w:val="00F152D2"/>
    <w:rsid w:val="00F21786"/>
    <w:rsid w:val="00F35376"/>
    <w:rsid w:val="00F3742B"/>
    <w:rsid w:val="00F41FDB"/>
    <w:rsid w:val="00F42E15"/>
    <w:rsid w:val="00F50596"/>
    <w:rsid w:val="00F56D63"/>
    <w:rsid w:val="00F57CD1"/>
    <w:rsid w:val="00F609A9"/>
    <w:rsid w:val="00F80C99"/>
    <w:rsid w:val="00F81F4F"/>
    <w:rsid w:val="00F867EC"/>
    <w:rsid w:val="00F91B2B"/>
    <w:rsid w:val="00F977F7"/>
    <w:rsid w:val="00FA7C98"/>
    <w:rsid w:val="00FC03CD"/>
    <w:rsid w:val="00FC0646"/>
    <w:rsid w:val="00FC40AE"/>
    <w:rsid w:val="00FC68B7"/>
    <w:rsid w:val="00FC767F"/>
    <w:rsid w:val="00FD7D28"/>
    <w:rsid w:val="00FE5FEC"/>
    <w:rsid w:val="00FE6985"/>
    <w:rsid w:val="00FF51B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B4633"/>
  <w15:docId w15:val="{1692F992-544C-49F0-BF23-6E128EA7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5_GR Char"/>
    <w:basedOn w:val="DefaultParagraphFont"/>
    <w:link w:val="FootnoteText"/>
    <w:locked/>
    <w:rsid w:val="00BA2837"/>
    <w:rPr>
      <w:sz w:val="18"/>
      <w:lang w:val="en-GB"/>
    </w:rPr>
  </w:style>
  <w:style w:type="paragraph" w:styleId="ListParagraph">
    <w:name w:val="List Paragraph"/>
    <w:aliases w:val="Liste à puce 1"/>
    <w:basedOn w:val="Normal"/>
    <w:link w:val="ListParagraphChar"/>
    <w:uiPriority w:val="34"/>
    <w:qFormat/>
    <w:rsid w:val="00BA2837"/>
    <w:pPr>
      <w:tabs>
        <w:tab w:val="left" w:pos="425"/>
        <w:tab w:val="left" w:pos="851"/>
        <w:tab w:val="left" w:pos="1276"/>
      </w:tabs>
      <w:spacing w:line="240" w:lineRule="auto"/>
      <w:ind w:left="720"/>
      <w:contextualSpacing/>
      <w:jc w:val="both"/>
    </w:pPr>
    <w:rPr>
      <w:rFonts w:ascii="Arial" w:hAnsi="Arial"/>
      <w:color w:val="000000"/>
      <w:sz w:val="22"/>
      <w:lang w:eastAsia="de-DE"/>
    </w:rPr>
  </w:style>
  <w:style w:type="character" w:customStyle="1" w:styleId="HChGChar">
    <w:name w:val="_ H _Ch_G Char"/>
    <w:link w:val="HChG"/>
    <w:qFormat/>
    <w:rsid w:val="00BA2837"/>
    <w:rPr>
      <w:b/>
      <w:sz w:val="28"/>
      <w:lang w:val="en-GB"/>
    </w:rPr>
  </w:style>
  <w:style w:type="character" w:customStyle="1" w:styleId="H1GChar">
    <w:name w:val="_ H_1_G Char"/>
    <w:link w:val="H1G"/>
    <w:qFormat/>
    <w:rsid w:val="00B82044"/>
    <w:rPr>
      <w:b/>
      <w:sz w:val="24"/>
      <w:lang w:val="en-GB"/>
    </w:rPr>
  </w:style>
  <w:style w:type="paragraph" w:customStyle="1" w:styleId="Default">
    <w:name w:val="Default"/>
    <w:rsid w:val="00B82044"/>
    <w:pPr>
      <w:widowControl w:val="0"/>
      <w:autoSpaceDE w:val="0"/>
      <w:autoSpaceDN w:val="0"/>
      <w:adjustRightInd w:val="0"/>
      <w:spacing w:line="240" w:lineRule="auto"/>
    </w:pPr>
    <w:rPr>
      <w:rFonts w:ascii="Times-New-Roman,Bold" w:hAnsi="Times-New-Roman,Bold" w:cs="Times-New-Roman,Bold"/>
      <w:color w:val="000000"/>
      <w:sz w:val="24"/>
      <w:szCs w:val="24"/>
      <w:lang w:val="en-US" w:eastAsia="en-US"/>
    </w:rPr>
  </w:style>
  <w:style w:type="character" w:customStyle="1" w:styleId="ListParagraphChar">
    <w:name w:val="List Paragraph Char"/>
    <w:aliases w:val="Liste à puce 1 Char"/>
    <w:basedOn w:val="DefaultParagraphFont"/>
    <w:link w:val="ListParagraph"/>
    <w:uiPriority w:val="34"/>
    <w:rsid w:val="00B82044"/>
    <w:rPr>
      <w:rFonts w:ascii="Arial" w:hAnsi="Arial"/>
      <w:color w:val="000000"/>
      <w:sz w:val="22"/>
      <w:lang w:val="en-GB" w:eastAsia="de-DE"/>
    </w:rPr>
  </w:style>
  <w:style w:type="character" w:styleId="UnresolvedMention">
    <w:name w:val="Unresolved Mention"/>
    <w:basedOn w:val="DefaultParagraphFont"/>
    <w:uiPriority w:val="99"/>
    <w:semiHidden/>
    <w:unhideWhenUsed/>
    <w:rsid w:val="003C5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ites/default/files/2023-03/ECE-TRANS-WP15-AC1-2023-BE-INF.27.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ece.org/transport/documents/2022/09/informal-documents/contribution-work-informal-working-group-improve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unece.org/fileadmin/DAM/trans/doc/2020/dgwp15ac1/ECE-TRANS-WP15-AC1-20-GE-inf47e.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sites/default/files/2023-03/ECE-TRANS-WP15-AC1-2023-BE-INF.27.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Nadiya Dzyubynska</DisplayName>
        <AccountId>453</AccountId>
        <AccountType/>
      </UserInfo>
      <UserInfo>
        <DisplayName>Sabrina Mansion</DisplayName>
        <AccountId>71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975E8-9637-4474-B4B4-B9872D08908D}"/>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4</Pages>
  <Words>1262</Words>
  <Characters>6498</Characters>
  <Application>Microsoft Office Word</Application>
  <DocSecurity>0</DocSecurity>
  <Lines>132</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ECE/TRANS/WP.15/AC.1/2024/14</vt:lpstr>
      <vt:lpstr/>
    </vt:vector>
  </TitlesOfParts>
  <Company>CSD</Company>
  <LinksUpToDate>false</LinksUpToDate>
  <CharactersWithSpaces>7739</CharactersWithSpaces>
  <SharedDoc>false</SharedDoc>
  <HLinks>
    <vt:vector size="24" baseType="variant">
      <vt:variant>
        <vt:i4>4653086</vt:i4>
      </vt:variant>
      <vt:variant>
        <vt:i4>9</vt:i4>
      </vt:variant>
      <vt:variant>
        <vt:i4>0</vt:i4>
      </vt:variant>
      <vt:variant>
        <vt:i4>5</vt:i4>
      </vt:variant>
      <vt:variant>
        <vt:lpwstr>https://www.unece.org/fileadmin/DAM/trans/doc/2020/dgwp15ac1/ECE-TRANS-WP15-AC1-20-GE-inf47e.pdf</vt:lpwstr>
      </vt:variant>
      <vt:variant>
        <vt:lpwstr/>
      </vt:variant>
      <vt:variant>
        <vt:i4>6357029</vt:i4>
      </vt:variant>
      <vt:variant>
        <vt:i4>6</vt:i4>
      </vt:variant>
      <vt:variant>
        <vt:i4>0</vt:i4>
      </vt:variant>
      <vt:variant>
        <vt:i4>5</vt:i4>
      </vt:variant>
      <vt:variant>
        <vt:lpwstr>https://unece.org/sites/default/files/2023-03/ECE-TRANS-WP15-AC1-2023-BE-INF.27.pdf</vt:lpwstr>
      </vt:variant>
      <vt:variant>
        <vt:lpwstr/>
      </vt:variant>
      <vt:variant>
        <vt:i4>6357029</vt:i4>
      </vt:variant>
      <vt:variant>
        <vt:i4>3</vt:i4>
      </vt:variant>
      <vt:variant>
        <vt:i4>0</vt:i4>
      </vt:variant>
      <vt:variant>
        <vt:i4>5</vt:i4>
      </vt:variant>
      <vt:variant>
        <vt:lpwstr>https://unece.org/sites/default/files/2023-03/ECE-TRANS-WP15-AC1-2023-BE-INF.27.pdf</vt:lpwstr>
      </vt:variant>
      <vt:variant>
        <vt:lpwstr/>
      </vt:variant>
      <vt:variant>
        <vt:i4>589849</vt:i4>
      </vt:variant>
      <vt:variant>
        <vt:i4>0</vt:i4>
      </vt:variant>
      <vt:variant>
        <vt:i4>0</vt:i4>
      </vt:variant>
      <vt:variant>
        <vt:i4>5</vt:i4>
      </vt:variant>
      <vt:variant>
        <vt:lpwstr>https://unece.org/transport/documents/2022/09/informal-documents/contribution-work-informal-working-group-improvement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ECE/TRANS/WP.15/AC.1/2024/15</dc:title>
  <dc:subject>2326072</dc:subject>
  <dc:creator>Alicia DORCA-GARCIA</dc:creator>
  <cp:keywords/>
  <dc:description/>
  <cp:lastModifiedBy>Cecile Pacis</cp:lastModifiedBy>
  <cp:revision>2</cp:revision>
  <cp:lastPrinted>2009-02-18T09:36:00Z</cp:lastPrinted>
  <dcterms:created xsi:type="dcterms:W3CDTF">2023-12-26T14:23:00Z</dcterms:created>
  <dcterms:modified xsi:type="dcterms:W3CDTF">2023-12-26T14:23:00Z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