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A0DD9A1" w14:textId="77777777" w:rsidTr="00B20551">
        <w:trPr>
          <w:cantSplit/>
          <w:trHeight w:hRule="exact" w:val="851"/>
        </w:trPr>
        <w:tc>
          <w:tcPr>
            <w:tcW w:w="1276" w:type="dxa"/>
            <w:tcBorders>
              <w:bottom w:val="single" w:sz="4" w:space="0" w:color="auto"/>
            </w:tcBorders>
            <w:vAlign w:val="bottom"/>
          </w:tcPr>
          <w:p w14:paraId="66AEFA56" w14:textId="77777777" w:rsidR="009E6CB7" w:rsidRDefault="009E6CB7" w:rsidP="00B20551">
            <w:pPr>
              <w:spacing w:after="80"/>
            </w:pPr>
          </w:p>
        </w:tc>
        <w:tc>
          <w:tcPr>
            <w:tcW w:w="2268" w:type="dxa"/>
            <w:tcBorders>
              <w:bottom w:val="single" w:sz="4" w:space="0" w:color="auto"/>
            </w:tcBorders>
            <w:vAlign w:val="bottom"/>
          </w:tcPr>
          <w:p w14:paraId="61C6AD0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DE9B693" w14:textId="33A807BD" w:rsidR="009E6CB7" w:rsidRPr="00D47EEA" w:rsidRDefault="00131A4B" w:rsidP="00131A4B">
            <w:pPr>
              <w:jc w:val="right"/>
            </w:pPr>
            <w:r w:rsidRPr="00131A4B">
              <w:rPr>
                <w:sz w:val="40"/>
              </w:rPr>
              <w:t>ECE</w:t>
            </w:r>
            <w:r>
              <w:t>/TRANS/WP.15/AC.1/2024/17</w:t>
            </w:r>
          </w:p>
        </w:tc>
      </w:tr>
      <w:tr w:rsidR="009E6CB7" w14:paraId="6ED02EF3" w14:textId="77777777" w:rsidTr="00B20551">
        <w:trPr>
          <w:cantSplit/>
          <w:trHeight w:hRule="exact" w:val="2835"/>
        </w:trPr>
        <w:tc>
          <w:tcPr>
            <w:tcW w:w="1276" w:type="dxa"/>
            <w:tcBorders>
              <w:top w:val="single" w:sz="4" w:space="0" w:color="auto"/>
              <w:bottom w:val="single" w:sz="12" w:space="0" w:color="auto"/>
            </w:tcBorders>
          </w:tcPr>
          <w:p w14:paraId="7062C01D" w14:textId="77777777" w:rsidR="009E6CB7" w:rsidRDefault="00686A48" w:rsidP="00B20551">
            <w:pPr>
              <w:spacing w:before="120"/>
            </w:pPr>
            <w:r>
              <w:rPr>
                <w:noProof/>
                <w:lang w:val="fr-CH" w:eastAsia="fr-CH"/>
              </w:rPr>
              <w:drawing>
                <wp:inline distT="0" distB="0" distL="0" distR="0" wp14:anchorId="5264D80A" wp14:editId="01C0DF5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71157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CC8D1DB" w14:textId="77777777" w:rsidR="009E6CB7" w:rsidRDefault="00131A4B" w:rsidP="00131A4B">
            <w:pPr>
              <w:spacing w:before="240" w:line="240" w:lineRule="exact"/>
            </w:pPr>
            <w:r>
              <w:t>Distr.: General</w:t>
            </w:r>
          </w:p>
          <w:p w14:paraId="64D579A5" w14:textId="77777777" w:rsidR="00131A4B" w:rsidRDefault="00131A4B" w:rsidP="00131A4B">
            <w:pPr>
              <w:spacing w:line="240" w:lineRule="exact"/>
            </w:pPr>
            <w:r>
              <w:t>27 December 2023</w:t>
            </w:r>
          </w:p>
          <w:p w14:paraId="1D42DC67" w14:textId="77777777" w:rsidR="00131A4B" w:rsidRDefault="00131A4B" w:rsidP="00131A4B">
            <w:pPr>
              <w:spacing w:line="240" w:lineRule="exact"/>
            </w:pPr>
          </w:p>
          <w:p w14:paraId="68506218" w14:textId="290E1663" w:rsidR="00131A4B" w:rsidRDefault="00131A4B" w:rsidP="00131A4B">
            <w:pPr>
              <w:spacing w:line="240" w:lineRule="exact"/>
            </w:pPr>
            <w:r>
              <w:t>Original: English</w:t>
            </w:r>
          </w:p>
        </w:tc>
      </w:tr>
    </w:tbl>
    <w:p w14:paraId="19131F19" w14:textId="77777777" w:rsidR="00131A4B" w:rsidRPr="00960236" w:rsidRDefault="00131A4B" w:rsidP="00C411EB">
      <w:pPr>
        <w:spacing w:before="120"/>
        <w:rPr>
          <w:b/>
          <w:sz w:val="28"/>
          <w:szCs w:val="28"/>
        </w:rPr>
      </w:pPr>
      <w:r w:rsidRPr="00960236">
        <w:rPr>
          <w:b/>
          <w:sz w:val="28"/>
          <w:szCs w:val="28"/>
        </w:rPr>
        <w:t>Economic Commission for Europe</w:t>
      </w:r>
    </w:p>
    <w:p w14:paraId="0D9CD3FB" w14:textId="77777777" w:rsidR="00131A4B" w:rsidRPr="00960236" w:rsidRDefault="00131A4B" w:rsidP="00C411EB">
      <w:pPr>
        <w:spacing w:before="120"/>
        <w:rPr>
          <w:sz w:val="28"/>
          <w:szCs w:val="28"/>
        </w:rPr>
      </w:pPr>
      <w:r w:rsidRPr="00960236">
        <w:rPr>
          <w:sz w:val="28"/>
          <w:szCs w:val="28"/>
        </w:rPr>
        <w:t>Inland Transport Committee</w:t>
      </w:r>
    </w:p>
    <w:p w14:paraId="547D0C1D" w14:textId="77777777" w:rsidR="00131A4B" w:rsidRPr="00960236" w:rsidRDefault="00131A4B" w:rsidP="00C411EB">
      <w:pPr>
        <w:spacing w:before="120"/>
        <w:rPr>
          <w:b/>
          <w:sz w:val="24"/>
          <w:szCs w:val="24"/>
        </w:rPr>
      </w:pPr>
      <w:r w:rsidRPr="00960236">
        <w:rPr>
          <w:b/>
          <w:sz w:val="24"/>
          <w:szCs w:val="24"/>
        </w:rPr>
        <w:t>Working Party on the Transport of Dangerous Goods</w:t>
      </w:r>
    </w:p>
    <w:p w14:paraId="5C469CC2" w14:textId="77777777" w:rsidR="00131A4B" w:rsidRPr="00960236" w:rsidRDefault="00131A4B"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37343CC2" w14:textId="46A4D6D1" w:rsidR="00D31941" w:rsidRPr="00927DAA" w:rsidRDefault="00EB48DC" w:rsidP="00D31941">
      <w:pPr>
        <w:rPr>
          <w:b/>
        </w:rPr>
      </w:pPr>
      <w:r>
        <w:rPr>
          <w:lang w:val="en-US"/>
        </w:rPr>
        <w:t>Bern, 25-28 March 2024</w:t>
      </w:r>
      <w:r w:rsidRPr="007B1C52">
        <w:rPr>
          <w:lang w:val="en-US"/>
        </w:rPr>
        <w:br/>
      </w:r>
      <w:r w:rsidR="00D31941" w:rsidRPr="0028203C">
        <w:t xml:space="preserve">Item </w:t>
      </w:r>
      <w:r w:rsidR="00D31941">
        <w:t>5 (b)</w:t>
      </w:r>
      <w:r w:rsidR="00D31941" w:rsidRPr="0028203C">
        <w:t xml:space="preserve"> of the provisional agenda:</w:t>
      </w:r>
      <w:r w:rsidR="00D31941" w:rsidRPr="00560572">
        <w:br/>
      </w:r>
      <w:r w:rsidR="00D31941" w:rsidRPr="00EC1BCD">
        <w:rPr>
          <w:b/>
        </w:rPr>
        <w:t>Proposals for amendments to RID/ADR/</w:t>
      </w:r>
      <w:r w:rsidR="00D31941">
        <w:rPr>
          <w:b/>
        </w:rPr>
        <w:t>ADN:</w:t>
      </w:r>
      <w:r w:rsidR="00D31941">
        <w:rPr>
          <w:b/>
        </w:rPr>
        <w:br/>
      </w:r>
      <w:r w:rsidR="0034487A">
        <w:rPr>
          <w:b/>
        </w:rPr>
        <w:t>n</w:t>
      </w:r>
      <w:r w:rsidR="00D31941" w:rsidRPr="009A438E">
        <w:rPr>
          <w:b/>
        </w:rPr>
        <w:t xml:space="preserve">ew </w:t>
      </w:r>
      <w:proofErr w:type="gramStart"/>
      <w:r w:rsidR="00D31941" w:rsidRPr="009A438E">
        <w:rPr>
          <w:b/>
        </w:rPr>
        <w:t>proposals</w:t>
      </w:r>
      <w:proofErr w:type="gramEnd"/>
    </w:p>
    <w:p w14:paraId="75F51A4C" w14:textId="5534E169" w:rsidR="000C1575" w:rsidRPr="000C0070" w:rsidRDefault="000C1575" w:rsidP="000C1575">
      <w:pPr>
        <w:pStyle w:val="HChG"/>
        <w:jc w:val="both"/>
      </w:pPr>
      <w:r w:rsidRPr="00560572">
        <w:tab/>
      </w:r>
      <w:r>
        <w:tab/>
      </w:r>
      <w:r w:rsidRPr="00A83FDF">
        <w:t>Proposal for amendment</w:t>
      </w:r>
      <w:r>
        <w:t xml:space="preserve"> to packing instruction P200 in 4.1.4.1</w:t>
      </w:r>
      <w:r w:rsidRPr="00A83FDF">
        <w:t xml:space="preserve"> </w:t>
      </w:r>
      <w:r>
        <w:t xml:space="preserve">of RID/ADR </w:t>
      </w:r>
      <w:r w:rsidRPr="00A83FDF">
        <w:t xml:space="preserve">to </w:t>
      </w:r>
      <w:r>
        <w:t>permit the</w:t>
      </w:r>
      <w:r w:rsidRPr="00A83FDF">
        <w:t xml:space="preserve"> interval between </w:t>
      </w:r>
      <w:r>
        <w:t xml:space="preserve">the </w:t>
      </w:r>
      <w:r w:rsidRPr="00A83FDF">
        <w:t xml:space="preserve">periodic inspection of </w:t>
      </w:r>
      <w:r w:rsidR="00C24375" w:rsidRPr="00C24375">
        <w:t>Liquefied Petroleum Gas</w:t>
      </w:r>
      <w:r w:rsidRPr="00A83FDF">
        <w:t xml:space="preserve"> cylinders manufactured according</w:t>
      </w:r>
      <w:r>
        <w:t xml:space="preserve"> to</w:t>
      </w:r>
      <w:r w:rsidRPr="00A83FDF">
        <w:t xml:space="preserve"> EN 14140</w:t>
      </w:r>
      <w:r>
        <w:t xml:space="preserve"> to be extended</w:t>
      </w:r>
      <w:r w:rsidRPr="00A83FDF">
        <w:t xml:space="preserve"> from 10 to 15 </w:t>
      </w:r>
      <w:proofErr w:type="gramStart"/>
      <w:r w:rsidRPr="00A83FDF">
        <w:t>years</w:t>
      </w:r>
      <w:proofErr w:type="gramEnd"/>
    </w:p>
    <w:p w14:paraId="56FEDCB4" w14:textId="359132B5" w:rsidR="000C1575" w:rsidRDefault="000C1575" w:rsidP="000C1575">
      <w:pPr>
        <w:pStyle w:val="H1G"/>
      </w:pPr>
      <w:r>
        <w:tab/>
      </w:r>
      <w:r>
        <w:tab/>
        <w:t>Transmitted by Liquid Gas Europe</w:t>
      </w:r>
      <w:r w:rsidR="00F83313" w:rsidRPr="00E82BD0">
        <w:rPr>
          <w:rStyle w:val="FootnoteReference"/>
        </w:rPr>
        <w:footnoteReference w:customMarkFollows="1" w:id="2"/>
        <w:t xml:space="preserve">*, </w:t>
      </w:r>
      <w:r w:rsidR="00F83313" w:rsidRPr="00E82BD0">
        <w:rPr>
          <w:rStyle w:val="FootnoteReferenc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93B5E" w14:paraId="3DDD121F" w14:textId="77777777" w:rsidTr="002F05B6">
        <w:trPr>
          <w:jc w:val="center"/>
        </w:trPr>
        <w:tc>
          <w:tcPr>
            <w:tcW w:w="9629" w:type="dxa"/>
            <w:shd w:val="clear" w:color="auto" w:fill="auto"/>
          </w:tcPr>
          <w:p w14:paraId="38194E49" w14:textId="77777777" w:rsidR="00D93B5E" w:rsidRPr="00C6263E" w:rsidRDefault="00D93B5E" w:rsidP="006E5E26">
            <w:pPr>
              <w:spacing w:before="240" w:after="120"/>
              <w:ind w:left="255"/>
              <w:rPr>
                <w:i/>
                <w:sz w:val="24"/>
              </w:rPr>
            </w:pPr>
            <w:r w:rsidRPr="00C6263E">
              <w:rPr>
                <w:i/>
                <w:sz w:val="24"/>
              </w:rPr>
              <w:t>Summary</w:t>
            </w:r>
          </w:p>
        </w:tc>
      </w:tr>
      <w:tr w:rsidR="00D93B5E" w14:paraId="41B849E2" w14:textId="77777777" w:rsidTr="002F05B6">
        <w:trPr>
          <w:jc w:val="center"/>
        </w:trPr>
        <w:tc>
          <w:tcPr>
            <w:tcW w:w="9629" w:type="dxa"/>
            <w:shd w:val="clear" w:color="auto" w:fill="auto"/>
          </w:tcPr>
          <w:p w14:paraId="455CD674" w14:textId="1A03D9AF" w:rsidR="00D93B5E" w:rsidRDefault="00C54994" w:rsidP="00666062">
            <w:pPr>
              <w:pStyle w:val="SingleTxtG"/>
              <w:ind w:left="3402" w:hanging="2268"/>
            </w:pPr>
            <w:r w:rsidRPr="000E7876">
              <w:rPr>
                <w:b/>
              </w:rPr>
              <w:t>Executive summary:</w:t>
            </w:r>
            <w:r>
              <w:rPr>
                <w:b/>
              </w:rPr>
              <w:tab/>
            </w:r>
            <w:r w:rsidR="00666062">
              <w:t xml:space="preserve">Transitional measure 1.6.2.9 allows the </w:t>
            </w:r>
            <w:r w:rsidR="00666062" w:rsidRPr="00130862">
              <w:t>competent authority (authorities) of the country (countries) where the periodic inspection and the carriage take place</w:t>
            </w:r>
            <w:r w:rsidR="00666062">
              <w:t xml:space="preserve"> to permit a period of 15 years between periodic inspections for EN 14140 </w:t>
            </w:r>
            <w:r w:rsidR="00C24375" w:rsidRPr="00C24375">
              <w:t>Liquefied Petroleum Gas</w:t>
            </w:r>
            <w:r w:rsidR="00C24375">
              <w:t xml:space="preserve"> (</w:t>
            </w:r>
            <w:r w:rsidR="00666062">
              <w:t>LPG</w:t>
            </w:r>
            <w:r w:rsidR="00C24375">
              <w:t>)</w:t>
            </w:r>
            <w:r w:rsidR="00666062">
              <w:t xml:space="preserve"> cylinders manufactured before 1 January 2015. However, 4.1.4.1 P200 (12) (1.3) does not currently list EN 14140 as a standard to which the period between periodic inspections may </w:t>
            </w:r>
            <w:proofErr w:type="gramStart"/>
            <w:r w:rsidR="00666062">
              <w:t>be considered to be</w:t>
            </w:r>
            <w:proofErr w:type="gramEnd"/>
            <w:r w:rsidR="00666062">
              <w:t xml:space="preserve"> extended from 10 to 15 years for cylinders manufactured from 1 January 2015.</w:t>
            </w:r>
          </w:p>
          <w:p w14:paraId="39189139" w14:textId="6E5E3311" w:rsidR="00666062" w:rsidRDefault="0035716B" w:rsidP="00666062">
            <w:pPr>
              <w:pStyle w:val="SingleTxtG"/>
              <w:ind w:left="3402" w:hanging="2268"/>
              <w:rPr>
                <w:bCs/>
                <w:color w:val="000000" w:themeColor="text1"/>
              </w:rPr>
            </w:pPr>
            <w:r w:rsidRPr="007C352C">
              <w:rPr>
                <w:b/>
                <w:color w:val="000000" w:themeColor="text1"/>
              </w:rPr>
              <w:t xml:space="preserve">Action to be </w:t>
            </w:r>
            <w:proofErr w:type="gramStart"/>
            <w:r w:rsidRPr="007C352C">
              <w:rPr>
                <w:b/>
                <w:color w:val="000000" w:themeColor="text1"/>
              </w:rPr>
              <w:t>taken</w:t>
            </w:r>
            <w:r>
              <w:rPr>
                <w:b/>
                <w:color w:val="000000" w:themeColor="text1"/>
              </w:rPr>
              <w:t>:</w:t>
            </w:r>
            <w:proofErr w:type="gramEnd"/>
            <w:r>
              <w:rPr>
                <w:b/>
                <w:color w:val="000000" w:themeColor="text1"/>
              </w:rPr>
              <w:tab/>
            </w:r>
            <w:r>
              <w:rPr>
                <w:b/>
                <w:color w:val="000000" w:themeColor="text1"/>
              </w:rPr>
              <w:tab/>
            </w:r>
            <w:r w:rsidR="005709D0" w:rsidRPr="007C352C">
              <w:rPr>
                <w:bCs/>
                <w:color w:val="000000" w:themeColor="text1"/>
              </w:rPr>
              <w:t xml:space="preserve">Amendment to packing instruction P200 (12) (1.3) in 4.1.4.1 of RID/ADR to permit the interval, subject to the national competent authority approval, between the periodic inspection of LPG cylinders manufactured according to EN 14140 after 1 January 2015 allowed to have 15 years between periodic inspections in conformity with </w:t>
            </w:r>
            <w:r w:rsidR="001B468A">
              <w:rPr>
                <w:bCs/>
                <w:color w:val="000000" w:themeColor="text1"/>
              </w:rPr>
              <w:t>RID/</w:t>
            </w:r>
            <w:r w:rsidR="005709D0" w:rsidRPr="007C352C">
              <w:rPr>
                <w:bCs/>
                <w:color w:val="000000" w:themeColor="text1"/>
              </w:rPr>
              <w:t>ADR in accordance with a technical code accepted by the national competent authority.</w:t>
            </w:r>
          </w:p>
          <w:p w14:paraId="650D13AA" w14:textId="555C387E" w:rsidR="005709D0" w:rsidRDefault="00386EDB" w:rsidP="00666062">
            <w:pPr>
              <w:pStyle w:val="SingleTxtG"/>
              <w:ind w:left="3402" w:hanging="2268"/>
            </w:pPr>
            <w:r w:rsidRPr="007C352C">
              <w:rPr>
                <w:b/>
                <w:color w:val="000000" w:themeColor="text1"/>
              </w:rPr>
              <w:lastRenderedPageBreak/>
              <w:t>Related documents:</w:t>
            </w:r>
            <w:r>
              <w:rPr>
                <w:b/>
                <w:color w:val="000000" w:themeColor="text1"/>
              </w:rPr>
              <w:tab/>
            </w:r>
            <w:r>
              <w:rPr>
                <w:b/>
                <w:color w:val="000000" w:themeColor="text1"/>
              </w:rPr>
              <w:tab/>
            </w:r>
            <w:r w:rsidR="00383D53">
              <w:rPr>
                <w:bCs/>
                <w:color w:val="000000" w:themeColor="text1"/>
              </w:rPr>
              <w:t>Informal documents</w:t>
            </w:r>
            <w:r w:rsidR="00383D53" w:rsidRPr="007C352C">
              <w:rPr>
                <w:bCs/>
                <w:color w:val="000000" w:themeColor="text1"/>
              </w:rPr>
              <w:t xml:space="preserve"> </w:t>
            </w:r>
            <w:r w:rsidR="008C0297" w:rsidRPr="007C352C">
              <w:rPr>
                <w:bCs/>
                <w:color w:val="000000" w:themeColor="text1"/>
              </w:rPr>
              <w:t>INF.14</w:t>
            </w:r>
            <w:r w:rsidR="00383D53">
              <w:rPr>
                <w:bCs/>
                <w:color w:val="000000" w:themeColor="text1"/>
              </w:rPr>
              <w:t xml:space="preserve"> and</w:t>
            </w:r>
            <w:r w:rsidR="00383D53" w:rsidRPr="007C352C">
              <w:rPr>
                <w:bCs/>
                <w:color w:val="000000" w:themeColor="text1"/>
              </w:rPr>
              <w:t xml:space="preserve"> </w:t>
            </w:r>
            <w:r w:rsidR="008C0297" w:rsidRPr="007C352C">
              <w:rPr>
                <w:bCs/>
                <w:color w:val="000000" w:themeColor="text1"/>
              </w:rPr>
              <w:t xml:space="preserve">INF.47, submitted on September 19–27, 2023, Joint meeting by Liquid Gas Europe </w:t>
            </w:r>
            <w:r w:rsidR="008C0297" w:rsidRPr="00BD07C5">
              <w:rPr>
                <w:bCs/>
                <w:color w:val="000000" w:themeColor="text1"/>
              </w:rPr>
              <w:t>and INF</w:t>
            </w:r>
            <w:r w:rsidR="00383D53" w:rsidRPr="00BD07C5">
              <w:rPr>
                <w:bCs/>
                <w:color w:val="000000" w:themeColor="text1"/>
              </w:rPr>
              <w:t>.</w:t>
            </w:r>
            <w:r w:rsidR="00BD07C5" w:rsidRPr="00BD07C5">
              <w:rPr>
                <w:bCs/>
                <w:color w:val="000000" w:themeColor="text1"/>
              </w:rPr>
              <w:t>6</w:t>
            </w:r>
            <w:r w:rsidR="008C0297" w:rsidRPr="00BD07C5">
              <w:rPr>
                <w:bCs/>
                <w:color w:val="000000" w:themeColor="text1"/>
              </w:rPr>
              <w:t> to the March 2024 Joint Meeting.</w:t>
            </w:r>
          </w:p>
        </w:tc>
      </w:tr>
      <w:tr w:rsidR="00D93B5E" w14:paraId="0800E5B4" w14:textId="77777777" w:rsidTr="002F05B6">
        <w:trPr>
          <w:jc w:val="center"/>
        </w:trPr>
        <w:tc>
          <w:tcPr>
            <w:tcW w:w="9629" w:type="dxa"/>
            <w:shd w:val="clear" w:color="auto" w:fill="auto"/>
          </w:tcPr>
          <w:p w14:paraId="55F736DF" w14:textId="77777777" w:rsidR="00D93B5E" w:rsidRDefault="00D93B5E" w:rsidP="006E5E26"/>
        </w:tc>
      </w:tr>
    </w:tbl>
    <w:p w14:paraId="0CEACED6" w14:textId="0867CD49" w:rsidR="002F05B6" w:rsidRPr="007C352C" w:rsidRDefault="002F05B6" w:rsidP="002F05B6">
      <w:pPr>
        <w:pStyle w:val="HChG"/>
        <w:rPr>
          <w:color w:val="000000" w:themeColor="text1"/>
        </w:rPr>
      </w:pPr>
      <w:r w:rsidRPr="007C352C">
        <w:rPr>
          <w:color w:val="000000" w:themeColor="text1"/>
        </w:rPr>
        <w:tab/>
      </w:r>
      <w:r w:rsidR="005F5D38">
        <w:rPr>
          <w:color w:val="000000" w:themeColor="text1"/>
        </w:rPr>
        <w:t>I.</w:t>
      </w:r>
      <w:r w:rsidRPr="007C352C">
        <w:rPr>
          <w:color w:val="000000" w:themeColor="text1"/>
        </w:rPr>
        <w:tab/>
        <w:t>Background from joint meeting September 2023</w:t>
      </w:r>
    </w:p>
    <w:p w14:paraId="270D9454" w14:textId="2A3A5681" w:rsidR="002F05B6" w:rsidRPr="007C352C" w:rsidRDefault="002F05B6" w:rsidP="002F05B6">
      <w:pPr>
        <w:pStyle w:val="SingleTxtG"/>
        <w:numPr>
          <w:ilvl w:val="0"/>
          <w:numId w:val="21"/>
        </w:numPr>
        <w:tabs>
          <w:tab w:val="clear" w:pos="1701"/>
          <w:tab w:val="clear" w:pos="2268"/>
          <w:tab w:val="clear" w:pos="2835"/>
          <w:tab w:val="left" w:pos="993"/>
        </w:tabs>
        <w:suppressAutoHyphens/>
        <w:ind w:left="1134" w:firstLine="0"/>
        <w:rPr>
          <w:color w:val="000000" w:themeColor="text1"/>
        </w:rPr>
      </w:pPr>
      <w:r w:rsidRPr="007C352C">
        <w:rPr>
          <w:color w:val="000000" w:themeColor="text1"/>
        </w:rPr>
        <w:t xml:space="preserve">In September 2023, the delegate from Liquid Gas Europe presented </w:t>
      </w:r>
      <w:r w:rsidR="001D5A5A">
        <w:rPr>
          <w:color w:val="000000" w:themeColor="text1"/>
        </w:rPr>
        <w:t>informal documents</w:t>
      </w:r>
      <w:r w:rsidR="001D5A5A" w:rsidRPr="007C352C">
        <w:rPr>
          <w:color w:val="000000" w:themeColor="text1"/>
        </w:rPr>
        <w:t xml:space="preserve"> </w:t>
      </w:r>
      <w:r w:rsidRPr="007C352C">
        <w:rPr>
          <w:color w:val="000000" w:themeColor="text1"/>
        </w:rPr>
        <w:t xml:space="preserve">INF.14 and INF.47. After due consideration, the joint meeting asked Liquid Gas Europe to produce a formal paper for the March 2024 </w:t>
      </w:r>
      <w:r w:rsidR="001D5A5A">
        <w:rPr>
          <w:color w:val="000000" w:themeColor="text1"/>
        </w:rPr>
        <w:t>J</w:t>
      </w:r>
      <w:r w:rsidRPr="007C352C">
        <w:rPr>
          <w:color w:val="000000" w:themeColor="text1"/>
        </w:rPr>
        <w:t xml:space="preserve">oint </w:t>
      </w:r>
      <w:r w:rsidR="001D5A5A">
        <w:rPr>
          <w:color w:val="000000" w:themeColor="text1"/>
        </w:rPr>
        <w:t>M</w:t>
      </w:r>
      <w:r w:rsidR="001D5A5A" w:rsidRPr="007C352C">
        <w:rPr>
          <w:color w:val="000000" w:themeColor="text1"/>
        </w:rPr>
        <w:t xml:space="preserve">eeting </w:t>
      </w:r>
      <w:r w:rsidRPr="007C352C">
        <w:rPr>
          <w:color w:val="000000" w:themeColor="text1"/>
        </w:rPr>
        <w:t xml:space="preserve">with a more detailed justification of the concerns raised. This </w:t>
      </w:r>
      <w:r w:rsidR="009F4C20">
        <w:rPr>
          <w:color w:val="000000" w:themeColor="text1"/>
        </w:rPr>
        <w:t>document</w:t>
      </w:r>
      <w:r w:rsidR="009F4C20" w:rsidRPr="007C352C">
        <w:rPr>
          <w:color w:val="000000" w:themeColor="text1"/>
        </w:rPr>
        <w:t xml:space="preserve"> </w:t>
      </w:r>
      <w:r w:rsidRPr="007C352C">
        <w:rPr>
          <w:color w:val="000000" w:themeColor="text1"/>
        </w:rPr>
        <w:t xml:space="preserve">is based on </w:t>
      </w:r>
      <w:r w:rsidR="009F4C20">
        <w:rPr>
          <w:color w:val="000000" w:themeColor="text1"/>
        </w:rPr>
        <w:t xml:space="preserve">informal documents </w:t>
      </w:r>
      <w:r w:rsidRPr="007C352C">
        <w:rPr>
          <w:color w:val="000000" w:themeColor="text1"/>
        </w:rPr>
        <w:t xml:space="preserve">INF.14 and INF.47 and is also accompanied by an informal support paper produced by </w:t>
      </w:r>
      <w:r w:rsidR="007E0CCC">
        <w:rPr>
          <w:color w:val="000000" w:themeColor="text1"/>
        </w:rPr>
        <w:t xml:space="preserve">Instituto </w:t>
      </w:r>
      <w:proofErr w:type="spellStart"/>
      <w:r w:rsidR="00F05100">
        <w:rPr>
          <w:color w:val="000000" w:themeColor="text1"/>
        </w:rPr>
        <w:t>Tecnológico</w:t>
      </w:r>
      <w:proofErr w:type="spellEnd"/>
      <w:r w:rsidR="00F05100">
        <w:rPr>
          <w:color w:val="000000" w:themeColor="text1"/>
        </w:rPr>
        <w:t xml:space="preserve"> de </w:t>
      </w:r>
      <w:proofErr w:type="spellStart"/>
      <w:r w:rsidR="00F05100">
        <w:rPr>
          <w:color w:val="000000" w:themeColor="text1"/>
        </w:rPr>
        <w:t>Gás</w:t>
      </w:r>
      <w:proofErr w:type="spellEnd"/>
      <w:r w:rsidR="00F05100">
        <w:rPr>
          <w:color w:val="000000" w:themeColor="text1"/>
        </w:rPr>
        <w:t xml:space="preserve"> (</w:t>
      </w:r>
      <w:r w:rsidRPr="007C352C">
        <w:rPr>
          <w:color w:val="000000" w:themeColor="text1"/>
        </w:rPr>
        <w:t>ITG</w:t>
      </w:r>
      <w:r w:rsidR="00F05100">
        <w:rPr>
          <w:color w:val="000000" w:themeColor="text1"/>
        </w:rPr>
        <w:t>)</w:t>
      </w:r>
      <w:r w:rsidRPr="007C352C">
        <w:rPr>
          <w:color w:val="000000" w:themeColor="text1"/>
        </w:rPr>
        <w:t>, the accredited certification body in Portugal and technically recognised for carrying out inspections of gas installations and gas distribution networks and branches</w:t>
      </w:r>
      <w:r w:rsidR="00C24375">
        <w:rPr>
          <w:color w:val="000000" w:themeColor="text1"/>
        </w:rPr>
        <w:t xml:space="preserve"> </w:t>
      </w:r>
      <w:r w:rsidR="00C24375" w:rsidRPr="00BD07C5">
        <w:rPr>
          <w:color w:val="000000" w:themeColor="text1"/>
        </w:rPr>
        <w:t>(informal document INF.</w:t>
      </w:r>
      <w:r w:rsidR="00BD07C5" w:rsidRPr="00BD07C5">
        <w:rPr>
          <w:color w:val="000000" w:themeColor="text1"/>
        </w:rPr>
        <w:t>6</w:t>
      </w:r>
      <w:r w:rsidR="00C24375" w:rsidRPr="00BD07C5">
        <w:rPr>
          <w:color w:val="000000" w:themeColor="text1"/>
        </w:rPr>
        <w:t>)</w:t>
      </w:r>
      <w:r w:rsidRPr="00BD07C5">
        <w:rPr>
          <w:color w:val="000000" w:themeColor="text1"/>
        </w:rPr>
        <w:t>.</w:t>
      </w:r>
      <w:r w:rsidRPr="007C352C">
        <w:rPr>
          <w:color w:val="000000" w:themeColor="text1"/>
        </w:rPr>
        <w:t xml:space="preserve"> </w:t>
      </w:r>
      <w:r w:rsidR="00C24375" w:rsidRPr="007C352C">
        <w:rPr>
          <w:color w:val="000000" w:themeColor="text1"/>
        </w:rPr>
        <w:t>Th</w:t>
      </w:r>
      <w:r w:rsidR="00C24375">
        <w:rPr>
          <w:color w:val="000000" w:themeColor="text1"/>
        </w:rPr>
        <w:t>is</w:t>
      </w:r>
      <w:r w:rsidR="00C24375" w:rsidRPr="007C352C">
        <w:rPr>
          <w:color w:val="000000" w:themeColor="text1"/>
        </w:rPr>
        <w:t xml:space="preserve"> </w:t>
      </w:r>
      <w:r w:rsidR="00F05100">
        <w:rPr>
          <w:color w:val="000000" w:themeColor="text1"/>
        </w:rPr>
        <w:t>informal document</w:t>
      </w:r>
      <w:r w:rsidR="00F05100" w:rsidRPr="007C352C">
        <w:rPr>
          <w:color w:val="000000" w:themeColor="text1"/>
        </w:rPr>
        <w:t xml:space="preserve"> </w:t>
      </w:r>
      <w:r w:rsidRPr="007C352C">
        <w:rPr>
          <w:color w:val="000000" w:themeColor="text1"/>
        </w:rPr>
        <w:t>also includes more details regarding EN 14140 cylinders in circulation in Europe and information about pre-fill inspection and monitoring of cylinders.</w:t>
      </w:r>
    </w:p>
    <w:p w14:paraId="4F0010EA" w14:textId="52BC8893" w:rsidR="002F05B6" w:rsidRPr="007C352C" w:rsidRDefault="005F5D38" w:rsidP="00BD07C5">
      <w:pPr>
        <w:pStyle w:val="HChG"/>
      </w:pPr>
      <w:r>
        <w:tab/>
        <w:t>II.</w:t>
      </w:r>
      <w:r>
        <w:tab/>
      </w:r>
      <w:r w:rsidR="002F05B6" w:rsidRPr="007C352C">
        <w:t>Background to changes requested</w:t>
      </w:r>
    </w:p>
    <w:p w14:paraId="5095B5E7" w14:textId="28A414CC" w:rsidR="002F05B6" w:rsidRDefault="002F05B6" w:rsidP="002F05B6">
      <w:pPr>
        <w:pStyle w:val="SingleTxtG"/>
        <w:suppressAutoHyphens/>
      </w:pPr>
      <w:r>
        <w:t>2.</w:t>
      </w:r>
      <w:r>
        <w:tab/>
      </w:r>
      <w:r w:rsidRPr="0095428F">
        <w:t>The 2015 edition of RID/ADR was amended to permit certain gases of P200 to have their test periods extended from ten to fifteen years</w:t>
      </w:r>
      <w:r>
        <w:rPr>
          <w:lang w:val="en-US"/>
        </w:rPr>
        <w:t xml:space="preserve">. </w:t>
      </w:r>
      <w:r>
        <w:t xml:space="preserve">The </w:t>
      </w:r>
      <w:r w:rsidRPr="00C6743F">
        <w:t>current</w:t>
      </w:r>
      <w:r>
        <w:t xml:space="preserve"> edition of </w:t>
      </w:r>
      <w:r w:rsidR="001B468A">
        <w:t>RID/</w:t>
      </w:r>
      <w:r>
        <w:t xml:space="preserve">ADR contains a transitional measure in 1.6.2.9, applicable to pressure receptacles and receptacles for Class 2, as follows: </w:t>
      </w:r>
      <w:r w:rsidR="00E152A5">
        <w:t>"</w:t>
      </w:r>
      <w:r w:rsidRPr="00C6743F">
        <w:t xml:space="preserve">The provisions of packing instruction P200 (10), special packing provision v of 4.1.4.1 applicable until </w:t>
      </w:r>
      <w:r w:rsidR="00EF4AEC" w:rsidRPr="00A826DD">
        <w:t xml:space="preserve">31 December </w:t>
      </w:r>
      <w:proofErr w:type="gramStart"/>
      <w:r w:rsidR="00EF4AEC" w:rsidRPr="00A826DD">
        <w:t xml:space="preserve">2010 </w:t>
      </w:r>
      <w:r w:rsidRPr="00C6743F">
        <w:t xml:space="preserve"> may</w:t>
      </w:r>
      <w:proofErr w:type="gramEnd"/>
      <w:r w:rsidRPr="00C6743F">
        <w:t xml:space="preserve"> be applied by </w:t>
      </w:r>
      <w:r w:rsidR="00D6518E">
        <w:t>RID Contracting States/</w:t>
      </w:r>
      <w:r w:rsidRPr="00C6743F">
        <w:t>Contracting Parties to ADR to cylinders constructed before</w:t>
      </w:r>
      <w:r>
        <w:t xml:space="preserve"> </w:t>
      </w:r>
      <w:r w:rsidR="00EF4AEC" w:rsidRPr="00A826DD">
        <w:t>1 January 2015</w:t>
      </w:r>
      <w:r w:rsidRPr="00C6743F">
        <w:t>.</w:t>
      </w:r>
      <w:r w:rsidR="00E152A5">
        <w:t>"</w:t>
      </w:r>
    </w:p>
    <w:p w14:paraId="1A70310B" w14:textId="61ECC068" w:rsidR="002F05B6" w:rsidRDefault="002F05B6" w:rsidP="002F05B6">
      <w:pPr>
        <w:pStyle w:val="SingleTxtG"/>
        <w:suppressAutoHyphens/>
      </w:pPr>
      <w:r>
        <w:t>3.</w:t>
      </w:r>
      <w:r>
        <w:tab/>
        <w:t xml:space="preserve">Therefore, the wording of </w:t>
      </w:r>
      <w:r w:rsidR="008677E2">
        <w:t>RID/</w:t>
      </w:r>
      <w:r>
        <w:t xml:space="preserve">ADR 2009 applies to transitional measure 1.6.2.9. In </w:t>
      </w:r>
      <w:r w:rsidR="008677E2">
        <w:t>RID/</w:t>
      </w:r>
      <w:r>
        <w:t xml:space="preserve">ADR 2009, the provisions of packing instruction 4.1.4.1 P200 (10), special packing provision ‘v’ are as follows: </w:t>
      </w:r>
    </w:p>
    <w:p w14:paraId="5D162978" w14:textId="529E426D" w:rsidR="002F05B6" w:rsidRPr="000A15FC" w:rsidRDefault="00540721" w:rsidP="002F05B6">
      <w:pPr>
        <w:pStyle w:val="SingleTxtG"/>
        <w:ind w:left="1689"/>
        <w:rPr>
          <w:i/>
          <w:iCs/>
        </w:rPr>
      </w:pPr>
      <w:r>
        <w:rPr>
          <w:i/>
          <w:iCs/>
        </w:rPr>
        <w:t>"</w:t>
      </w:r>
      <w:r w:rsidR="002F05B6" w:rsidRPr="000A15FC">
        <w:rPr>
          <w:i/>
          <w:iCs/>
        </w:rPr>
        <w:t>v: The interval between inspections for steel cylinders may be extended to 15 years:</w:t>
      </w:r>
    </w:p>
    <w:p w14:paraId="3641BC75" w14:textId="77777777" w:rsidR="002F05B6" w:rsidRPr="000A15FC" w:rsidRDefault="002F05B6" w:rsidP="002F05B6">
      <w:pPr>
        <w:pStyle w:val="SingleTxtG"/>
        <w:suppressAutoHyphens/>
        <w:ind w:left="2049" w:hanging="360"/>
        <w:rPr>
          <w:i/>
          <w:iCs/>
        </w:rPr>
      </w:pPr>
      <w:r w:rsidRPr="000A15FC">
        <w:rPr>
          <w:i/>
          <w:iCs/>
        </w:rPr>
        <w:t>(a)</w:t>
      </w:r>
      <w:r w:rsidRPr="000A15FC">
        <w:rPr>
          <w:i/>
          <w:iCs/>
        </w:rPr>
        <w:tab/>
        <w:t>With the agreement of the competent authority (authorities) of the country (countries) where the periodic inspection and the carriage take place; and</w:t>
      </w:r>
    </w:p>
    <w:p w14:paraId="12E7A282" w14:textId="1C6737FA" w:rsidR="002F05B6" w:rsidRPr="00BD07C5" w:rsidRDefault="002F05B6" w:rsidP="002F05B6">
      <w:pPr>
        <w:pStyle w:val="SingleTxtG"/>
        <w:suppressAutoHyphens/>
        <w:ind w:left="2049" w:hanging="360"/>
        <w:rPr>
          <w:i/>
          <w:iCs/>
        </w:rPr>
      </w:pPr>
      <w:r w:rsidRPr="000A15FC">
        <w:rPr>
          <w:i/>
          <w:iCs/>
        </w:rPr>
        <w:t>(b)</w:t>
      </w:r>
      <w:r w:rsidRPr="00BD07C5">
        <w:rPr>
          <w:i/>
          <w:iCs/>
        </w:rPr>
        <w:tab/>
      </w:r>
      <w:r w:rsidRPr="000A15FC">
        <w:rPr>
          <w:i/>
          <w:iCs/>
        </w:rPr>
        <w:t>In accordance with the requirements of a technical code or a standard recognised by the competent authority, or standard EN 1440:1996 “Transportable refillable welded cylinders for liquified petroleum gas (LPG) – Periodic requalification</w:t>
      </w:r>
      <w:r w:rsidR="00540721">
        <w:rPr>
          <w:i/>
          <w:iCs/>
        </w:rPr>
        <w:t>"</w:t>
      </w:r>
      <w:r w:rsidRPr="00BD07C5">
        <w:rPr>
          <w:i/>
          <w:iCs/>
        </w:rPr>
        <w:t>.</w:t>
      </w:r>
    </w:p>
    <w:p w14:paraId="5B520C13" w14:textId="517A2761" w:rsidR="002F05B6" w:rsidRDefault="002F05B6" w:rsidP="002F05B6">
      <w:pPr>
        <w:pStyle w:val="SingleTxtG"/>
        <w:suppressAutoHyphens/>
      </w:pPr>
      <w:r>
        <w:t>4.</w:t>
      </w:r>
      <w:r>
        <w:tab/>
      </w:r>
      <w:r w:rsidRPr="00D4114A">
        <w:rPr>
          <w:color w:val="000000" w:themeColor="text1"/>
        </w:rPr>
        <w:t xml:space="preserve">EN 14140 was first referenced in </w:t>
      </w:r>
      <w:r w:rsidR="007412A5">
        <w:rPr>
          <w:color w:val="000000" w:themeColor="text1"/>
        </w:rPr>
        <w:t>RID/</w:t>
      </w:r>
      <w:r w:rsidRPr="00D4114A">
        <w:rPr>
          <w:color w:val="000000" w:themeColor="text1"/>
        </w:rPr>
        <w:t xml:space="preserve">ADR 2005 and </w:t>
      </w:r>
      <w:r>
        <w:t xml:space="preserve">is referenced in </w:t>
      </w:r>
      <w:r w:rsidR="007412A5">
        <w:t>RID/</w:t>
      </w:r>
      <w:r>
        <w:t>ADR 2009</w:t>
      </w:r>
      <w:r w:rsidR="00FF6ED1">
        <w:t>,</w:t>
      </w:r>
      <w:r>
        <w:t xml:space="preserve"> </w:t>
      </w:r>
      <w:r w:rsidR="00FF6ED1">
        <w:t xml:space="preserve">section </w:t>
      </w:r>
      <w:r>
        <w:t xml:space="preserve">6.2.4 (both EN 14140:2003 and EN 14140:2003+A1:2006). EN 14140 is currently referenced in </w:t>
      </w:r>
      <w:r w:rsidR="007412A5">
        <w:t>RID/</w:t>
      </w:r>
      <w:r>
        <w:t xml:space="preserve">ADR 2023 </w:t>
      </w:r>
      <w:r w:rsidR="00FF6ED1">
        <w:t xml:space="preserve">section </w:t>
      </w:r>
      <w:r>
        <w:t xml:space="preserve">6.2.4 (latest version EN 14140:2014+AC:2015), but only cylinders manufactured before </w:t>
      </w:r>
      <w:r w:rsidR="00FF6ED1">
        <w:t>1</w:t>
      </w:r>
      <w:r>
        <w:t xml:space="preserve"> January 2015 are allowed to have their periodic inspection interval extended to 15 years.</w:t>
      </w:r>
    </w:p>
    <w:p w14:paraId="75A60D3D" w14:textId="44DB8D46" w:rsidR="002F05B6" w:rsidRPr="006D29E0" w:rsidRDefault="002F05B6" w:rsidP="002F05B6">
      <w:pPr>
        <w:pStyle w:val="SingleTxtG"/>
        <w:suppressAutoHyphens/>
      </w:pPr>
      <w:r>
        <w:t>5</w:t>
      </w:r>
      <w:r w:rsidRPr="00A83FDF">
        <w:t>.</w:t>
      </w:r>
      <w:r w:rsidRPr="00A83FDF">
        <w:tab/>
      </w:r>
      <w:r w:rsidR="00FF6ED1">
        <w:t>S</w:t>
      </w:r>
      <w:r>
        <w:t xml:space="preserve">tandard </w:t>
      </w:r>
      <w:r w:rsidRPr="00216F6B">
        <w:t xml:space="preserve">EN 14140 </w:t>
      </w:r>
      <w:r>
        <w:t>was developed</w:t>
      </w:r>
      <w:r w:rsidRPr="00216F6B">
        <w:t xml:space="preserve"> by CEN TC286, the same group of experts that developed EN 1442 (Transportable refillable welded steel cylinders for LPG - Design and construction)</w:t>
      </w:r>
      <w:r>
        <w:t>.</w:t>
      </w:r>
      <w:r w:rsidRPr="00216F6B">
        <w:t xml:space="preserve"> </w:t>
      </w:r>
      <w:r>
        <w:t xml:space="preserve">EN 14140 </w:t>
      </w:r>
      <w:r w:rsidRPr="00216F6B">
        <w:t xml:space="preserve">provides </w:t>
      </w:r>
      <w:r>
        <w:t xml:space="preserve">an </w:t>
      </w:r>
      <w:r w:rsidRPr="00216F6B">
        <w:t xml:space="preserve">equivalent level of safety and quality </w:t>
      </w:r>
      <w:r>
        <w:t>to</w:t>
      </w:r>
      <w:r w:rsidRPr="00216F6B">
        <w:t xml:space="preserve"> those </w:t>
      </w:r>
      <w:r w:rsidRPr="007C4B11">
        <w:rPr>
          <w:color w:val="000000" w:themeColor="text1"/>
        </w:rPr>
        <w:t xml:space="preserve">cylinders </w:t>
      </w:r>
      <w:r>
        <w:t xml:space="preserve">designed and manufactured under </w:t>
      </w:r>
      <w:r w:rsidRPr="00216F6B">
        <w:t>EN 1442</w:t>
      </w:r>
      <w:r>
        <w:t xml:space="preserve">. </w:t>
      </w:r>
      <w:r w:rsidRPr="006D29E0">
        <w:rPr>
          <w:lang w:val="en-US"/>
        </w:rPr>
        <w:t>EN</w:t>
      </w:r>
      <w:r w:rsidR="00FF6ED1">
        <w:rPr>
          <w:lang w:val="en-US"/>
        </w:rPr>
        <w:t> </w:t>
      </w:r>
      <w:r w:rsidRPr="006D29E0">
        <w:rPr>
          <w:lang w:val="en-US"/>
        </w:rPr>
        <w:t xml:space="preserve">14140 is a more demanding standard than EN 1442 for traditional carbon steel </w:t>
      </w:r>
      <w:r>
        <w:rPr>
          <w:lang w:val="en-US"/>
        </w:rPr>
        <w:t>cylinders</w:t>
      </w:r>
      <w:r w:rsidRPr="006D29E0">
        <w:rPr>
          <w:lang w:val="en-US"/>
        </w:rPr>
        <w:t>.</w:t>
      </w:r>
      <w:r>
        <w:t xml:space="preserve"> </w:t>
      </w:r>
      <w:r w:rsidRPr="00216F6B">
        <w:t>EN 14140</w:t>
      </w:r>
      <w:r>
        <w:t xml:space="preserve"> was first published in 2003</w:t>
      </w:r>
      <w:r w:rsidRPr="00216F6B">
        <w:t xml:space="preserve"> </w:t>
      </w:r>
      <w:r>
        <w:t xml:space="preserve">and </w:t>
      </w:r>
      <w:r w:rsidRPr="00216F6B">
        <w:t>has been subjected to several improvements by amendments, corrigend</w:t>
      </w:r>
      <w:r>
        <w:t>a,</w:t>
      </w:r>
      <w:r w:rsidRPr="00216F6B">
        <w:t xml:space="preserve"> and revisions, resulting</w:t>
      </w:r>
      <w:r>
        <w:t xml:space="preserve"> in EN 14140:2014 + AC:2015, which is referenced in </w:t>
      </w:r>
      <w:r w:rsidR="007412A5">
        <w:t>RID/</w:t>
      </w:r>
      <w:r>
        <w:t>ADR 2023.</w:t>
      </w:r>
    </w:p>
    <w:p w14:paraId="7E56E347" w14:textId="35C799EF" w:rsidR="002F05B6" w:rsidRPr="002F05B6" w:rsidRDefault="002F05B6" w:rsidP="002F05B6">
      <w:pPr>
        <w:pStyle w:val="SingleTxtG"/>
        <w:suppressAutoHyphens/>
      </w:pPr>
      <w:r>
        <w:t>6.</w:t>
      </w:r>
      <w:r>
        <w:tab/>
      </w:r>
      <w:r w:rsidRPr="00833D9D">
        <w:rPr>
          <w:color w:val="000000" w:themeColor="text1"/>
          <w:lang w:val="en-US"/>
        </w:rPr>
        <w:t xml:space="preserve">More than half of the EN 14140 </w:t>
      </w:r>
      <w:r w:rsidRPr="00833D9D">
        <w:rPr>
          <w:color w:val="000000" w:themeColor="text1"/>
        </w:rPr>
        <w:t>cylinders</w:t>
      </w:r>
      <w:r w:rsidRPr="00833D9D">
        <w:rPr>
          <w:color w:val="000000" w:themeColor="text1"/>
          <w:lang w:val="en-US"/>
        </w:rPr>
        <w:t xml:space="preserve"> in circulation in Europe </w:t>
      </w:r>
      <w:r w:rsidRPr="00833D9D">
        <w:rPr>
          <w:color w:val="000000" w:themeColor="text1"/>
        </w:rPr>
        <w:t xml:space="preserve">have entered service since 2009, with only those manufactured before </w:t>
      </w:r>
      <w:r w:rsidR="00FF6ED1">
        <w:rPr>
          <w:color w:val="000000" w:themeColor="text1"/>
        </w:rPr>
        <w:t>1</w:t>
      </w:r>
      <w:r w:rsidRPr="00833D9D">
        <w:rPr>
          <w:color w:val="000000" w:themeColor="text1"/>
        </w:rPr>
        <w:t xml:space="preserve"> January 2015 allowed to be marked P15Y. A high number of EN 14140 cylinders manufactured between 2003 and 2008 </w:t>
      </w:r>
      <w:r w:rsidRPr="007C352C">
        <w:rPr>
          <w:color w:val="000000" w:themeColor="text1"/>
          <w:lang w:val="en-US"/>
        </w:rPr>
        <w:t xml:space="preserve">belonging to the same operator </w:t>
      </w:r>
      <w:r w:rsidRPr="007C352C">
        <w:rPr>
          <w:color w:val="000000" w:themeColor="text1"/>
        </w:rPr>
        <w:t>have been allowed to have 15 years between periodic, and no safety issues have been recorded. In practice, no noticeable difference has been reported, in terms of failures, between 10 and 15-year periodic inspection intervals, for EN 14140 cylinders.</w:t>
      </w:r>
    </w:p>
    <w:p w14:paraId="665A2063" w14:textId="77777777" w:rsidR="002F05B6" w:rsidRPr="002F05B6" w:rsidRDefault="002F05B6" w:rsidP="002F05B6">
      <w:pPr>
        <w:pStyle w:val="SingleTxtG"/>
        <w:suppressAutoHyphens/>
      </w:pPr>
      <w:r w:rsidRPr="00833D9D">
        <w:rPr>
          <w:color w:val="000000" w:themeColor="text1"/>
          <w:lang w:val="en-US"/>
        </w:rPr>
        <w:lastRenderedPageBreak/>
        <w:t>7.</w:t>
      </w:r>
      <w:r w:rsidRPr="00833D9D">
        <w:rPr>
          <w:color w:val="000000" w:themeColor="text1"/>
          <w:lang w:val="en-US"/>
        </w:rPr>
        <w:tab/>
        <w:t>After more than twenty years of experience with EN14140, there are no indications of lower safety in its use compared to classic carbon steel containers</w:t>
      </w:r>
      <w:r w:rsidRPr="002F05B6">
        <w:rPr>
          <w:lang w:val="en-US"/>
        </w:rPr>
        <w:t>.</w:t>
      </w:r>
      <w:r w:rsidRPr="002F05B6">
        <w:rPr>
          <w:rFonts w:ascii="Georgia" w:hAnsi="Georgia"/>
          <w:sz w:val="21"/>
          <w:szCs w:val="21"/>
        </w:rPr>
        <w:t xml:space="preserve"> </w:t>
      </w:r>
    </w:p>
    <w:p w14:paraId="5B93AA16" w14:textId="6C8AF377" w:rsidR="002F05B6" w:rsidRPr="00833D9D" w:rsidRDefault="002F05B6" w:rsidP="002F05B6">
      <w:pPr>
        <w:pStyle w:val="HChG"/>
      </w:pPr>
      <w:r>
        <w:tab/>
      </w:r>
      <w:r w:rsidR="005F5D38">
        <w:t>III.</w:t>
      </w:r>
      <w:r>
        <w:tab/>
      </w:r>
      <w:r w:rsidRPr="00833D9D">
        <w:t>Pre-fill inspection and monitoring of cylinders</w:t>
      </w:r>
    </w:p>
    <w:p w14:paraId="4AF0F312" w14:textId="4569480E" w:rsidR="002F05B6" w:rsidRPr="007C352C" w:rsidRDefault="002F05B6" w:rsidP="002F05B6">
      <w:pPr>
        <w:pStyle w:val="SingleTxtG"/>
        <w:suppressAutoHyphens/>
        <w:rPr>
          <w:color w:val="000000" w:themeColor="text1"/>
        </w:rPr>
      </w:pPr>
      <w:r>
        <w:rPr>
          <w:color w:val="000000" w:themeColor="text1"/>
        </w:rPr>
        <w:t>8</w:t>
      </w:r>
      <w:r w:rsidRPr="006D29E0">
        <w:rPr>
          <w:color w:val="000000" w:themeColor="text1"/>
        </w:rPr>
        <w:t>.</w:t>
      </w:r>
      <w:r w:rsidRPr="006D29E0">
        <w:rPr>
          <w:color w:val="000000" w:themeColor="text1"/>
        </w:rPr>
        <w:tab/>
        <w:t>The current standard for inspection before, during, and after filling is EN 1439:2021 (required by 4.1.4.1</w:t>
      </w:r>
      <w:r w:rsidR="00FF6ED1">
        <w:rPr>
          <w:color w:val="000000" w:themeColor="text1"/>
        </w:rPr>
        <w:t>,</w:t>
      </w:r>
      <w:r w:rsidRPr="006D29E0">
        <w:rPr>
          <w:color w:val="000000" w:themeColor="text1"/>
        </w:rPr>
        <w:t xml:space="preserve"> P200 (12), 2, 2.1)</w:t>
      </w:r>
      <w:r>
        <w:rPr>
          <w:color w:val="000000" w:themeColor="text1"/>
        </w:rPr>
        <w:t xml:space="preserve">, it </w:t>
      </w:r>
      <w:r w:rsidRPr="006D29E0">
        <w:rPr>
          <w:color w:val="000000" w:themeColor="text1"/>
        </w:rPr>
        <w:t>requires that before cylinders are accepted for filling, they are inspected for bulges, dents, cuts, gouges, cracks, lamination, isolated corrosion pits, area corrosion, general corrosion, chain pitting or line or channel corrosion, crevice corrosion, and other damage. There are specific requirements to check the foot-ring area for damage and corrosion. All external surfaces of the cylinder inspected during the periodic inspection are also inspected at the time of filling. Cylinders that are rejected at the time of filling due to the defects listed above are either scrapped or undergo rectification work before they can be returned to service.</w:t>
      </w:r>
      <w:r w:rsidRPr="006D29E0">
        <w:rPr>
          <w:lang w:val="en-US"/>
        </w:rPr>
        <w:t xml:space="preserve"> </w:t>
      </w:r>
    </w:p>
    <w:p w14:paraId="18A9D4A8" w14:textId="4D7960B4" w:rsidR="002F05B6" w:rsidRPr="00833D9D" w:rsidRDefault="002F05B6" w:rsidP="002F05B6">
      <w:pPr>
        <w:pStyle w:val="SingleTxtG"/>
        <w:suppressAutoHyphens/>
        <w:rPr>
          <w:color w:val="000000" w:themeColor="text1"/>
        </w:rPr>
      </w:pPr>
      <w:r w:rsidRPr="00833D9D">
        <w:rPr>
          <w:color w:val="000000" w:themeColor="text1"/>
          <w:lang w:val="en-US"/>
        </w:rPr>
        <w:t>9.</w:t>
      </w:r>
      <w:r w:rsidRPr="00833D9D">
        <w:rPr>
          <w:color w:val="000000" w:themeColor="text1"/>
          <w:lang w:val="en-US"/>
        </w:rPr>
        <w:tab/>
        <w:t>The inspection required by</w:t>
      </w:r>
      <w:r>
        <w:rPr>
          <w:color w:val="000000" w:themeColor="text1"/>
          <w:lang w:val="en-US"/>
        </w:rPr>
        <w:t xml:space="preserve"> </w:t>
      </w:r>
      <w:r w:rsidRPr="00833D9D">
        <w:rPr>
          <w:color w:val="000000" w:themeColor="text1"/>
          <w:lang w:val="en-US"/>
        </w:rPr>
        <w:t>EN</w:t>
      </w:r>
      <w:r w:rsidR="0039265E">
        <w:rPr>
          <w:color w:val="000000" w:themeColor="text1"/>
          <w:lang w:val="en-US"/>
        </w:rPr>
        <w:t> </w:t>
      </w:r>
      <w:r w:rsidRPr="00833D9D">
        <w:rPr>
          <w:color w:val="000000" w:themeColor="text1"/>
          <w:lang w:val="en-US"/>
        </w:rPr>
        <w:t xml:space="preserve">16728 </w:t>
      </w:r>
      <w:r w:rsidRPr="007C352C">
        <w:rPr>
          <w:color w:val="000000" w:themeColor="text1"/>
        </w:rPr>
        <w:t>for </w:t>
      </w:r>
      <w:r>
        <w:rPr>
          <w:color w:val="000000" w:themeColor="text1"/>
        </w:rPr>
        <w:t>p</w:t>
      </w:r>
      <w:r w:rsidRPr="007C352C">
        <w:rPr>
          <w:color w:val="000000" w:themeColor="text1"/>
        </w:rPr>
        <w:t xml:space="preserve">eriodic </w:t>
      </w:r>
      <w:r>
        <w:rPr>
          <w:color w:val="000000" w:themeColor="text1"/>
        </w:rPr>
        <w:t>i</w:t>
      </w:r>
      <w:r w:rsidRPr="007C352C">
        <w:rPr>
          <w:color w:val="000000" w:themeColor="text1"/>
        </w:rPr>
        <w:t>nspections of transportable refillable LPG gas cylinders other than traditional welded and brazed steel cylinders</w:t>
      </w:r>
      <w:r>
        <w:rPr>
          <w:color w:val="000000" w:themeColor="text1"/>
        </w:rPr>
        <w:t xml:space="preserve">, </w:t>
      </w:r>
      <w:r w:rsidRPr="00833D9D">
        <w:rPr>
          <w:color w:val="000000" w:themeColor="text1"/>
          <w:lang w:val="en-US"/>
        </w:rPr>
        <w:t>is of greater scope than that indicated in the requalification of carbon steel cylinders by EN 1440.</w:t>
      </w:r>
      <w:r>
        <w:rPr>
          <w:color w:val="000000" w:themeColor="text1"/>
        </w:rPr>
        <w:t xml:space="preserve"> </w:t>
      </w:r>
      <w:r w:rsidRPr="00833D9D">
        <w:rPr>
          <w:color w:val="000000" w:themeColor="text1"/>
          <w:lang w:val="en-US"/>
        </w:rPr>
        <w:t>The inspection process during packaging and requalification, in the case of P15Y marking, must be audited by an inspection body, unlike for a 10-year cylinder.</w:t>
      </w:r>
    </w:p>
    <w:p w14:paraId="464FDFB6" w14:textId="3D1EBDF6" w:rsidR="002F05B6" w:rsidRPr="00833D9D" w:rsidRDefault="002F05B6" w:rsidP="002F05B6">
      <w:pPr>
        <w:pStyle w:val="SingleTxtG"/>
        <w:suppressAutoHyphens/>
        <w:rPr>
          <w:color w:val="000000" w:themeColor="text1"/>
        </w:rPr>
      </w:pPr>
      <w:r>
        <w:rPr>
          <w:color w:val="000000" w:themeColor="text1"/>
        </w:rPr>
        <w:t>10</w:t>
      </w:r>
      <w:r w:rsidRPr="00833D9D">
        <w:rPr>
          <w:color w:val="000000" w:themeColor="text1"/>
        </w:rPr>
        <w:t>.</w:t>
      </w:r>
      <w:r w:rsidRPr="00833D9D">
        <w:rPr>
          <w:color w:val="000000" w:themeColor="text1"/>
        </w:rPr>
        <w:tab/>
        <w:t>LPG of a quality mandated by 4.1.4.1 P200 (12) (2.5) does not cause internal corrosion in steel cylinders.</w:t>
      </w:r>
    </w:p>
    <w:p w14:paraId="0146292E" w14:textId="797E1C47" w:rsidR="002F05B6" w:rsidRPr="00D81950" w:rsidRDefault="002F05B6" w:rsidP="002F05B6">
      <w:pPr>
        <w:pStyle w:val="HChG"/>
      </w:pPr>
      <w:r>
        <w:tab/>
      </w:r>
      <w:r w:rsidR="005F5D38">
        <w:t>IV.</w:t>
      </w:r>
      <w:r>
        <w:tab/>
      </w:r>
      <w:r w:rsidRPr="00BD7500">
        <w:t>Draft</w:t>
      </w:r>
      <w:r>
        <w:t xml:space="preserve"> proposal</w:t>
      </w:r>
    </w:p>
    <w:p w14:paraId="7BA677F0" w14:textId="5F6A5989" w:rsidR="002F05B6" w:rsidRPr="00A83FDF" w:rsidRDefault="002F05B6" w:rsidP="002F05B6">
      <w:pPr>
        <w:pStyle w:val="SingleTxtG"/>
      </w:pPr>
      <w:r>
        <w:t>11.</w:t>
      </w:r>
      <w:r>
        <w:tab/>
        <w:t>Amend</w:t>
      </w:r>
      <w:r w:rsidRPr="00A83FDF">
        <w:t xml:space="preserve"> P200</w:t>
      </w:r>
      <w:r>
        <w:t xml:space="preserve"> (12) (1.3) in 4.1.4.1 as follows (new text is shown in bold, underlined):</w:t>
      </w:r>
    </w:p>
    <w:p w14:paraId="3C54352A" w14:textId="5D789F6A" w:rsidR="002F05B6" w:rsidRPr="00CB2FBC" w:rsidRDefault="00EA25C3" w:rsidP="003446AE">
      <w:pPr>
        <w:spacing w:after="120"/>
        <w:ind w:left="1701" w:right="1134"/>
        <w:jc w:val="both"/>
        <w:rPr>
          <w:rFonts w:asciiTheme="majorBidi" w:hAnsiTheme="majorBidi" w:cstheme="majorBidi"/>
        </w:rPr>
      </w:pPr>
      <w:r>
        <w:rPr>
          <w:rFonts w:asciiTheme="majorBidi" w:hAnsiTheme="majorBidi" w:cstheme="majorBidi"/>
        </w:rPr>
        <w:t>"</w:t>
      </w:r>
      <w:r w:rsidR="002F05B6" w:rsidRPr="00CB2FBC">
        <w:rPr>
          <w:rFonts w:asciiTheme="majorBidi" w:hAnsiTheme="majorBidi" w:cstheme="majorBidi"/>
        </w:rPr>
        <w:t>1.3</w:t>
      </w:r>
      <w:r w:rsidR="002F05B6" w:rsidRPr="00CB2FBC">
        <w:rPr>
          <w:rFonts w:asciiTheme="majorBidi" w:hAnsiTheme="majorBidi" w:cstheme="majorBidi"/>
        </w:rPr>
        <w:tab/>
        <w:t>Cylinders manufactured since 1 January 1999 shall have been manufactured in conformity with the following standards:</w:t>
      </w:r>
    </w:p>
    <w:p w14:paraId="05885EC2" w14:textId="77777777" w:rsidR="002F05B6" w:rsidRPr="00CB2FBC" w:rsidRDefault="002F05B6" w:rsidP="003446AE">
      <w:pPr>
        <w:pStyle w:val="ListParagraph"/>
        <w:spacing w:after="120" w:line="259" w:lineRule="auto"/>
        <w:ind w:left="1701" w:right="1134"/>
        <w:jc w:val="both"/>
        <w:rPr>
          <w:rFonts w:asciiTheme="majorBidi" w:hAnsiTheme="majorBidi" w:cstheme="majorBidi"/>
          <w:sz w:val="20"/>
          <w:szCs w:val="20"/>
        </w:rPr>
      </w:pPr>
      <w:r>
        <w:rPr>
          <w:rFonts w:asciiTheme="majorBidi" w:hAnsiTheme="majorBidi" w:cstheme="majorBidi"/>
          <w:sz w:val="20"/>
          <w:szCs w:val="20"/>
        </w:rPr>
        <w:t>-</w:t>
      </w:r>
      <w:r>
        <w:rPr>
          <w:rFonts w:asciiTheme="majorBidi" w:hAnsiTheme="majorBidi" w:cstheme="majorBidi"/>
          <w:sz w:val="20"/>
          <w:szCs w:val="20"/>
        </w:rPr>
        <w:tab/>
      </w:r>
      <w:r w:rsidRPr="00CB2FBC">
        <w:rPr>
          <w:rFonts w:asciiTheme="majorBidi" w:hAnsiTheme="majorBidi" w:cstheme="majorBidi"/>
          <w:sz w:val="20"/>
          <w:szCs w:val="20"/>
        </w:rPr>
        <w:t>EN 1442; or</w:t>
      </w:r>
    </w:p>
    <w:p w14:paraId="5BA7EB6D" w14:textId="77777777" w:rsidR="002F05B6" w:rsidRPr="00CB2FBC" w:rsidRDefault="002F05B6" w:rsidP="003446AE">
      <w:pPr>
        <w:pStyle w:val="ListParagraph"/>
        <w:spacing w:after="120" w:line="259" w:lineRule="auto"/>
        <w:ind w:left="1701" w:right="1134"/>
        <w:jc w:val="both"/>
        <w:rPr>
          <w:rFonts w:asciiTheme="majorBidi" w:hAnsiTheme="majorBidi" w:cstheme="majorBidi"/>
          <w:b/>
          <w:bCs/>
          <w:sz w:val="20"/>
          <w:szCs w:val="20"/>
          <w:u w:val="single"/>
        </w:rPr>
      </w:pPr>
      <w:r>
        <w:rPr>
          <w:rFonts w:asciiTheme="majorBidi" w:hAnsiTheme="majorBidi" w:cstheme="majorBidi"/>
          <w:sz w:val="20"/>
          <w:szCs w:val="20"/>
        </w:rPr>
        <w:t>-</w:t>
      </w:r>
      <w:r>
        <w:rPr>
          <w:rFonts w:asciiTheme="majorBidi" w:hAnsiTheme="majorBidi" w:cstheme="majorBidi"/>
          <w:sz w:val="20"/>
          <w:szCs w:val="20"/>
        </w:rPr>
        <w:tab/>
      </w:r>
      <w:r w:rsidRPr="00CB2FBC">
        <w:rPr>
          <w:rFonts w:asciiTheme="majorBidi" w:hAnsiTheme="majorBidi" w:cstheme="majorBidi"/>
          <w:b/>
          <w:bCs/>
          <w:sz w:val="20"/>
          <w:szCs w:val="20"/>
          <w:u w:val="single"/>
        </w:rPr>
        <w:t>EN 14140; or</w:t>
      </w:r>
    </w:p>
    <w:p w14:paraId="53FFA238" w14:textId="77777777" w:rsidR="002F05B6" w:rsidRPr="00CB2FBC" w:rsidRDefault="002F05B6" w:rsidP="003446AE">
      <w:pPr>
        <w:pStyle w:val="ListParagraph"/>
        <w:spacing w:after="120" w:line="259" w:lineRule="auto"/>
        <w:ind w:left="1701" w:right="1134"/>
        <w:jc w:val="both"/>
        <w:rPr>
          <w:rFonts w:asciiTheme="majorBidi" w:hAnsiTheme="majorBidi" w:cstheme="majorBidi"/>
          <w:sz w:val="20"/>
          <w:szCs w:val="20"/>
        </w:rPr>
      </w:pPr>
      <w:r>
        <w:rPr>
          <w:rFonts w:asciiTheme="majorBidi" w:hAnsiTheme="majorBidi" w:cstheme="majorBidi"/>
          <w:sz w:val="20"/>
          <w:szCs w:val="20"/>
        </w:rPr>
        <w:t>-</w:t>
      </w:r>
      <w:r>
        <w:rPr>
          <w:rFonts w:asciiTheme="majorBidi" w:hAnsiTheme="majorBidi" w:cstheme="majorBidi"/>
          <w:sz w:val="20"/>
          <w:szCs w:val="20"/>
        </w:rPr>
        <w:tab/>
      </w:r>
      <w:r w:rsidRPr="00CB2FBC">
        <w:rPr>
          <w:rFonts w:asciiTheme="majorBidi" w:hAnsiTheme="majorBidi" w:cstheme="majorBidi"/>
          <w:sz w:val="20"/>
          <w:szCs w:val="20"/>
        </w:rPr>
        <w:t>EN 13222-1; or</w:t>
      </w:r>
    </w:p>
    <w:p w14:paraId="10FF0E38" w14:textId="77777777" w:rsidR="002F05B6" w:rsidRPr="00CB2FBC" w:rsidRDefault="002F05B6" w:rsidP="003446AE">
      <w:pPr>
        <w:pStyle w:val="ListParagraph"/>
        <w:spacing w:after="120" w:line="259" w:lineRule="auto"/>
        <w:ind w:left="1701" w:right="1134"/>
        <w:jc w:val="both"/>
        <w:rPr>
          <w:rFonts w:asciiTheme="majorBidi" w:hAnsiTheme="majorBidi" w:cstheme="majorBidi"/>
          <w:sz w:val="20"/>
          <w:szCs w:val="20"/>
        </w:rPr>
      </w:pPr>
      <w:r>
        <w:rPr>
          <w:rFonts w:asciiTheme="majorBidi" w:hAnsiTheme="majorBidi" w:cstheme="majorBidi"/>
          <w:sz w:val="20"/>
          <w:szCs w:val="20"/>
        </w:rPr>
        <w:t>-</w:t>
      </w:r>
      <w:r>
        <w:rPr>
          <w:rFonts w:asciiTheme="majorBidi" w:hAnsiTheme="majorBidi" w:cstheme="majorBidi"/>
          <w:sz w:val="20"/>
          <w:szCs w:val="20"/>
        </w:rPr>
        <w:tab/>
      </w:r>
      <w:r w:rsidRPr="00CB2FBC">
        <w:rPr>
          <w:rFonts w:asciiTheme="majorBidi" w:hAnsiTheme="majorBidi" w:cstheme="majorBidi"/>
          <w:sz w:val="20"/>
          <w:szCs w:val="20"/>
        </w:rPr>
        <w:t>Annex I, parts 1 to 3 to Council Directive 84/527/</w:t>
      </w:r>
      <w:proofErr w:type="spellStart"/>
      <w:r w:rsidRPr="00CB2FBC">
        <w:rPr>
          <w:rFonts w:asciiTheme="majorBidi" w:hAnsiTheme="majorBidi" w:cstheme="majorBidi"/>
          <w:sz w:val="20"/>
          <w:szCs w:val="20"/>
        </w:rPr>
        <w:t>EEC</w:t>
      </w:r>
      <w:r w:rsidRPr="00BD07C5">
        <w:rPr>
          <w:rFonts w:asciiTheme="majorBidi" w:hAnsiTheme="majorBidi" w:cstheme="majorBidi"/>
          <w:b/>
          <w:bCs/>
          <w:sz w:val="20"/>
          <w:szCs w:val="20"/>
          <w:vertAlign w:val="superscript"/>
        </w:rPr>
        <w:t>a</w:t>
      </w:r>
      <w:proofErr w:type="spellEnd"/>
    </w:p>
    <w:p w14:paraId="23D145F3" w14:textId="77777777" w:rsidR="002F05B6" w:rsidRPr="00CB2FBC" w:rsidRDefault="002F05B6" w:rsidP="003446AE">
      <w:pPr>
        <w:spacing w:after="120"/>
        <w:ind w:left="1701" w:right="1134"/>
        <w:jc w:val="both"/>
      </w:pPr>
      <w:r w:rsidRPr="00CB2FBC">
        <w:t>as applicable according to the table in 6.2.4.</w:t>
      </w:r>
    </w:p>
    <w:p w14:paraId="2E753952" w14:textId="0FA5F18D" w:rsidR="002F05B6" w:rsidRPr="008011D2" w:rsidRDefault="002F05B6" w:rsidP="003446AE">
      <w:pPr>
        <w:spacing w:after="120"/>
        <w:ind w:left="1701" w:right="1134"/>
        <w:jc w:val="both"/>
      </w:pPr>
      <w:r w:rsidRPr="00CB2FBC">
        <w:t xml:space="preserve">Other cylinders manufactured before 1 January 2009 in conformity with </w:t>
      </w:r>
      <w:r w:rsidR="0039265E">
        <w:t>RID/</w:t>
      </w:r>
      <w:r w:rsidRPr="00CB2FBC">
        <w:t xml:space="preserve">ADR in accordance with a technical code accepted by the national competent authority may be accepted for a </w:t>
      </w:r>
      <w:r>
        <w:t>15-year</w:t>
      </w:r>
      <w:r w:rsidRPr="00CB2FBC">
        <w:t xml:space="preserve"> interval if they are of equivalent safety to the provisions of </w:t>
      </w:r>
      <w:r w:rsidR="0039265E">
        <w:t>RID/</w:t>
      </w:r>
      <w:r w:rsidRPr="00CB2FBC">
        <w:t xml:space="preserve">ADR as applicable at the time of application </w:t>
      </w:r>
      <w:r w:rsidR="00EA25C3">
        <w:t>"</w:t>
      </w:r>
      <w:r>
        <w:t>.</w:t>
      </w:r>
    </w:p>
    <w:p w14:paraId="5ADD2848" w14:textId="072D3BF9" w:rsidR="001C6663" w:rsidRPr="002F05B6" w:rsidRDefault="002F05B6" w:rsidP="002F05B6">
      <w:pPr>
        <w:spacing w:before="240"/>
        <w:jc w:val="center"/>
        <w:rPr>
          <w:u w:val="single"/>
        </w:rPr>
      </w:pPr>
      <w:r>
        <w:rPr>
          <w:u w:val="single"/>
        </w:rPr>
        <w:tab/>
      </w:r>
      <w:r>
        <w:rPr>
          <w:u w:val="single"/>
        </w:rPr>
        <w:tab/>
      </w:r>
      <w:r>
        <w:rPr>
          <w:u w:val="single"/>
        </w:rPr>
        <w:tab/>
      </w:r>
    </w:p>
    <w:sectPr w:rsidR="001C6663" w:rsidRPr="002F05B6" w:rsidSect="00131A4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16B7" w14:textId="77777777" w:rsidR="00340A9A" w:rsidRDefault="00340A9A"/>
  </w:endnote>
  <w:endnote w:type="continuationSeparator" w:id="0">
    <w:p w14:paraId="3AB3C838" w14:textId="77777777" w:rsidR="00340A9A" w:rsidRDefault="00340A9A"/>
  </w:endnote>
  <w:endnote w:type="continuationNotice" w:id="1">
    <w:p w14:paraId="22A72C8F" w14:textId="77777777" w:rsidR="00340A9A" w:rsidRDefault="00340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F670" w14:textId="1C9DD296" w:rsidR="00131A4B" w:rsidRPr="00131A4B" w:rsidRDefault="00131A4B" w:rsidP="00131A4B">
    <w:pPr>
      <w:pStyle w:val="Footer"/>
      <w:tabs>
        <w:tab w:val="right" w:pos="9638"/>
      </w:tabs>
      <w:rPr>
        <w:sz w:val="18"/>
      </w:rPr>
    </w:pPr>
    <w:r w:rsidRPr="00131A4B">
      <w:rPr>
        <w:b/>
        <w:sz w:val="18"/>
      </w:rPr>
      <w:fldChar w:fldCharType="begin"/>
    </w:r>
    <w:r w:rsidRPr="00131A4B">
      <w:rPr>
        <w:b/>
        <w:sz w:val="18"/>
      </w:rPr>
      <w:instrText xml:space="preserve"> PAGE  \* MERGEFORMAT </w:instrText>
    </w:r>
    <w:r w:rsidRPr="00131A4B">
      <w:rPr>
        <w:b/>
        <w:sz w:val="18"/>
      </w:rPr>
      <w:fldChar w:fldCharType="separate"/>
    </w:r>
    <w:r w:rsidRPr="00131A4B">
      <w:rPr>
        <w:b/>
        <w:noProof/>
        <w:sz w:val="18"/>
      </w:rPr>
      <w:t>2</w:t>
    </w:r>
    <w:r w:rsidRPr="00131A4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AA0A" w14:textId="53A305EC" w:rsidR="00131A4B" w:rsidRPr="00131A4B" w:rsidRDefault="00131A4B" w:rsidP="00131A4B">
    <w:pPr>
      <w:pStyle w:val="Footer"/>
      <w:tabs>
        <w:tab w:val="right" w:pos="9638"/>
      </w:tabs>
      <w:rPr>
        <w:b/>
        <w:sz w:val="18"/>
      </w:rPr>
    </w:pPr>
    <w:r>
      <w:tab/>
    </w:r>
    <w:r w:rsidRPr="00131A4B">
      <w:rPr>
        <w:b/>
        <w:sz w:val="18"/>
      </w:rPr>
      <w:fldChar w:fldCharType="begin"/>
    </w:r>
    <w:r w:rsidRPr="00131A4B">
      <w:rPr>
        <w:b/>
        <w:sz w:val="18"/>
      </w:rPr>
      <w:instrText xml:space="preserve"> PAGE  \* MERGEFORMAT </w:instrText>
    </w:r>
    <w:r w:rsidRPr="00131A4B">
      <w:rPr>
        <w:b/>
        <w:sz w:val="18"/>
      </w:rPr>
      <w:fldChar w:fldCharType="separate"/>
    </w:r>
    <w:r w:rsidRPr="00131A4B">
      <w:rPr>
        <w:b/>
        <w:noProof/>
        <w:sz w:val="18"/>
      </w:rPr>
      <w:t>3</w:t>
    </w:r>
    <w:r w:rsidRPr="00131A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6E7B" w14:textId="4C903C8A" w:rsidR="0035223F" w:rsidRDefault="00A207C9" w:rsidP="00A207C9">
    <w:pPr>
      <w:pStyle w:val="Footer"/>
      <w:rPr>
        <w:sz w:val="20"/>
      </w:rPr>
    </w:pPr>
    <w:r w:rsidRPr="00A207C9">
      <w:rPr>
        <w:noProof/>
        <w:sz w:val="20"/>
        <w:lang w:val="en-US"/>
      </w:rPr>
      <w:drawing>
        <wp:anchor distT="0" distB="0" distL="114300" distR="114300" simplePos="0" relativeHeight="251659776" behindDoc="0" locked="1" layoutInCell="1" allowOverlap="1" wp14:anchorId="6310421E" wp14:editId="01C55B5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D7C9DB2" w14:textId="24BE8244" w:rsidR="00A207C9" w:rsidRPr="00A207C9" w:rsidRDefault="00A207C9" w:rsidP="00A207C9">
    <w:pPr>
      <w:pStyle w:val="Footer"/>
      <w:ind w:right="1134"/>
      <w:rPr>
        <w:sz w:val="20"/>
      </w:rPr>
    </w:pPr>
    <w:r>
      <w:rPr>
        <w:sz w:val="20"/>
      </w:rPr>
      <w:t>GE.23-26145(E)</w:t>
    </w:r>
    <w:r>
      <w:rPr>
        <w:noProof/>
        <w:sz w:val="20"/>
      </w:rPr>
      <w:drawing>
        <wp:anchor distT="0" distB="0" distL="114300" distR="114300" simplePos="0" relativeHeight="251660800" behindDoc="0" locked="0" layoutInCell="1" allowOverlap="1" wp14:anchorId="287CA331" wp14:editId="314C26FF">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61FC" w14:textId="77777777" w:rsidR="00340A9A" w:rsidRPr="000B175B" w:rsidRDefault="00340A9A" w:rsidP="000B175B">
      <w:pPr>
        <w:tabs>
          <w:tab w:val="right" w:pos="2155"/>
        </w:tabs>
        <w:spacing w:after="80"/>
        <w:ind w:left="680"/>
        <w:rPr>
          <w:u w:val="single"/>
        </w:rPr>
      </w:pPr>
      <w:r>
        <w:rPr>
          <w:u w:val="single"/>
        </w:rPr>
        <w:tab/>
      </w:r>
    </w:p>
  </w:footnote>
  <w:footnote w:type="continuationSeparator" w:id="0">
    <w:p w14:paraId="2D9D9C7C" w14:textId="77777777" w:rsidR="00340A9A" w:rsidRPr="00FC68B7" w:rsidRDefault="00340A9A" w:rsidP="00FC68B7">
      <w:pPr>
        <w:tabs>
          <w:tab w:val="left" w:pos="2155"/>
        </w:tabs>
        <w:spacing w:after="80"/>
        <w:ind w:left="680"/>
        <w:rPr>
          <w:u w:val="single"/>
        </w:rPr>
      </w:pPr>
      <w:r>
        <w:rPr>
          <w:u w:val="single"/>
        </w:rPr>
        <w:tab/>
      </w:r>
    </w:p>
  </w:footnote>
  <w:footnote w:type="continuationNotice" w:id="1">
    <w:p w14:paraId="2D1EF313" w14:textId="77777777" w:rsidR="00340A9A" w:rsidRDefault="00340A9A"/>
  </w:footnote>
  <w:footnote w:id="2">
    <w:p w14:paraId="1E531CBD" w14:textId="3992C3FE" w:rsidR="00F83313" w:rsidRPr="00032120" w:rsidRDefault="00F83313" w:rsidP="00F83313">
      <w:pPr>
        <w:pStyle w:val="FootnoteText"/>
        <w:rPr>
          <w:lang w:val="fr-CH"/>
        </w:rPr>
      </w:pPr>
      <w:r>
        <w:rPr>
          <w:rStyle w:val="FootnoteReference"/>
        </w:rPr>
        <w:tab/>
      </w:r>
      <w:r w:rsidRPr="001E6946">
        <w:rPr>
          <w:rStyle w:val="FootnoteReference"/>
          <w:b/>
        </w:rPr>
        <w:t>*</w:t>
      </w:r>
      <w:r>
        <w:rPr>
          <w:rStyle w:val="FootnoteReference"/>
          <w:sz w:val="20"/>
          <w:vertAlign w:val="baseline"/>
        </w:rPr>
        <w:tab/>
      </w:r>
      <w:r w:rsidRPr="00513E18">
        <w:rPr>
          <w:szCs w:val="18"/>
        </w:rPr>
        <w:t>A/78/6 (Sect.20), table 20.5.</w:t>
      </w:r>
    </w:p>
  </w:footnote>
  <w:footnote w:id="3">
    <w:p w14:paraId="75824BAF" w14:textId="4E75BCD7" w:rsidR="00F83313" w:rsidRPr="00E244BE" w:rsidRDefault="00F83313" w:rsidP="00F83313">
      <w:pPr>
        <w:pStyle w:val="FootnoteText"/>
        <w:rPr>
          <w:lang w:val="fr-CH"/>
        </w:rPr>
      </w:pPr>
      <w:r>
        <w:rPr>
          <w:rStyle w:val="FootnoteReference"/>
        </w:rPr>
        <w:tab/>
      </w:r>
      <w:r w:rsidRPr="001E6946">
        <w:rPr>
          <w:rStyle w:val="FootnoteReference"/>
          <w:b/>
        </w:rPr>
        <w:t>**</w:t>
      </w:r>
      <w:r>
        <w:rPr>
          <w:rStyle w:val="FootnoteReference"/>
          <w:sz w:val="20"/>
          <w:vertAlign w:val="baseline"/>
        </w:rPr>
        <w:tab/>
      </w:r>
      <w:r w:rsidRPr="00513E18">
        <w:rPr>
          <w:szCs w:val="18"/>
        </w:rPr>
        <w:t>Circulated by the Intergovernmental Organisation for International Carriage by Rail (OTIF) under the symbol OTIF/RID/RC/2024/1</w:t>
      </w:r>
      <w:r w:rsidR="00214F87">
        <w:rPr>
          <w:szCs w:val="18"/>
        </w:rPr>
        <w:t>7</w:t>
      </w:r>
      <w:r w:rsidRPr="00513E1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B91E" w14:textId="15E8EF4A" w:rsidR="00131A4B" w:rsidRPr="00131A4B" w:rsidRDefault="00A207C9">
    <w:pPr>
      <w:pStyle w:val="Header"/>
    </w:pPr>
    <w:r>
      <w:fldChar w:fldCharType="begin"/>
    </w:r>
    <w:r>
      <w:instrText xml:space="preserve"> TITLE  \* MERGEFORMAT </w:instrText>
    </w:r>
    <w:r>
      <w:fldChar w:fldCharType="separate"/>
    </w:r>
    <w:r w:rsidR="00131A4B">
      <w:t>ECE/TRANS/WP.15/AC.1/2024/17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29E5" w14:textId="78C84B08" w:rsidR="00131A4B" w:rsidRPr="00131A4B" w:rsidRDefault="00A207C9" w:rsidP="00131A4B">
    <w:pPr>
      <w:pStyle w:val="Header"/>
      <w:jc w:val="right"/>
    </w:pPr>
    <w:r>
      <w:fldChar w:fldCharType="begin"/>
    </w:r>
    <w:r>
      <w:instrText xml:space="preserve"> TITLE  \* MERGEFORMAT </w:instrText>
    </w:r>
    <w:r>
      <w:fldChar w:fldCharType="separate"/>
    </w:r>
    <w:r w:rsidR="00131A4B">
      <w:t>ECE/TRANS/WP.15/AC.1/2024/17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2D61DB"/>
    <w:multiLevelType w:val="hybridMultilevel"/>
    <w:tmpl w:val="20D84234"/>
    <w:lvl w:ilvl="0" w:tplc="7012CB8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81517538">
    <w:abstractNumId w:val="1"/>
  </w:num>
  <w:num w:numId="2" w16cid:durableId="1177575531">
    <w:abstractNumId w:val="0"/>
  </w:num>
  <w:num w:numId="3" w16cid:durableId="519857433">
    <w:abstractNumId w:val="2"/>
  </w:num>
  <w:num w:numId="4" w16cid:durableId="93792877">
    <w:abstractNumId w:val="3"/>
  </w:num>
  <w:num w:numId="5" w16cid:durableId="2140488610">
    <w:abstractNumId w:val="8"/>
  </w:num>
  <w:num w:numId="6" w16cid:durableId="1471436813">
    <w:abstractNumId w:val="9"/>
  </w:num>
  <w:num w:numId="7" w16cid:durableId="1016881471">
    <w:abstractNumId w:val="7"/>
  </w:num>
  <w:num w:numId="8" w16cid:durableId="1836410758">
    <w:abstractNumId w:val="6"/>
  </w:num>
  <w:num w:numId="9" w16cid:durableId="1403913420">
    <w:abstractNumId w:val="5"/>
  </w:num>
  <w:num w:numId="10" w16cid:durableId="1523083096">
    <w:abstractNumId w:val="4"/>
  </w:num>
  <w:num w:numId="11" w16cid:durableId="1468820972">
    <w:abstractNumId w:val="15"/>
  </w:num>
  <w:num w:numId="12" w16cid:durableId="1017197040">
    <w:abstractNumId w:val="14"/>
  </w:num>
  <w:num w:numId="13" w16cid:durableId="527256486">
    <w:abstractNumId w:val="10"/>
  </w:num>
  <w:num w:numId="14" w16cid:durableId="463888501">
    <w:abstractNumId w:val="12"/>
  </w:num>
  <w:num w:numId="15" w16cid:durableId="1436048669">
    <w:abstractNumId w:val="16"/>
  </w:num>
  <w:num w:numId="16" w16cid:durableId="1636373107">
    <w:abstractNumId w:val="13"/>
  </w:num>
  <w:num w:numId="17" w16cid:durableId="1318068332">
    <w:abstractNumId w:val="17"/>
  </w:num>
  <w:num w:numId="18" w16cid:durableId="1977955998">
    <w:abstractNumId w:val="19"/>
  </w:num>
  <w:num w:numId="19" w16cid:durableId="1762406805">
    <w:abstractNumId w:val="11"/>
  </w:num>
  <w:num w:numId="20" w16cid:durableId="115876586">
    <w:abstractNumId w:val="11"/>
  </w:num>
  <w:num w:numId="21" w16cid:durableId="73400766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5"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4B"/>
    <w:rsid w:val="00002A7D"/>
    <w:rsid w:val="000038A8"/>
    <w:rsid w:val="00006790"/>
    <w:rsid w:val="00027624"/>
    <w:rsid w:val="00050F6B"/>
    <w:rsid w:val="000678CD"/>
    <w:rsid w:val="00072C8C"/>
    <w:rsid w:val="00081CE0"/>
    <w:rsid w:val="00084D30"/>
    <w:rsid w:val="00090320"/>
    <w:rsid w:val="000931C0"/>
    <w:rsid w:val="0009732C"/>
    <w:rsid w:val="000A01F9"/>
    <w:rsid w:val="000A15FC"/>
    <w:rsid w:val="000A2E09"/>
    <w:rsid w:val="000B175B"/>
    <w:rsid w:val="000B3A0F"/>
    <w:rsid w:val="000C1575"/>
    <w:rsid w:val="000E0415"/>
    <w:rsid w:val="000F7715"/>
    <w:rsid w:val="00131A4B"/>
    <w:rsid w:val="00156B99"/>
    <w:rsid w:val="00166124"/>
    <w:rsid w:val="00184DDA"/>
    <w:rsid w:val="00187BC9"/>
    <w:rsid w:val="001900CD"/>
    <w:rsid w:val="001A0452"/>
    <w:rsid w:val="001B468A"/>
    <w:rsid w:val="001B4B04"/>
    <w:rsid w:val="001B5875"/>
    <w:rsid w:val="001C4B9C"/>
    <w:rsid w:val="001C6663"/>
    <w:rsid w:val="001C7895"/>
    <w:rsid w:val="001D26DF"/>
    <w:rsid w:val="001D5A5A"/>
    <w:rsid w:val="001E555D"/>
    <w:rsid w:val="001F1599"/>
    <w:rsid w:val="001F19C4"/>
    <w:rsid w:val="002043F0"/>
    <w:rsid w:val="00211E0B"/>
    <w:rsid w:val="00214F87"/>
    <w:rsid w:val="00232575"/>
    <w:rsid w:val="00247258"/>
    <w:rsid w:val="00257CAC"/>
    <w:rsid w:val="00264441"/>
    <w:rsid w:val="0027237A"/>
    <w:rsid w:val="002974E9"/>
    <w:rsid w:val="002A7F94"/>
    <w:rsid w:val="002B109A"/>
    <w:rsid w:val="002C6D45"/>
    <w:rsid w:val="002D6E53"/>
    <w:rsid w:val="002F046D"/>
    <w:rsid w:val="002F05B6"/>
    <w:rsid w:val="002F3023"/>
    <w:rsid w:val="00301764"/>
    <w:rsid w:val="003229D8"/>
    <w:rsid w:val="00336C97"/>
    <w:rsid w:val="00337F88"/>
    <w:rsid w:val="00340A9A"/>
    <w:rsid w:val="00342432"/>
    <w:rsid w:val="003446AE"/>
    <w:rsid w:val="0034487A"/>
    <w:rsid w:val="0035223F"/>
    <w:rsid w:val="00352D4B"/>
    <w:rsid w:val="0035638C"/>
    <w:rsid w:val="0035716B"/>
    <w:rsid w:val="00375F24"/>
    <w:rsid w:val="00383D53"/>
    <w:rsid w:val="00386EDB"/>
    <w:rsid w:val="0039265E"/>
    <w:rsid w:val="003A46BB"/>
    <w:rsid w:val="003A4EC7"/>
    <w:rsid w:val="003A7295"/>
    <w:rsid w:val="003B1F60"/>
    <w:rsid w:val="003C2CC4"/>
    <w:rsid w:val="003D4B23"/>
    <w:rsid w:val="003E278A"/>
    <w:rsid w:val="00413520"/>
    <w:rsid w:val="00430D57"/>
    <w:rsid w:val="004325CB"/>
    <w:rsid w:val="00440A07"/>
    <w:rsid w:val="00462880"/>
    <w:rsid w:val="00476F24"/>
    <w:rsid w:val="00485800"/>
    <w:rsid w:val="004C55B0"/>
    <w:rsid w:val="004F6BA0"/>
    <w:rsid w:val="00503BEA"/>
    <w:rsid w:val="00533616"/>
    <w:rsid w:val="00535ABA"/>
    <w:rsid w:val="0053768B"/>
    <w:rsid w:val="00540721"/>
    <w:rsid w:val="005420F2"/>
    <w:rsid w:val="0054285C"/>
    <w:rsid w:val="00553791"/>
    <w:rsid w:val="005709D0"/>
    <w:rsid w:val="00584173"/>
    <w:rsid w:val="00595520"/>
    <w:rsid w:val="005A44B9"/>
    <w:rsid w:val="005B1BA0"/>
    <w:rsid w:val="005B3DB3"/>
    <w:rsid w:val="005D15CA"/>
    <w:rsid w:val="005D7969"/>
    <w:rsid w:val="005F08DF"/>
    <w:rsid w:val="005F3066"/>
    <w:rsid w:val="005F3E61"/>
    <w:rsid w:val="005F5D38"/>
    <w:rsid w:val="00604DDD"/>
    <w:rsid w:val="006115CC"/>
    <w:rsid w:val="00611FC4"/>
    <w:rsid w:val="006176FB"/>
    <w:rsid w:val="00630FCB"/>
    <w:rsid w:val="00637D3A"/>
    <w:rsid w:val="00640B26"/>
    <w:rsid w:val="0065766B"/>
    <w:rsid w:val="00666062"/>
    <w:rsid w:val="006770B2"/>
    <w:rsid w:val="00686A48"/>
    <w:rsid w:val="006940E1"/>
    <w:rsid w:val="006A3C72"/>
    <w:rsid w:val="006A7392"/>
    <w:rsid w:val="006B03A1"/>
    <w:rsid w:val="006B67D9"/>
    <w:rsid w:val="006C5535"/>
    <w:rsid w:val="006D0589"/>
    <w:rsid w:val="006E564B"/>
    <w:rsid w:val="006E7154"/>
    <w:rsid w:val="007003CD"/>
    <w:rsid w:val="0070701E"/>
    <w:rsid w:val="007173E0"/>
    <w:rsid w:val="0072632A"/>
    <w:rsid w:val="007358E8"/>
    <w:rsid w:val="00736ECE"/>
    <w:rsid w:val="007412A5"/>
    <w:rsid w:val="0074533B"/>
    <w:rsid w:val="007643BC"/>
    <w:rsid w:val="007801C5"/>
    <w:rsid w:val="00780C68"/>
    <w:rsid w:val="007959FE"/>
    <w:rsid w:val="007A0CF1"/>
    <w:rsid w:val="007A478E"/>
    <w:rsid w:val="007B6BA5"/>
    <w:rsid w:val="007C3390"/>
    <w:rsid w:val="007C42D8"/>
    <w:rsid w:val="007C4F4B"/>
    <w:rsid w:val="007D7362"/>
    <w:rsid w:val="007E0CCC"/>
    <w:rsid w:val="007F5CE2"/>
    <w:rsid w:val="007F6611"/>
    <w:rsid w:val="00800522"/>
    <w:rsid w:val="00810BAC"/>
    <w:rsid w:val="008175E9"/>
    <w:rsid w:val="008242D7"/>
    <w:rsid w:val="0082577B"/>
    <w:rsid w:val="008272DD"/>
    <w:rsid w:val="00866893"/>
    <w:rsid w:val="00866F02"/>
    <w:rsid w:val="008677E2"/>
    <w:rsid w:val="00867D18"/>
    <w:rsid w:val="00871F9A"/>
    <w:rsid w:val="00871FD5"/>
    <w:rsid w:val="0088172E"/>
    <w:rsid w:val="00881EFA"/>
    <w:rsid w:val="008879CB"/>
    <w:rsid w:val="008979B1"/>
    <w:rsid w:val="008A6B25"/>
    <w:rsid w:val="008A6C4F"/>
    <w:rsid w:val="008A77AE"/>
    <w:rsid w:val="008B389E"/>
    <w:rsid w:val="008B6717"/>
    <w:rsid w:val="008C0297"/>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4C20"/>
    <w:rsid w:val="009F57E3"/>
    <w:rsid w:val="00A10F4F"/>
    <w:rsid w:val="00A11067"/>
    <w:rsid w:val="00A1704A"/>
    <w:rsid w:val="00A207C9"/>
    <w:rsid w:val="00A425EB"/>
    <w:rsid w:val="00A72F22"/>
    <w:rsid w:val="00A733BC"/>
    <w:rsid w:val="00A748A6"/>
    <w:rsid w:val="00A76A69"/>
    <w:rsid w:val="00A879A4"/>
    <w:rsid w:val="00A9789F"/>
    <w:rsid w:val="00AA0FF8"/>
    <w:rsid w:val="00AC0F2C"/>
    <w:rsid w:val="00AC0F71"/>
    <w:rsid w:val="00AC502A"/>
    <w:rsid w:val="00AF58C1"/>
    <w:rsid w:val="00B04A3F"/>
    <w:rsid w:val="00B06643"/>
    <w:rsid w:val="00B15055"/>
    <w:rsid w:val="00B20551"/>
    <w:rsid w:val="00B23D55"/>
    <w:rsid w:val="00B30179"/>
    <w:rsid w:val="00B33FC7"/>
    <w:rsid w:val="00B37B15"/>
    <w:rsid w:val="00B45C02"/>
    <w:rsid w:val="00B70B63"/>
    <w:rsid w:val="00B72A1E"/>
    <w:rsid w:val="00B81E12"/>
    <w:rsid w:val="00BA339B"/>
    <w:rsid w:val="00BB23CC"/>
    <w:rsid w:val="00BC1E7E"/>
    <w:rsid w:val="00BC74E9"/>
    <w:rsid w:val="00BD07C5"/>
    <w:rsid w:val="00BE36A9"/>
    <w:rsid w:val="00BE618E"/>
    <w:rsid w:val="00BE7BEC"/>
    <w:rsid w:val="00BF0A5A"/>
    <w:rsid w:val="00BF0E63"/>
    <w:rsid w:val="00BF12A3"/>
    <w:rsid w:val="00BF16D7"/>
    <w:rsid w:val="00BF2373"/>
    <w:rsid w:val="00C0294F"/>
    <w:rsid w:val="00C044E2"/>
    <w:rsid w:val="00C048CB"/>
    <w:rsid w:val="00C066F3"/>
    <w:rsid w:val="00C24375"/>
    <w:rsid w:val="00C408B7"/>
    <w:rsid w:val="00C411EB"/>
    <w:rsid w:val="00C463DD"/>
    <w:rsid w:val="00C54994"/>
    <w:rsid w:val="00C745C3"/>
    <w:rsid w:val="00C978F5"/>
    <w:rsid w:val="00CA24A4"/>
    <w:rsid w:val="00CB348D"/>
    <w:rsid w:val="00CD46F5"/>
    <w:rsid w:val="00CE4A8F"/>
    <w:rsid w:val="00CE78F6"/>
    <w:rsid w:val="00CF071D"/>
    <w:rsid w:val="00D0123D"/>
    <w:rsid w:val="00D15B04"/>
    <w:rsid w:val="00D2031B"/>
    <w:rsid w:val="00D25FE2"/>
    <w:rsid w:val="00D31941"/>
    <w:rsid w:val="00D368BE"/>
    <w:rsid w:val="00D37DA9"/>
    <w:rsid w:val="00D406A7"/>
    <w:rsid w:val="00D40765"/>
    <w:rsid w:val="00D43252"/>
    <w:rsid w:val="00D44D86"/>
    <w:rsid w:val="00D50B7D"/>
    <w:rsid w:val="00D52012"/>
    <w:rsid w:val="00D6518E"/>
    <w:rsid w:val="00D704E5"/>
    <w:rsid w:val="00D72727"/>
    <w:rsid w:val="00D933AF"/>
    <w:rsid w:val="00D93B5E"/>
    <w:rsid w:val="00D978C6"/>
    <w:rsid w:val="00DA0956"/>
    <w:rsid w:val="00DA357F"/>
    <w:rsid w:val="00DA3E12"/>
    <w:rsid w:val="00DB6908"/>
    <w:rsid w:val="00DC18AD"/>
    <w:rsid w:val="00DF7CAE"/>
    <w:rsid w:val="00E152A5"/>
    <w:rsid w:val="00E423C0"/>
    <w:rsid w:val="00E6414C"/>
    <w:rsid w:val="00E7260F"/>
    <w:rsid w:val="00E8702D"/>
    <w:rsid w:val="00E905F4"/>
    <w:rsid w:val="00E916A9"/>
    <w:rsid w:val="00E916DE"/>
    <w:rsid w:val="00E925AD"/>
    <w:rsid w:val="00E96630"/>
    <w:rsid w:val="00EA25C3"/>
    <w:rsid w:val="00EB48DC"/>
    <w:rsid w:val="00ED18DC"/>
    <w:rsid w:val="00ED6201"/>
    <w:rsid w:val="00ED7A2A"/>
    <w:rsid w:val="00EF1D7F"/>
    <w:rsid w:val="00EF4AEC"/>
    <w:rsid w:val="00F0137E"/>
    <w:rsid w:val="00F05100"/>
    <w:rsid w:val="00F21786"/>
    <w:rsid w:val="00F3742B"/>
    <w:rsid w:val="00F41FDB"/>
    <w:rsid w:val="00F50596"/>
    <w:rsid w:val="00F56D63"/>
    <w:rsid w:val="00F609A9"/>
    <w:rsid w:val="00F80C99"/>
    <w:rsid w:val="00F83313"/>
    <w:rsid w:val="00F867EC"/>
    <w:rsid w:val="00F91B2B"/>
    <w:rsid w:val="00FC03CD"/>
    <w:rsid w:val="00FC0646"/>
    <w:rsid w:val="00FC68B7"/>
    <w:rsid w:val="00FD15C4"/>
    <w:rsid w:val="00FE6985"/>
    <w:rsid w:val="00FF6ED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66191"/>
  <w15:docId w15:val="{A3CB7216-DFB8-4C8F-95BF-CE055F63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uiPriority w:val="99"/>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qFormat/>
    <w:rsid w:val="000C1575"/>
    <w:rPr>
      <w:b/>
      <w:sz w:val="28"/>
      <w:lang w:val="en-GB"/>
    </w:rPr>
  </w:style>
  <w:style w:type="character" w:customStyle="1" w:styleId="H1GChar">
    <w:name w:val="_ H_1_G Char"/>
    <w:link w:val="H1G"/>
    <w:uiPriority w:val="99"/>
    <w:qFormat/>
    <w:rsid w:val="000C1575"/>
    <w:rPr>
      <w:b/>
      <w:sz w:val="24"/>
      <w:lang w:val="en-GB"/>
    </w:rPr>
  </w:style>
  <w:style w:type="character" w:customStyle="1" w:styleId="FootnoteTextChar">
    <w:name w:val="Footnote Text Char"/>
    <w:aliases w:val="5_G Char,5_GR Char"/>
    <w:basedOn w:val="DefaultParagraphFont"/>
    <w:link w:val="FootnoteText"/>
    <w:locked/>
    <w:rsid w:val="00F83313"/>
    <w:rPr>
      <w:sz w:val="18"/>
      <w:lang w:val="en-GB"/>
    </w:rPr>
  </w:style>
  <w:style w:type="character" w:customStyle="1" w:styleId="SingleTxtGCar">
    <w:name w:val="_ Single Txt_G Car"/>
    <w:rsid w:val="002F05B6"/>
    <w:rPr>
      <w:lang w:val="en-GB" w:eastAsia="en-US"/>
    </w:rPr>
  </w:style>
  <w:style w:type="paragraph" w:styleId="ListParagraph">
    <w:name w:val="List Paragraph"/>
    <w:basedOn w:val="Normal"/>
    <w:uiPriority w:val="34"/>
    <w:qFormat/>
    <w:rsid w:val="002F05B6"/>
    <w:pPr>
      <w:spacing w:after="200" w:line="276" w:lineRule="auto"/>
      <w:ind w:left="720"/>
      <w:contextualSpacing/>
    </w:pPr>
    <w:rPr>
      <w:rFonts w:ascii="Calibri" w:hAnsi="Calibri"/>
      <w:color w:val="00000A"/>
      <w:sz w:val="22"/>
      <w:szCs w:val="22"/>
      <w:lang w:eastAsia="en-US"/>
    </w:rPr>
  </w:style>
  <w:style w:type="paragraph" w:styleId="Revision">
    <w:name w:val="Revision"/>
    <w:hidden/>
    <w:uiPriority w:val="99"/>
    <w:semiHidden/>
    <w:rsid w:val="005F5D38"/>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309115-95E5-482C-B392-59B88A9081CB}"/>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3</Pages>
  <Words>1194</Words>
  <Characters>6553</Characters>
  <Application>Microsoft Office Word</Application>
  <DocSecurity>0</DocSecurity>
  <Lines>123</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ECE/TRANS/WP.15/AC.1/2024/17</dc:title>
  <dc:subject>2326145</dc:subject>
  <dc:creator>Secretariat</dc:creator>
  <cp:keywords/>
  <dc:description/>
  <cp:lastModifiedBy>Pauline Anne Escalante</cp:lastModifiedBy>
  <cp:revision>2</cp:revision>
  <cp:lastPrinted>2009-02-18T09:36:00Z</cp:lastPrinted>
  <dcterms:created xsi:type="dcterms:W3CDTF">2023-12-27T11:54:00Z</dcterms:created>
  <dcterms:modified xsi:type="dcterms:W3CDTF">2023-12-27T11:54:00Z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