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6A3A8B3C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947A87C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178C16" w14:textId="77777777" w:rsidR="001433FD" w:rsidRPr="00DB58B5" w:rsidRDefault="001433FD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B662F8A" w14:textId="311ADEC9" w:rsidR="001433FD" w:rsidRPr="00357AD7" w:rsidRDefault="00357AD7" w:rsidP="00357AD7">
            <w:pPr>
              <w:jc w:val="right"/>
            </w:pPr>
            <w:r w:rsidRPr="00357AD7">
              <w:rPr>
                <w:sz w:val="40"/>
              </w:rPr>
              <w:t>ECE</w:t>
            </w:r>
            <w:r>
              <w:t>/TRANS/WP.15/AC.1/2024/24</w:t>
            </w:r>
          </w:p>
        </w:tc>
      </w:tr>
      <w:tr w:rsidR="001433FD" w:rsidRPr="00DB58B5" w14:paraId="7135E0FA" w14:textId="7777777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2FC6F49" w14:textId="77777777" w:rsidR="001433FD" w:rsidRPr="00DB58B5" w:rsidRDefault="001433FD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2E51C7F" wp14:editId="6A83128B">
                  <wp:extent cx="714375" cy="590550"/>
                  <wp:effectExtent l="0" t="0" r="9525" b="0"/>
                  <wp:docPr id="3" name="Picture 3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463258" w14:textId="77777777" w:rsidR="001433FD" w:rsidRPr="00740562" w:rsidRDefault="001433FD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505FFE1" w14:textId="77777777" w:rsidR="0001207F" w:rsidRDefault="003A2907" w:rsidP="003A2907">
            <w:pPr>
              <w:spacing w:before="240" w:line="240" w:lineRule="exact"/>
            </w:pPr>
            <w:r>
              <w:t>Distr. générale</w:t>
            </w:r>
          </w:p>
          <w:p w14:paraId="3236577F" w14:textId="4E3EBB5C" w:rsidR="003A2907" w:rsidRDefault="000265FD" w:rsidP="003A2907">
            <w:pPr>
              <w:spacing w:line="240" w:lineRule="exact"/>
            </w:pPr>
            <w:r>
              <w:t xml:space="preserve">29 </w:t>
            </w:r>
            <w:r w:rsidR="00010868">
              <w:t>décembre 2023</w:t>
            </w:r>
            <w:r w:rsidR="003A2907">
              <w:t xml:space="preserve"> </w:t>
            </w:r>
          </w:p>
          <w:p w14:paraId="69C7672B" w14:textId="77777777" w:rsidR="003A2907" w:rsidRDefault="003A2907" w:rsidP="003A2907">
            <w:pPr>
              <w:spacing w:line="240" w:lineRule="exact"/>
            </w:pPr>
          </w:p>
          <w:p w14:paraId="21CDDA21" w14:textId="77777777" w:rsidR="003A2907" w:rsidRPr="00DB58B5" w:rsidRDefault="003A2907" w:rsidP="003A2907">
            <w:pPr>
              <w:spacing w:line="240" w:lineRule="exact"/>
            </w:pPr>
            <w:r>
              <w:t>Original : français</w:t>
            </w:r>
          </w:p>
        </w:tc>
      </w:tr>
    </w:tbl>
    <w:p w14:paraId="6A331DE6" w14:textId="77777777" w:rsidR="003A2907" w:rsidRDefault="003A2907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460EF55E" w14:textId="77777777" w:rsidR="003A2907" w:rsidRPr="008A7BD0" w:rsidRDefault="003A2907" w:rsidP="00FD1581">
      <w:pPr>
        <w:spacing w:before="120"/>
        <w:rPr>
          <w:sz w:val="28"/>
          <w:szCs w:val="28"/>
          <w:lang w:val="fr-CA"/>
        </w:rPr>
      </w:pPr>
      <w:r w:rsidRPr="008A7BD0">
        <w:rPr>
          <w:sz w:val="28"/>
          <w:szCs w:val="28"/>
          <w:lang w:val="fr-CA"/>
        </w:rPr>
        <w:t>Comité des transports intérieurs</w:t>
      </w:r>
    </w:p>
    <w:p w14:paraId="46E7F7CE" w14:textId="77777777" w:rsidR="003A2907" w:rsidRPr="008A7BD0" w:rsidRDefault="003A2907" w:rsidP="00FD1581">
      <w:pPr>
        <w:spacing w:before="120"/>
        <w:rPr>
          <w:b/>
          <w:sz w:val="24"/>
          <w:szCs w:val="24"/>
          <w:lang w:val="fr-CA"/>
        </w:rPr>
      </w:pPr>
      <w:r w:rsidRPr="008A7BD0">
        <w:rPr>
          <w:b/>
          <w:bCs/>
          <w:sz w:val="24"/>
          <w:szCs w:val="24"/>
          <w:lang w:val="fr-FR"/>
        </w:rPr>
        <w:t xml:space="preserve">Groupe de travail des transports </w:t>
      </w:r>
      <w:r w:rsidRPr="008A7BD0">
        <w:rPr>
          <w:b/>
          <w:bCs/>
          <w:sz w:val="24"/>
          <w:szCs w:val="24"/>
          <w:lang w:val="fr-FR"/>
        </w:rPr>
        <w:br/>
        <w:t>de marchandises dangereuses</w:t>
      </w:r>
    </w:p>
    <w:p w14:paraId="4C1A7FD0" w14:textId="77777777" w:rsidR="003A2907" w:rsidRPr="008A7BD0" w:rsidRDefault="003A2907" w:rsidP="00FD1581">
      <w:pPr>
        <w:spacing w:before="120"/>
        <w:rPr>
          <w:b/>
          <w:lang w:val="fr-FR"/>
        </w:rPr>
      </w:pPr>
      <w:r w:rsidRPr="008A7BD0">
        <w:rPr>
          <w:b/>
          <w:lang w:val="fr-FR"/>
        </w:rPr>
        <w:t xml:space="preserve">Réunion commune de la Commission d’experts du RID </w:t>
      </w:r>
      <w:r w:rsidRPr="008A7BD0">
        <w:rPr>
          <w:b/>
          <w:lang w:val="fr-FR"/>
        </w:rPr>
        <w:br/>
        <w:t xml:space="preserve">et du Groupe de travail des transports </w:t>
      </w:r>
      <w:r w:rsidRPr="008A7BD0">
        <w:rPr>
          <w:b/>
          <w:lang w:val="fr-FR"/>
        </w:rPr>
        <w:br/>
        <w:t>de marchandises dangereuses</w:t>
      </w:r>
    </w:p>
    <w:p w14:paraId="2B9B24ED" w14:textId="77777777" w:rsidR="003A2907" w:rsidRDefault="003A2907" w:rsidP="003A2907">
      <w:r w:rsidRPr="009E4030">
        <w:t>Bern</w:t>
      </w:r>
      <w:r>
        <w:t>e</w:t>
      </w:r>
      <w:r w:rsidRPr="009E4030">
        <w:t>, 25</w:t>
      </w:r>
      <w:r>
        <w:t xml:space="preserve"> au </w:t>
      </w:r>
      <w:r w:rsidRPr="009E4030">
        <w:t xml:space="preserve">28 </w:t>
      </w:r>
      <w:r>
        <w:t>mars</w:t>
      </w:r>
      <w:r w:rsidRPr="009E4030">
        <w:t xml:space="preserve"> 2024</w:t>
      </w:r>
    </w:p>
    <w:p w14:paraId="79E47109" w14:textId="77777777" w:rsidR="003A2907" w:rsidRPr="009753BF" w:rsidRDefault="003A2907" w:rsidP="003A2907">
      <w:pPr>
        <w:rPr>
          <w:lang w:val="fr-FR"/>
        </w:rPr>
      </w:pPr>
      <w:r w:rsidRPr="009753BF">
        <w:rPr>
          <w:lang w:val="fr-FR"/>
        </w:rPr>
        <w:t xml:space="preserve">Point 5 </w:t>
      </w:r>
      <w:r>
        <w:rPr>
          <w:lang w:val="fr-FR"/>
        </w:rPr>
        <w:t>b</w:t>
      </w:r>
      <w:r w:rsidRPr="009753BF">
        <w:rPr>
          <w:lang w:val="fr-FR"/>
        </w:rPr>
        <w:t>) de l’ordre du jour provisoire</w:t>
      </w:r>
    </w:p>
    <w:p w14:paraId="4BD15769" w14:textId="77777777" w:rsidR="003A2907" w:rsidRPr="009753BF" w:rsidRDefault="003A2907" w:rsidP="003A2907">
      <w:pPr>
        <w:rPr>
          <w:b/>
          <w:bCs/>
          <w:lang w:val="fr-FR"/>
        </w:rPr>
      </w:pPr>
      <w:r w:rsidRPr="009753BF">
        <w:rPr>
          <w:b/>
          <w:bCs/>
          <w:lang w:val="fr-FR"/>
        </w:rPr>
        <w:t>Propositions d’amendements au RID, à l’ADR et à l’ADN :</w:t>
      </w:r>
      <w:r w:rsidRPr="009753BF">
        <w:rPr>
          <w:b/>
          <w:bCs/>
          <w:lang w:val="fr-FR"/>
        </w:rPr>
        <w:br/>
      </w:r>
      <w:r>
        <w:rPr>
          <w:b/>
          <w:bCs/>
          <w:lang w:val="fr-FR"/>
        </w:rPr>
        <w:t>nouvelles propositions</w:t>
      </w:r>
    </w:p>
    <w:p w14:paraId="25B76017" w14:textId="77777777" w:rsidR="003A2907" w:rsidRPr="009753BF" w:rsidRDefault="003A2907" w:rsidP="003A2907">
      <w:pPr>
        <w:pStyle w:val="HChG"/>
        <w:rPr>
          <w:lang w:val="fr-FR"/>
        </w:rPr>
      </w:pPr>
      <w:r w:rsidRPr="009753BF">
        <w:rPr>
          <w:lang w:val="fr-FR"/>
        </w:rPr>
        <w:tab/>
      </w:r>
      <w:r w:rsidRPr="009753BF">
        <w:rPr>
          <w:lang w:val="fr-FR"/>
        </w:rPr>
        <w:tab/>
      </w:r>
      <w:r>
        <w:rPr>
          <w:lang w:val="fr-FR"/>
        </w:rPr>
        <w:t>Correction du terme anglais « </w:t>
      </w:r>
      <w:proofErr w:type="spellStart"/>
      <w:r>
        <w:rPr>
          <w:lang w:val="fr-FR"/>
        </w:rPr>
        <w:t>load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compartment</w:t>
      </w:r>
      <w:proofErr w:type="spellEnd"/>
      <w:r>
        <w:rPr>
          <w:lang w:val="fr-FR"/>
        </w:rPr>
        <w:t> » dans les versions française et allemande</w:t>
      </w:r>
    </w:p>
    <w:p w14:paraId="06EE1844" w14:textId="05CF706A" w:rsidR="003A2907" w:rsidRPr="009753BF" w:rsidRDefault="003A2907" w:rsidP="003A2907">
      <w:pPr>
        <w:spacing w:line="240" w:lineRule="auto"/>
        <w:rPr>
          <w:sz w:val="24"/>
          <w:szCs w:val="24"/>
          <w:lang w:val="fr-FR"/>
        </w:rPr>
      </w:pPr>
      <w:r w:rsidRPr="009753BF">
        <w:rPr>
          <w:rFonts w:eastAsia="Arial"/>
          <w:sz w:val="24"/>
          <w:szCs w:val="24"/>
          <w:lang w:val="fr-FR"/>
        </w:rPr>
        <w:tab/>
      </w:r>
      <w:r w:rsidRPr="009753BF">
        <w:rPr>
          <w:rFonts w:eastAsia="Arial"/>
          <w:sz w:val="24"/>
          <w:szCs w:val="24"/>
          <w:lang w:val="fr-FR"/>
        </w:rPr>
        <w:tab/>
      </w:r>
      <w:r w:rsidRPr="009753BF">
        <w:rPr>
          <w:rStyle w:val="H1GChar"/>
          <w:rFonts w:eastAsia="Arial"/>
          <w:lang w:val="fr-FR"/>
        </w:rPr>
        <w:t xml:space="preserve">Communication du Gouvernement </w:t>
      </w:r>
      <w:r>
        <w:rPr>
          <w:rStyle w:val="H1GChar"/>
          <w:rFonts w:eastAsia="Arial"/>
          <w:lang w:val="fr-FR"/>
        </w:rPr>
        <w:t>suisse</w:t>
      </w:r>
      <w:r w:rsidR="00F57056" w:rsidRPr="00E82BD0">
        <w:rPr>
          <w:rStyle w:val="Appelnotedebasdep"/>
        </w:rPr>
        <w:footnoteReference w:customMarkFollows="1" w:id="2"/>
        <w:t xml:space="preserve">*, </w:t>
      </w:r>
      <w:r w:rsidR="00F57056" w:rsidRPr="00E82BD0">
        <w:rPr>
          <w:rStyle w:val="Appelnotedebasdep"/>
        </w:rPr>
        <w:footnoteReference w:customMarkFollows="1" w:id="3"/>
        <w:t>**</w:t>
      </w:r>
    </w:p>
    <w:p w14:paraId="7725AE3C" w14:textId="77777777" w:rsidR="003A2907" w:rsidRPr="009753BF" w:rsidRDefault="003A2907" w:rsidP="003A2907">
      <w:pPr>
        <w:spacing w:after="120" w:line="240" w:lineRule="auto"/>
        <w:rPr>
          <w:lang w:val="fr-FR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629"/>
      </w:tblGrid>
      <w:tr w:rsidR="003A2907" w:rsidRPr="009753BF" w14:paraId="6345D2B7" w14:textId="77777777">
        <w:trPr>
          <w:jc w:val="center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9A2336" w14:textId="77777777" w:rsidR="003A2907" w:rsidRPr="009753BF" w:rsidRDefault="003A2907">
            <w:pPr>
              <w:spacing w:before="240" w:after="120"/>
              <w:ind w:left="255"/>
              <w:rPr>
                <w:i/>
                <w:sz w:val="24"/>
                <w:lang w:val="fr-FR"/>
              </w:rPr>
            </w:pPr>
            <w:r w:rsidRPr="009753BF">
              <w:rPr>
                <w:i/>
                <w:sz w:val="24"/>
                <w:lang w:val="fr-FR"/>
              </w:rPr>
              <w:t>Résumé</w:t>
            </w:r>
          </w:p>
        </w:tc>
      </w:tr>
      <w:tr w:rsidR="003A2907" w:rsidRPr="009753BF" w14:paraId="20535BF2" w14:textId="77777777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B19951" w14:textId="77777777" w:rsidR="003A2907" w:rsidRPr="009753BF" w:rsidRDefault="003A2907">
            <w:pPr>
              <w:pStyle w:val="SingleTxtG"/>
              <w:tabs>
                <w:tab w:val="left" w:pos="3686"/>
              </w:tabs>
              <w:ind w:left="3686" w:hanging="2552"/>
              <w:rPr>
                <w:lang w:val="fr-FR"/>
              </w:rPr>
            </w:pPr>
            <w:r w:rsidRPr="009753BF">
              <w:rPr>
                <w:b/>
                <w:lang w:val="fr-FR"/>
              </w:rPr>
              <w:t>Résumé analytique</w:t>
            </w:r>
            <w:r w:rsidRPr="009753BF">
              <w:rPr>
                <w:bCs/>
                <w:lang w:val="fr-FR"/>
              </w:rPr>
              <w:t> :</w:t>
            </w:r>
            <w:r w:rsidRPr="009753BF">
              <w:rPr>
                <w:b/>
                <w:lang w:val="fr-FR"/>
              </w:rPr>
              <w:tab/>
            </w:r>
            <w:r>
              <w:rPr>
                <w:lang w:val="fr-FR"/>
              </w:rPr>
              <w:t xml:space="preserve">La traduction du </w:t>
            </w:r>
            <w:r w:rsidRPr="0078411D">
              <w:rPr>
                <w:lang w:val="fr-FR"/>
              </w:rPr>
              <w:t xml:space="preserve">terme </w:t>
            </w:r>
            <w:r>
              <w:rPr>
                <w:lang w:val="fr-FR"/>
              </w:rPr>
              <w:t xml:space="preserve">anglais </w:t>
            </w:r>
            <w:r w:rsidRPr="0078411D">
              <w:rPr>
                <w:lang w:val="fr-FR"/>
              </w:rPr>
              <w:t>« </w:t>
            </w:r>
            <w:proofErr w:type="spellStart"/>
            <w:r w:rsidRPr="0078411D">
              <w:rPr>
                <w:lang w:val="fr-FR"/>
              </w:rPr>
              <w:t>load</w:t>
            </w:r>
            <w:proofErr w:type="spellEnd"/>
            <w:r w:rsidRPr="0078411D">
              <w:rPr>
                <w:lang w:val="fr-FR"/>
              </w:rPr>
              <w:t xml:space="preserve"> </w:t>
            </w:r>
            <w:proofErr w:type="spellStart"/>
            <w:r w:rsidRPr="0078411D">
              <w:rPr>
                <w:lang w:val="fr-FR"/>
              </w:rPr>
              <w:t>compartment</w:t>
            </w:r>
            <w:proofErr w:type="spellEnd"/>
            <w:r w:rsidRPr="0078411D">
              <w:rPr>
                <w:lang w:val="fr-FR"/>
              </w:rPr>
              <w:t> » n’est pas uniforme dans les versions française et allemande du RID/ADR/ADN.</w:t>
            </w:r>
          </w:p>
        </w:tc>
      </w:tr>
      <w:tr w:rsidR="003A2907" w:rsidRPr="009753BF" w14:paraId="290113ED" w14:textId="77777777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FB0A23" w14:textId="77777777" w:rsidR="003A2907" w:rsidRPr="009753BF" w:rsidRDefault="003A2907">
            <w:pPr>
              <w:pStyle w:val="SingleTxtG"/>
              <w:tabs>
                <w:tab w:val="left" w:pos="3686"/>
              </w:tabs>
              <w:ind w:left="3686" w:hanging="2552"/>
              <w:rPr>
                <w:lang w:val="fr-FR"/>
              </w:rPr>
            </w:pPr>
            <w:r w:rsidRPr="009753BF">
              <w:rPr>
                <w:b/>
                <w:lang w:val="fr-FR"/>
              </w:rPr>
              <w:t>Mesures à prendre</w:t>
            </w:r>
            <w:r w:rsidRPr="009753BF">
              <w:rPr>
                <w:bCs/>
                <w:lang w:val="fr-FR"/>
              </w:rPr>
              <w:t> :</w:t>
            </w:r>
            <w:r w:rsidRPr="009753BF">
              <w:rPr>
                <w:b/>
                <w:lang w:val="fr-FR"/>
              </w:rPr>
              <w:tab/>
            </w:r>
            <w:r w:rsidRPr="005B04F1">
              <w:rPr>
                <w:bCs/>
                <w:lang w:val="fr-FR"/>
              </w:rPr>
              <w:t xml:space="preserve">Retenir un seul terme </w:t>
            </w:r>
            <w:r>
              <w:rPr>
                <w:bCs/>
                <w:lang w:val="fr-FR"/>
              </w:rPr>
              <w:t xml:space="preserve">par langue </w:t>
            </w:r>
            <w:r w:rsidRPr="005B04F1">
              <w:rPr>
                <w:bCs/>
                <w:lang w:val="fr-FR"/>
              </w:rPr>
              <w:t>et corriger les termes erronés</w:t>
            </w:r>
            <w:r>
              <w:rPr>
                <w:bCs/>
                <w:lang w:val="fr-FR"/>
              </w:rPr>
              <w:t>.</w:t>
            </w:r>
          </w:p>
          <w:p w14:paraId="11C0B589" w14:textId="6BAE279D" w:rsidR="003A2907" w:rsidRPr="009E4030" w:rsidRDefault="003A2907">
            <w:pPr>
              <w:pStyle w:val="SingleTxtG"/>
              <w:tabs>
                <w:tab w:val="left" w:pos="3686"/>
              </w:tabs>
              <w:spacing w:after="0"/>
              <w:ind w:left="3686" w:hanging="2552"/>
              <w:rPr>
                <w:bCs/>
                <w:lang w:val="fr-FR"/>
              </w:rPr>
            </w:pPr>
            <w:r w:rsidRPr="009753BF">
              <w:rPr>
                <w:b/>
                <w:lang w:val="fr-FR"/>
              </w:rPr>
              <w:t>Documents annexes</w:t>
            </w:r>
            <w:r w:rsidRPr="009753BF">
              <w:rPr>
                <w:bCs/>
                <w:lang w:val="fr-FR"/>
              </w:rPr>
              <w:t> :</w:t>
            </w:r>
            <w:r w:rsidRPr="009753BF">
              <w:rPr>
                <w:b/>
                <w:lang w:val="fr-FR"/>
              </w:rPr>
              <w:tab/>
            </w:r>
            <w:r>
              <w:rPr>
                <w:bCs/>
                <w:lang w:val="fr-FR"/>
              </w:rPr>
              <w:t xml:space="preserve">Document informel INF.38 de la </w:t>
            </w:r>
            <w:r w:rsidR="008F677C">
              <w:rPr>
                <w:bCs/>
                <w:lang w:val="fr-FR"/>
              </w:rPr>
              <w:t xml:space="preserve">soixante-troisième </w:t>
            </w:r>
            <w:r>
              <w:rPr>
                <w:bCs/>
                <w:lang w:val="fr-FR"/>
              </w:rPr>
              <w:t xml:space="preserve"> session du </w:t>
            </w:r>
            <w:r w:rsidRPr="004146E4">
              <w:rPr>
                <w:lang w:val="fr-FR"/>
              </w:rPr>
              <w:t xml:space="preserve">Sous-Comité d’experts </w:t>
            </w:r>
            <w:r>
              <w:rPr>
                <w:lang w:val="fr-FR"/>
              </w:rPr>
              <w:t xml:space="preserve">de l’ONU </w:t>
            </w:r>
            <w:r w:rsidRPr="004146E4">
              <w:rPr>
                <w:lang w:val="fr-FR"/>
              </w:rPr>
              <w:t>du transport des marchandises dangereuses</w:t>
            </w:r>
            <w:r>
              <w:rPr>
                <w:bCs/>
                <w:lang w:val="fr-FR"/>
              </w:rPr>
              <w:t>.</w:t>
            </w:r>
          </w:p>
        </w:tc>
      </w:tr>
      <w:tr w:rsidR="003A2907" w:rsidRPr="009753BF" w14:paraId="566360E7" w14:textId="77777777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25B1" w14:textId="77777777" w:rsidR="003A2907" w:rsidRPr="009753BF" w:rsidRDefault="003A2907">
            <w:pPr>
              <w:pStyle w:val="SingleTxtG"/>
              <w:tabs>
                <w:tab w:val="left" w:pos="3686"/>
              </w:tabs>
              <w:spacing w:after="0"/>
              <w:ind w:left="0"/>
              <w:rPr>
                <w:lang w:val="fr-FR"/>
              </w:rPr>
            </w:pPr>
          </w:p>
          <w:p w14:paraId="4EC0D2CA" w14:textId="77777777" w:rsidR="003A2907" w:rsidRPr="009753BF" w:rsidRDefault="003A2907">
            <w:pPr>
              <w:pStyle w:val="SingleTxtG"/>
              <w:tabs>
                <w:tab w:val="left" w:pos="3686"/>
              </w:tabs>
              <w:ind w:left="3686" w:hanging="2552"/>
              <w:rPr>
                <w:b/>
                <w:lang w:val="fr-FR"/>
              </w:rPr>
            </w:pPr>
          </w:p>
        </w:tc>
      </w:tr>
    </w:tbl>
    <w:p w14:paraId="3D896FBC" w14:textId="77777777" w:rsidR="003A2907" w:rsidRPr="009753BF" w:rsidRDefault="003A2907" w:rsidP="003A2907">
      <w:pPr>
        <w:pStyle w:val="HChG"/>
        <w:ind w:right="850"/>
        <w:rPr>
          <w:lang w:val="fr-FR"/>
        </w:rPr>
      </w:pPr>
      <w:r w:rsidRPr="009753BF">
        <w:rPr>
          <w:lang w:val="fr-FR"/>
        </w:rPr>
        <w:lastRenderedPageBreak/>
        <w:tab/>
      </w:r>
      <w:r w:rsidRPr="009753BF">
        <w:rPr>
          <w:lang w:val="fr-FR"/>
        </w:rPr>
        <w:tab/>
      </w:r>
      <w:r w:rsidRPr="009753BF">
        <w:rPr>
          <w:lang w:val="fr-FR"/>
        </w:rPr>
        <w:tab/>
        <w:t>Introduction</w:t>
      </w:r>
    </w:p>
    <w:p w14:paraId="5C9055C3" w14:textId="77777777" w:rsidR="003A2907" w:rsidRDefault="003A2907" w:rsidP="003A2907">
      <w:pPr>
        <w:pStyle w:val="SingleTxtG"/>
        <w:rPr>
          <w:rFonts w:ascii="TimesNewRomanPSMT" w:hAnsi="TimesNewRomanPSMT" w:cs="TimesNewRomanPSMT"/>
        </w:rPr>
      </w:pPr>
      <w:r w:rsidRPr="009753BF">
        <w:rPr>
          <w:lang w:val="fr-FR"/>
        </w:rPr>
        <w:t>1.</w:t>
      </w:r>
      <w:r w:rsidRPr="009753BF">
        <w:rPr>
          <w:lang w:val="fr-FR"/>
        </w:rPr>
        <w:tab/>
      </w:r>
      <w:r>
        <w:rPr>
          <w:lang w:val="fr-FR"/>
        </w:rPr>
        <w:t xml:space="preserve">À sa session de septembre 2023, la </w:t>
      </w:r>
      <w:r w:rsidRPr="004146E4">
        <w:rPr>
          <w:lang w:val="fr-FR"/>
        </w:rPr>
        <w:t>Réunion commune de la Commission d’experts du RID et du Groupe de travail des transports de marchandises dangereuses</w:t>
      </w:r>
      <w:r>
        <w:rPr>
          <w:lang w:val="fr-FR"/>
        </w:rPr>
        <w:t xml:space="preserve"> a adopté </w:t>
      </w:r>
      <w:r>
        <w:t xml:space="preserve">de nouveaux textes relatifs au transport de déchets contenant de </w:t>
      </w:r>
      <w:r>
        <w:rPr>
          <w:rFonts w:ascii="TimesNewRomanPSMT" w:hAnsi="TimesNewRomanPSMT" w:cs="TimesNewRomanPSMT"/>
        </w:rPr>
        <w:t>l’amiante.</w:t>
      </w:r>
    </w:p>
    <w:p w14:paraId="28370B35" w14:textId="520E811E" w:rsidR="003A2907" w:rsidRDefault="003A2907" w:rsidP="003A2907">
      <w:pPr>
        <w:pStyle w:val="SingleTxtG"/>
        <w:rPr>
          <w:lang w:val="fr-FR"/>
        </w:rPr>
      </w:pPr>
      <w:r>
        <w:t>2.</w:t>
      </w:r>
      <w:r>
        <w:tab/>
      </w:r>
      <w:r>
        <w:rPr>
          <w:rFonts w:ascii="TimesNewRomanPSMT" w:hAnsi="TimesNewRomanPSMT" w:cs="TimesNewRomanPSMT"/>
        </w:rPr>
        <w:t xml:space="preserve">Ces textes ont été améliorés à la session de novembre 2023 du </w:t>
      </w:r>
      <w:r w:rsidRPr="005B04F1">
        <w:rPr>
          <w:lang w:val="fr-FR"/>
        </w:rPr>
        <w:t>Groupe de travail des transports de marchandises dangereuses (WP.15)</w:t>
      </w:r>
      <w:r>
        <w:rPr>
          <w:lang w:val="fr-FR"/>
        </w:rPr>
        <w:t xml:space="preserve">. À cette occasion, la Suisse a </w:t>
      </w:r>
      <w:r w:rsidRPr="005B04F1">
        <w:rPr>
          <w:lang w:val="fr-FR"/>
        </w:rPr>
        <w:t xml:space="preserve">constaté que le terme anglais </w:t>
      </w:r>
      <w:r w:rsidR="00AD29AF">
        <w:rPr>
          <w:lang w:val="fr-FR"/>
        </w:rPr>
        <w:t> « </w:t>
      </w:r>
      <w:proofErr w:type="spellStart"/>
      <w:r w:rsidRPr="005B04F1">
        <w:rPr>
          <w:lang w:val="fr-FR"/>
        </w:rPr>
        <w:t>load</w:t>
      </w:r>
      <w:proofErr w:type="spellEnd"/>
      <w:r w:rsidRPr="005B04F1">
        <w:rPr>
          <w:lang w:val="fr-FR"/>
        </w:rPr>
        <w:t xml:space="preserve"> </w:t>
      </w:r>
      <w:proofErr w:type="spellStart"/>
      <w:r w:rsidRPr="005B04F1">
        <w:rPr>
          <w:lang w:val="fr-FR"/>
        </w:rPr>
        <w:t>compartment</w:t>
      </w:r>
      <w:proofErr w:type="spellEnd"/>
      <w:r w:rsidR="00AD29AF">
        <w:rPr>
          <w:lang w:val="fr-FR"/>
        </w:rPr>
        <w:t> »</w:t>
      </w:r>
      <w:r>
        <w:rPr>
          <w:lang w:val="fr-FR"/>
        </w:rPr>
        <w:t xml:space="preserve"> </w:t>
      </w:r>
      <w:r w:rsidRPr="005B04F1">
        <w:rPr>
          <w:lang w:val="fr-FR"/>
        </w:rPr>
        <w:t xml:space="preserve">était traduit </w:t>
      </w:r>
      <w:r>
        <w:rPr>
          <w:lang w:val="fr-FR"/>
        </w:rPr>
        <w:t>dans l’ADR</w:t>
      </w:r>
      <w:r w:rsidRPr="005B04F1">
        <w:rPr>
          <w:lang w:val="fr-FR"/>
        </w:rPr>
        <w:t xml:space="preserve"> par deux termes différents en français</w:t>
      </w:r>
      <w:r>
        <w:rPr>
          <w:lang w:val="fr-FR"/>
        </w:rPr>
        <w:t>. Le WP.15 est convenu que le terme à retenir serait « compartiment de chargement » et que le terme « compartiment de charge » devait être corrigé.</w:t>
      </w:r>
    </w:p>
    <w:p w14:paraId="62B5C346" w14:textId="0DF4FB9D" w:rsidR="003A2907" w:rsidRPr="005B04F1" w:rsidRDefault="003A2907" w:rsidP="003A2907">
      <w:pPr>
        <w:pStyle w:val="SingleTxtG"/>
        <w:rPr>
          <w:lang w:val="fr-FR"/>
        </w:rPr>
      </w:pPr>
      <w:r>
        <w:rPr>
          <w:lang w:val="fr-FR"/>
        </w:rPr>
        <w:t xml:space="preserve">3. </w:t>
      </w:r>
      <w:r>
        <w:rPr>
          <w:lang w:val="fr-FR"/>
        </w:rPr>
        <w:tab/>
        <w:t xml:space="preserve">Le terme anglais </w:t>
      </w:r>
      <w:r w:rsidR="00D42FE9">
        <w:rPr>
          <w:lang w:val="fr-FR"/>
        </w:rPr>
        <w:t>« </w:t>
      </w:r>
      <w:proofErr w:type="spellStart"/>
      <w:r w:rsidRPr="005B04F1">
        <w:rPr>
          <w:lang w:val="fr-FR"/>
        </w:rPr>
        <w:t>load</w:t>
      </w:r>
      <w:proofErr w:type="spellEnd"/>
      <w:r w:rsidRPr="005B04F1">
        <w:rPr>
          <w:lang w:val="fr-FR"/>
        </w:rPr>
        <w:t xml:space="preserve"> </w:t>
      </w:r>
      <w:proofErr w:type="spellStart"/>
      <w:r w:rsidRPr="005B04F1">
        <w:rPr>
          <w:lang w:val="fr-FR"/>
        </w:rPr>
        <w:t>compartment</w:t>
      </w:r>
      <w:proofErr w:type="spellEnd"/>
      <w:r w:rsidR="00D42FE9">
        <w:rPr>
          <w:lang w:val="fr-FR"/>
        </w:rPr>
        <w:t> »</w:t>
      </w:r>
      <w:r w:rsidRPr="005B04F1">
        <w:rPr>
          <w:lang w:val="fr-FR"/>
        </w:rPr>
        <w:t xml:space="preserve"> apparaît </w:t>
      </w:r>
      <w:r>
        <w:rPr>
          <w:lang w:val="fr-FR"/>
        </w:rPr>
        <w:t xml:space="preserve">également </w:t>
      </w:r>
      <w:r w:rsidRPr="005B04F1">
        <w:rPr>
          <w:lang w:val="fr-FR"/>
        </w:rPr>
        <w:t>dans le Règlement type de l’ONU</w:t>
      </w:r>
      <w:r>
        <w:rPr>
          <w:lang w:val="fr-FR"/>
        </w:rPr>
        <w:t xml:space="preserve">. À sa </w:t>
      </w:r>
      <w:r w:rsidR="0032659E" w:rsidRPr="0032659E">
        <w:rPr>
          <w:bCs/>
          <w:lang w:val="fr-FR"/>
        </w:rPr>
        <w:t xml:space="preserve"> </w:t>
      </w:r>
      <w:r w:rsidR="0032659E">
        <w:rPr>
          <w:bCs/>
          <w:lang w:val="fr-FR"/>
        </w:rPr>
        <w:t>soixante-troisième</w:t>
      </w:r>
      <w:r>
        <w:rPr>
          <w:lang w:val="fr-FR"/>
        </w:rPr>
        <w:t xml:space="preserve"> session, le </w:t>
      </w:r>
      <w:r w:rsidRPr="004146E4">
        <w:rPr>
          <w:lang w:val="fr-FR"/>
        </w:rPr>
        <w:t xml:space="preserve">Sous-Comité d’experts </w:t>
      </w:r>
      <w:r>
        <w:rPr>
          <w:lang w:val="fr-FR"/>
        </w:rPr>
        <w:t xml:space="preserve">de l’ONU </w:t>
      </w:r>
      <w:r w:rsidRPr="004146E4">
        <w:rPr>
          <w:lang w:val="fr-FR"/>
        </w:rPr>
        <w:t>du transport des marchandises dangereuses</w:t>
      </w:r>
      <w:r>
        <w:rPr>
          <w:lang w:val="fr-FR"/>
        </w:rPr>
        <w:t xml:space="preserve"> a adopté les propositions d’amendements de la Suisse dans le document informel INF.38, visant à n’utiliser plus que le terme « compartiment de chargement » en français.</w:t>
      </w:r>
    </w:p>
    <w:p w14:paraId="72113828" w14:textId="77777777" w:rsidR="003A2907" w:rsidRDefault="003A2907" w:rsidP="003A2907">
      <w:pPr>
        <w:pStyle w:val="SingleTxtG"/>
        <w:rPr>
          <w:lang w:val="fr-FR"/>
        </w:rPr>
      </w:pPr>
      <w:r>
        <w:rPr>
          <w:lang w:val="fr-FR"/>
        </w:rPr>
        <w:t xml:space="preserve">4. </w:t>
      </w:r>
      <w:r>
        <w:rPr>
          <w:lang w:val="fr-FR"/>
        </w:rPr>
        <w:tab/>
        <w:t>La Suisse propose maintenant d’entreprendre les mêmes corrections dans l’entier du RID/ADR/ADN et soumet à cette fin les propositions ci-dessous.</w:t>
      </w:r>
    </w:p>
    <w:p w14:paraId="19A44DAB" w14:textId="498A47F3" w:rsidR="003A2907" w:rsidRDefault="003A2907" w:rsidP="003A2907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Lors de la vérification des textes français, la Suisse a également identifié des incohérences dans la version allemande, où les deux termes « </w:t>
      </w:r>
      <w:proofErr w:type="spellStart"/>
      <w:r>
        <w:rPr>
          <w:lang w:val="fr-FR"/>
        </w:rPr>
        <w:t>Ladeabteil</w:t>
      </w:r>
      <w:proofErr w:type="spellEnd"/>
      <w:r>
        <w:rPr>
          <w:lang w:val="fr-FR"/>
        </w:rPr>
        <w:t> » et « </w:t>
      </w:r>
      <w:proofErr w:type="spellStart"/>
      <w:r>
        <w:rPr>
          <w:lang w:val="fr-FR"/>
        </w:rPr>
        <w:t>Laderaum</w:t>
      </w:r>
      <w:proofErr w:type="spellEnd"/>
      <w:r>
        <w:rPr>
          <w:lang w:val="fr-FR"/>
        </w:rPr>
        <w:t> » sont utilisés pour le même concept. Par ailleurs, dans l’ADN, « </w:t>
      </w:r>
      <w:proofErr w:type="spellStart"/>
      <w:r>
        <w:rPr>
          <w:lang w:val="fr-FR"/>
        </w:rPr>
        <w:t>Laderaum</w:t>
      </w:r>
      <w:proofErr w:type="spellEnd"/>
      <w:r>
        <w:rPr>
          <w:lang w:val="fr-FR"/>
        </w:rPr>
        <w:t> » désigne la cale. Il convient donc de retenir « </w:t>
      </w:r>
      <w:proofErr w:type="spellStart"/>
      <w:r>
        <w:rPr>
          <w:lang w:val="fr-FR"/>
        </w:rPr>
        <w:t>Ladeabteil</w:t>
      </w:r>
      <w:proofErr w:type="spellEnd"/>
      <w:r>
        <w:rPr>
          <w:lang w:val="fr-FR"/>
        </w:rPr>
        <w:t> » comme traduction de « </w:t>
      </w:r>
      <w:proofErr w:type="spellStart"/>
      <w:r>
        <w:rPr>
          <w:lang w:val="fr-FR"/>
        </w:rPr>
        <w:t>load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compartment</w:t>
      </w:r>
      <w:proofErr w:type="spellEnd"/>
      <w:r>
        <w:rPr>
          <w:lang w:val="fr-FR"/>
        </w:rPr>
        <w:t> ». La Suisse soumet les propositions correspondantes dans le paragraphe 7 de la version allemande de ce document</w:t>
      </w:r>
      <w:r w:rsidR="00DC26DA">
        <w:rPr>
          <w:lang w:val="fr-FR"/>
        </w:rPr>
        <w:t xml:space="preserve"> préparée par l’OTIF</w:t>
      </w:r>
      <w:r>
        <w:rPr>
          <w:lang w:val="fr-FR"/>
        </w:rPr>
        <w:t>.</w:t>
      </w:r>
    </w:p>
    <w:p w14:paraId="4F446BC4" w14:textId="77777777" w:rsidR="003A2907" w:rsidRPr="009753BF" w:rsidRDefault="003A2907" w:rsidP="003A2907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Pr="00796711">
        <w:rPr>
          <w:lang w:val="fr-FR"/>
        </w:rPr>
        <w:t>Il n’est pas nécessaire de corriger les versions anglaise et russe, car elles ne comportent pas ce type d’incohérence.</w:t>
      </w:r>
    </w:p>
    <w:p w14:paraId="0EE72575" w14:textId="77777777" w:rsidR="003A2907" w:rsidRPr="009753BF" w:rsidRDefault="003A2907" w:rsidP="003A2907">
      <w:pPr>
        <w:pStyle w:val="HChG"/>
        <w:spacing w:before="240"/>
        <w:ind w:right="851" w:firstLine="0"/>
        <w:rPr>
          <w:lang w:val="fr-FR"/>
        </w:rPr>
      </w:pPr>
      <w:r w:rsidRPr="009753BF">
        <w:rPr>
          <w:lang w:val="fr-FR"/>
        </w:rPr>
        <w:t>Proposition</w:t>
      </w:r>
      <w:r>
        <w:rPr>
          <w:lang w:val="fr-FR"/>
        </w:rPr>
        <w:t xml:space="preserve"> pour la version française du RID/ADR/ADN</w:t>
      </w:r>
    </w:p>
    <w:p w14:paraId="5494B885" w14:textId="58F702D4" w:rsidR="003A2907" w:rsidRDefault="003A2907" w:rsidP="003A2907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Modifier la version française comme suit :</w:t>
      </w:r>
    </w:p>
    <w:p w14:paraId="687796F0" w14:textId="77777777" w:rsidR="003A2907" w:rsidRPr="001538C3" w:rsidRDefault="003A2907" w:rsidP="00010868">
      <w:pPr>
        <w:pStyle w:val="Bullet1G"/>
        <w:rPr>
          <w:lang w:val="fr-FR"/>
        </w:rPr>
      </w:pPr>
      <w:r>
        <w:rPr>
          <w:lang w:val="fr-FR"/>
        </w:rPr>
        <w:t xml:space="preserve">Au paragraphe 1.1.3.7 b), </w:t>
      </w:r>
      <w:r w:rsidRPr="001538C3">
        <w:rPr>
          <w:lang w:val="fr-FR"/>
        </w:rPr>
        <w:t>remplacer «</w:t>
      </w:r>
      <w:r>
        <w:rPr>
          <w:lang w:val="fr-FR"/>
        </w:rPr>
        <w:t> </w:t>
      </w:r>
      <w:r w:rsidRPr="001538C3">
        <w:rPr>
          <w:lang w:val="fr-FR"/>
        </w:rPr>
        <w:t>compartiments de charge</w:t>
      </w:r>
      <w:r>
        <w:rPr>
          <w:lang w:val="fr-FR"/>
        </w:rPr>
        <w:t> </w:t>
      </w:r>
      <w:r w:rsidRPr="001538C3">
        <w:rPr>
          <w:lang w:val="fr-FR"/>
        </w:rPr>
        <w:t>» par «</w:t>
      </w:r>
      <w:r>
        <w:rPr>
          <w:lang w:val="fr-FR"/>
        </w:rPr>
        <w:t> </w:t>
      </w:r>
      <w:r w:rsidRPr="001538C3">
        <w:rPr>
          <w:lang w:val="fr-FR"/>
        </w:rPr>
        <w:t>compartiments de chargement</w:t>
      </w:r>
      <w:r>
        <w:rPr>
          <w:lang w:val="fr-FR"/>
        </w:rPr>
        <w:t> </w:t>
      </w:r>
      <w:r w:rsidRPr="001538C3">
        <w:rPr>
          <w:lang w:val="fr-FR"/>
        </w:rPr>
        <w:t>».</w:t>
      </w:r>
    </w:p>
    <w:p w14:paraId="4EE6601C" w14:textId="77777777" w:rsidR="003A2907" w:rsidRPr="001538C3" w:rsidRDefault="003A2907" w:rsidP="00010868">
      <w:pPr>
        <w:pStyle w:val="Bullet1G"/>
        <w:rPr>
          <w:lang w:val="fr-FR"/>
        </w:rPr>
      </w:pPr>
      <w:r>
        <w:rPr>
          <w:lang w:val="fr-FR"/>
        </w:rPr>
        <w:t xml:space="preserve">Dans la section </w:t>
      </w:r>
      <w:r w:rsidRPr="001538C3">
        <w:rPr>
          <w:lang w:val="fr-FR"/>
        </w:rPr>
        <w:t>1.2.1, définition de Conteneur pour vrac, dernier paragraphe, remplacer «</w:t>
      </w:r>
      <w:r>
        <w:rPr>
          <w:lang w:val="fr-FR"/>
        </w:rPr>
        <w:t> </w:t>
      </w:r>
      <w:r w:rsidRPr="001538C3">
        <w:rPr>
          <w:lang w:val="fr-FR"/>
        </w:rPr>
        <w:t>compartiments de charge</w:t>
      </w:r>
      <w:r>
        <w:rPr>
          <w:lang w:val="fr-FR"/>
        </w:rPr>
        <w:t> </w:t>
      </w:r>
      <w:r w:rsidRPr="001538C3">
        <w:rPr>
          <w:lang w:val="fr-FR"/>
        </w:rPr>
        <w:t>» par «</w:t>
      </w:r>
      <w:r>
        <w:rPr>
          <w:lang w:val="fr-FR"/>
        </w:rPr>
        <w:t> </w:t>
      </w:r>
      <w:r w:rsidRPr="001538C3">
        <w:rPr>
          <w:lang w:val="fr-FR"/>
        </w:rPr>
        <w:t>compartiments de chargement</w:t>
      </w:r>
      <w:r>
        <w:rPr>
          <w:lang w:val="fr-FR"/>
        </w:rPr>
        <w:t> </w:t>
      </w:r>
      <w:r w:rsidRPr="001538C3">
        <w:rPr>
          <w:lang w:val="fr-FR"/>
        </w:rPr>
        <w:t>».</w:t>
      </w:r>
    </w:p>
    <w:p w14:paraId="7701F3BA" w14:textId="77777777" w:rsidR="003A2907" w:rsidRDefault="003A2907" w:rsidP="00010868">
      <w:pPr>
        <w:pStyle w:val="Bullet1G"/>
        <w:rPr>
          <w:lang w:val="fr-FR"/>
        </w:rPr>
      </w:pPr>
      <w:r>
        <w:rPr>
          <w:lang w:val="fr-FR"/>
        </w:rPr>
        <w:t xml:space="preserve">Dans le titre du 5.5.4, </w:t>
      </w:r>
      <w:r w:rsidRPr="001538C3">
        <w:rPr>
          <w:lang w:val="fr-FR"/>
        </w:rPr>
        <w:t>remplacer «</w:t>
      </w:r>
      <w:r>
        <w:rPr>
          <w:lang w:val="fr-FR"/>
        </w:rPr>
        <w:t> </w:t>
      </w:r>
      <w:r w:rsidRPr="001538C3">
        <w:rPr>
          <w:lang w:val="fr-FR"/>
        </w:rPr>
        <w:t>compartiments de charge</w:t>
      </w:r>
      <w:r>
        <w:rPr>
          <w:lang w:val="fr-FR"/>
        </w:rPr>
        <w:t> </w:t>
      </w:r>
      <w:r w:rsidRPr="001538C3">
        <w:rPr>
          <w:lang w:val="fr-FR"/>
        </w:rPr>
        <w:t>» par «</w:t>
      </w:r>
      <w:r>
        <w:rPr>
          <w:lang w:val="fr-FR"/>
        </w:rPr>
        <w:t> </w:t>
      </w:r>
      <w:r w:rsidRPr="001538C3">
        <w:rPr>
          <w:lang w:val="fr-FR"/>
        </w:rPr>
        <w:t>compartiments de chargement</w:t>
      </w:r>
      <w:r>
        <w:rPr>
          <w:lang w:val="fr-FR"/>
        </w:rPr>
        <w:t> </w:t>
      </w:r>
      <w:r w:rsidRPr="001538C3">
        <w:rPr>
          <w:lang w:val="fr-FR"/>
        </w:rPr>
        <w:t>».</w:t>
      </w:r>
    </w:p>
    <w:p w14:paraId="20F01371" w14:textId="77777777" w:rsidR="003A2907" w:rsidRPr="001538C3" w:rsidRDefault="003A2907" w:rsidP="00010868">
      <w:pPr>
        <w:pStyle w:val="Bullet1G"/>
        <w:rPr>
          <w:lang w:val="fr-FR"/>
        </w:rPr>
      </w:pPr>
      <w:r w:rsidRPr="001538C3">
        <w:rPr>
          <w:lang w:val="fr-FR"/>
        </w:rPr>
        <w:t>Au 5.5.4.1, remplacer «</w:t>
      </w:r>
      <w:r>
        <w:rPr>
          <w:lang w:val="fr-FR"/>
        </w:rPr>
        <w:t> </w:t>
      </w:r>
      <w:r w:rsidRPr="001538C3">
        <w:rPr>
          <w:lang w:val="fr-FR"/>
        </w:rPr>
        <w:t>compartiments de charge</w:t>
      </w:r>
      <w:r>
        <w:rPr>
          <w:lang w:val="fr-FR"/>
        </w:rPr>
        <w:t> </w:t>
      </w:r>
      <w:r w:rsidRPr="001538C3">
        <w:rPr>
          <w:lang w:val="fr-FR"/>
        </w:rPr>
        <w:t>» par «</w:t>
      </w:r>
      <w:r>
        <w:rPr>
          <w:lang w:val="fr-FR"/>
        </w:rPr>
        <w:t> </w:t>
      </w:r>
      <w:r w:rsidRPr="001538C3">
        <w:rPr>
          <w:lang w:val="fr-FR"/>
        </w:rPr>
        <w:t>compartiments de chargement</w:t>
      </w:r>
      <w:r>
        <w:rPr>
          <w:lang w:val="fr-FR"/>
        </w:rPr>
        <w:t> </w:t>
      </w:r>
      <w:r w:rsidRPr="001538C3">
        <w:rPr>
          <w:lang w:val="fr-FR"/>
        </w:rPr>
        <w:t xml:space="preserve">». </w:t>
      </w:r>
    </w:p>
    <w:p w14:paraId="3526AD0B" w14:textId="77777777" w:rsidR="003A2907" w:rsidRPr="001538C3" w:rsidRDefault="003A2907" w:rsidP="00010868">
      <w:pPr>
        <w:pStyle w:val="Bullet1G"/>
        <w:rPr>
          <w:lang w:val="fr-FR"/>
        </w:rPr>
      </w:pPr>
      <w:r>
        <w:rPr>
          <w:lang w:val="fr-FR"/>
        </w:rPr>
        <w:t>Au 6.11.4.1 (RID/ADR uniquement),</w:t>
      </w:r>
      <w:r w:rsidRPr="001538C3">
        <w:rPr>
          <w:lang w:val="fr-FR"/>
        </w:rPr>
        <w:t xml:space="preserve"> remplacer «</w:t>
      </w:r>
      <w:r>
        <w:rPr>
          <w:lang w:val="fr-FR"/>
        </w:rPr>
        <w:t> </w:t>
      </w:r>
      <w:r w:rsidRPr="001538C3">
        <w:rPr>
          <w:lang w:val="fr-FR"/>
        </w:rPr>
        <w:t>compartiments de charge</w:t>
      </w:r>
      <w:r>
        <w:rPr>
          <w:lang w:val="fr-FR"/>
        </w:rPr>
        <w:t> </w:t>
      </w:r>
      <w:r w:rsidRPr="001538C3">
        <w:rPr>
          <w:lang w:val="fr-FR"/>
        </w:rPr>
        <w:t>» par «</w:t>
      </w:r>
      <w:r>
        <w:rPr>
          <w:lang w:val="fr-FR"/>
        </w:rPr>
        <w:t> </w:t>
      </w:r>
      <w:r w:rsidRPr="001538C3">
        <w:rPr>
          <w:lang w:val="fr-FR"/>
        </w:rPr>
        <w:t>compartiments de chargement</w:t>
      </w:r>
      <w:r>
        <w:rPr>
          <w:lang w:val="fr-FR"/>
        </w:rPr>
        <w:t> </w:t>
      </w:r>
      <w:r w:rsidRPr="001538C3">
        <w:rPr>
          <w:lang w:val="fr-FR"/>
        </w:rPr>
        <w:t>».</w:t>
      </w:r>
    </w:p>
    <w:p w14:paraId="27C9546B" w14:textId="77777777" w:rsidR="003A2907" w:rsidRDefault="003A2907" w:rsidP="00010868">
      <w:pPr>
        <w:pStyle w:val="Bullet1G"/>
        <w:rPr>
          <w:lang w:val="fr-FR"/>
        </w:rPr>
      </w:pPr>
      <w:r w:rsidRPr="00D15847">
        <w:rPr>
          <w:color w:val="000000"/>
        </w:rPr>
        <w:t>Au 7.3.3.2.6 AP8 (RID/ADR</w:t>
      </w:r>
      <w:r>
        <w:rPr>
          <w:color w:val="000000"/>
        </w:rPr>
        <w:t xml:space="preserve"> uniquement</w:t>
      </w:r>
      <w:r w:rsidRPr="00D15847">
        <w:rPr>
          <w:color w:val="000000"/>
        </w:rPr>
        <w:t>)</w:t>
      </w:r>
      <w:r>
        <w:rPr>
          <w:color w:val="000000"/>
        </w:rPr>
        <w:t xml:space="preserve">, </w:t>
      </w:r>
      <w:r w:rsidRPr="00D15847">
        <w:rPr>
          <w:lang w:val="fr-FR"/>
        </w:rPr>
        <w:t>remplacer « compartiments de charge » par « compartiments de chargement »  (deux fois) et « compartiment de charge » par « compartiment de chargement ».</w:t>
      </w:r>
    </w:p>
    <w:p w14:paraId="71B8430B" w14:textId="77777777" w:rsidR="003A2907" w:rsidRPr="009753BF" w:rsidRDefault="003A2907" w:rsidP="003A2907">
      <w:pPr>
        <w:pStyle w:val="HChG"/>
        <w:spacing w:before="240"/>
        <w:ind w:right="851"/>
        <w:rPr>
          <w:lang w:val="fr-FR"/>
        </w:rPr>
      </w:pPr>
      <w:r w:rsidRPr="009753BF">
        <w:rPr>
          <w:lang w:val="fr-FR"/>
        </w:rPr>
        <w:tab/>
      </w:r>
      <w:r w:rsidRPr="009753BF">
        <w:rPr>
          <w:lang w:val="fr-FR"/>
        </w:rPr>
        <w:tab/>
        <w:t>Justification</w:t>
      </w:r>
    </w:p>
    <w:p w14:paraId="44F0E359" w14:textId="77777777" w:rsidR="003A2907" w:rsidRDefault="003A2907" w:rsidP="003A2907">
      <w:pPr>
        <w:pStyle w:val="SingleTxtG"/>
        <w:rPr>
          <w:lang w:val="fr-FR"/>
        </w:rPr>
      </w:pPr>
      <w:r w:rsidRPr="009753BF">
        <w:rPr>
          <w:lang w:val="fr-FR"/>
        </w:rPr>
        <w:t>8.</w:t>
      </w:r>
      <w:r w:rsidRPr="009753BF">
        <w:rPr>
          <w:lang w:val="fr-FR"/>
        </w:rPr>
        <w:tab/>
      </w:r>
      <w:r w:rsidRPr="00D12857">
        <w:rPr>
          <w:lang w:val="fr-FR"/>
        </w:rPr>
        <w:t xml:space="preserve">Une terminologie systématique </w:t>
      </w:r>
      <w:r>
        <w:rPr>
          <w:lang w:val="fr-FR"/>
        </w:rPr>
        <w:t xml:space="preserve">et cohérente </w:t>
      </w:r>
      <w:r w:rsidRPr="00D12857">
        <w:rPr>
          <w:lang w:val="fr-FR"/>
        </w:rPr>
        <w:t xml:space="preserve">dans les langues </w:t>
      </w:r>
      <w:r>
        <w:rPr>
          <w:lang w:val="fr-FR"/>
        </w:rPr>
        <w:t>originales</w:t>
      </w:r>
      <w:r w:rsidRPr="00D12857">
        <w:rPr>
          <w:lang w:val="fr-FR"/>
        </w:rPr>
        <w:t xml:space="preserve"> du RID/ADR/ADN facilite la traduction des règlements dans d'autres langues et permet d'élaborer des textes juridiques </w:t>
      </w:r>
      <w:r>
        <w:rPr>
          <w:lang w:val="fr-FR"/>
        </w:rPr>
        <w:t xml:space="preserve">plus </w:t>
      </w:r>
      <w:r w:rsidRPr="00D12857">
        <w:rPr>
          <w:lang w:val="fr-FR"/>
        </w:rPr>
        <w:t xml:space="preserve">clairs. Ceci </w:t>
      </w:r>
      <w:r>
        <w:rPr>
          <w:lang w:val="fr-FR"/>
        </w:rPr>
        <w:t>permet une</w:t>
      </w:r>
      <w:r w:rsidRPr="00D12857">
        <w:rPr>
          <w:lang w:val="fr-FR"/>
        </w:rPr>
        <w:t xml:space="preserve"> interprétation </w:t>
      </w:r>
      <w:r>
        <w:rPr>
          <w:lang w:val="fr-FR"/>
        </w:rPr>
        <w:t>harmonisée</w:t>
      </w:r>
      <w:r w:rsidRPr="00D12857">
        <w:rPr>
          <w:lang w:val="fr-FR"/>
        </w:rPr>
        <w:t xml:space="preserve"> </w:t>
      </w:r>
      <w:r>
        <w:rPr>
          <w:lang w:val="fr-FR"/>
        </w:rPr>
        <w:t>par</w:t>
      </w:r>
      <w:r w:rsidRPr="00D12857">
        <w:rPr>
          <w:lang w:val="fr-FR"/>
        </w:rPr>
        <w:t xml:space="preserve"> les </w:t>
      </w:r>
      <w:r>
        <w:rPr>
          <w:lang w:val="fr-FR"/>
        </w:rPr>
        <w:t>P</w:t>
      </w:r>
      <w:r w:rsidRPr="00D12857">
        <w:rPr>
          <w:lang w:val="fr-FR"/>
        </w:rPr>
        <w:t>arties contractantes</w:t>
      </w:r>
      <w:r>
        <w:rPr>
          <w:lang w:val="fr-FR"/>
        </w:rPr>
        <w:t xml:space="preserve"> et </w:t>
      </w:r>
      <w:r w:rsidRPr="00D12857">
        <w:rPr>
          <w:lang w:val="fr-FR"/>
        </w:rPr>
        <w:t xml:space="preserve">États </w:t>
      </w:r>
      <w:r>
        <w:rPr>
          <w:lang w:val="fr-FR"/>
        </w:rPr>
        <w:t>parties</w:t>
      </w:r>
      <w:r w:rsidRPr="00D12857">
        <w:rPr>
          <w:lang w:val="fr-FR"/>
        </w:rPr>
        <w:t xml:space="preserve"> et contribue à la mise en œuvre de l'objectif de développement durable </w:t>
      </w:r>
      <w:r>
        <w:rPr>
          <w:lang w:val="fr-FR"/>
        </w:rPr>
        <w:t>n° </w:t>
      </w:r>
      <w:r w:rsidRPr="00D12857">
        <w:rPr>
          <w:lang w:val="fr-FR"/>
        </w:rPr>
        <w:t>16 des Nations Unies : paix, justice et institutions fortes.</w:t>
      </w:r>
    </w:p>
    <w:p w14:paraId="3B04D17B" w14:textId="75200332" w:rsidR="00C1626B" w:rsidRPr="006543A3" w:rsidRDefault="006543A3" w:rsidP="006543A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626B" w:rsidRPr="006543A3" w:rsidSect="003A290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D17D" w14:textId="77777777" w:rsidR="00022369" w:rsidRDefault="00022369" w:rsidP="00F95C08">
      <w:pPr>
        <w:spacing w:line="240" w:lineRule="auto"/>
      </w:pPr>
    </w:p>
  </w:endnote>
  <w:endnote w:type="continuationSeparator" w:id="0">
    <w:p w14:paraId="3F27DFF7" w14:textId="77777777" w:rsidR="00022369" w:rsidRPr="00AC3823" w:rsidRDefault="00022369" w:rsidP="00AC3823">
      <w:pPr>
        <w:pStyle w:val="Pieddepage"/>
      </w:pPr>
    </w:p>
  </w:endnote>
  <w:endnote w:type="continuationNotice" w:id="1">
    <w:p w14:paraId="4838E725" w14:textId="77777777" w:rsidR="00022369" w:rsidRDefault="000223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8BCB" w14:textId="77777777" w:rsidR="003A2907" w:rsidRPr="003A2907" w:rsidRDefault="003A2907" w:rsidP="003A2907">
    <w:pPr>
      <w:pStyle w:val="Pieddepage"/>
      <w:tabs>
        <w:tab w:val="right" w:pos="9638"/>
      </w:tabs>
      <w:rPr>
        <w:sz w:val="18"/>
      </w:rPr>
    </w:pPr>
    <w:r w:rsidRPr="003A2907">
      <w:rPr>
        <w:b/>
        <w:sz w:val="18"/>
      </w:rPr>
      <w:fldChar w:fldCharType="begin"/>
    </w:r>
    <w:r w:rsidRPr="003A2907">
      <w:rPr>
        <w:b/>
        <w:sz w:val="18"/>
      </w:rPr>
      <w:instrText xml:space="preserve"> PAGE  \* MERGEFORMAT </w:instrText>
    </w:r>
    <w:r w:rsidRPr="003A2907">
      <w:rPr>
        <w:b/>
        <w:sz w:val="18"/>
      </w:rPr>
      <w:fldChar w:fldCharType="separate"/>
    </w:r>
    <w:r w:rsidRPr="003A2907">
      <w:rPr>
        <w:b/>
        <w:noProof/>
        <w:sz w:val="18"/>
      </w:rPr>
      <w:t>2</w:t>
    </w:r>
    <w:r w:rsidRPr="003A290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9B01" w14:textId="77777777" w:rsidR="003A2907" w:rsidRPr="003A2907" w:rsidRDefault="003A2907" w:rsidP="003A2907">
    <w:pPr>
      <w:pStyle w:val="Pieddepage"/>
      <w:tabs>
        <w:tab w:val="right" w:pos="9638"/>
      </w:tabs>
      <w:rPr>
        <w:b/>
        <w:sz w:val="18"/>
      </w:rPr>
    </w:pPr>
    <w:r>
      <w:tab/>
    </w:r>
    <w:r w:rsidRPr="003A2907">
      <w:rPr>
        <w:b/>
        <w:sz w:val="18"/>
      </w:rPr>
      <w:fldChar w:fldCharType="begin"/>
    </w:r>
    <w:r w:rsidRPr="003A2907">
      <w:rPr>
        <w:b/>
        <w:sz w:val="18"/>
      </w:rPr>
      <w:instrText xml:space="preserve"> PAGE  \* MERGEFORMAT </w:instrText>
    </w:r>
    <w:r w:rsidRPr="003A2907">
      <w:rPr>
        <w:b/>
        <w:sz w:val="18"/>
      </w:rPr>
      <w:fldChar w:fldCharType="separate"/>
    </w:r>
    <w:r w:rsidRPr="003A2907">
      <w:rPr>
        <w:b/>
        <w:noProof/>
        <w:sz w:val="18"/>
      </w:rPr>
      <w:t>3</w:t>
    </w:r>
    <w:r w:rsidRPr="003A29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B66B" w14:textId="2963CEBD" w:rsidR="000D3EE9" w:rsidRPr="00357AD7" w:rsidRDefault="00357AD7" w:rsidP="00357AD7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GE.23-26288  (F)</w:t>
    </w:r>
    <w:bookmarkStart w:id="0" w:name="_GoBack"/>
    <w:bookmarkEnd w:id="0"/>
    <w:r>
      <w:rPr>
        <w:sz w:val="20"/>
      </w:rPr>
      <w:tab/>
    </w:r>
    <w:r w:rsidRPr="00357AD7">
      <w:rPr>
        <w:noProof/>
        <w:sz w:val="20"/>
        <w:lang w:eastAsia="fr-CH"/>
      </w:rPr>
      <w:drawing>
        <wp:inline distT="0" distB="0" distL="0" distR="0" wp14:anchorId="5921CC23" wp14:editId="00A14EA2">
          <wp:extent cx="1105200" cy="234000"/>
          <wp:effectExtent l="0" t="0" r="0" b="0"/>
          <wp:docPr id="1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3F294467" wp14:editId="2AD117E7">
          <wp:extent cx="641350" cy="641350"/>
          <wp:effectExtent l="0" t="0" r="635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617F" w14:textId="77777777" w:rsidR="00022369" w:rsidRPr="00AC3823" w:rsidRDefault="0002236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960930" w14:textId="77777777" w:rsidR="00022369" w:rsidRPr="00AC3823" w:rsidRDefault="0002236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0CEFECC" w14:textId="77777777" w:rsidR="00022369" w:rsidRPr="00AC3823" w:rsidRDefault="00022369">
      <w:pPr>
        <w:spacing w:line="240" w:lineRule="auto"/>
        <w:rPr>
          <w:sz w:val="2"/>
          <w:szCs w:val="2"/>
        </w:rPr>
      </w:pPr>
    </w:p>
  </w:footnote>
  <w:footnote w:id="2">
    <w:p w14:paraId="021852E0" w14:textId="3246A234" w:rsidR="00F57056" w:rsidRPr="00BC6DE9" w:rsidRDefault="00F57056" w:rsidP="00F57056">
      <w:pPr>
        <w:pStyle w:val="Notedebasdepage"/>
        <w:rPr>
          <w:szCs w:val="18"/>
        </w:rPr>
      </w:pPr>
      <w:r>
        <w:rPr>
          <w:rStyle w:val="Appelnotedebasdep"/>
        </w:rPr>
        <w:tab/>
      </w:r>
      <w:r w:rsidRPr="001E6946">
        <w:rPr>
          <w:rStyle w:val="Appelnotedebasdep"/>
          <w:b/>
        </w:rPr>
        <w:t>*</w:t>
      </w:r>
      <w:r>
        <w:rPr>
          <w:rStyle w:val="Appelnotedebasdep"/>
          <w:sz w:val="20"/>
        </w:rPr>
        <w:tab/>
      </w:r>
      <w:r w:rsidR="00D2500A" w:rsidRPr="00BC6DE9">
        <w:rPr>
          <w:szCs w:val="18"/>
        </w:rPr>
        <w:t>A/78/6 (Sect.20), tableau 20.5</w:t>
      </w:r>
      <w:r w:rsidRPr="00BC6DE9">
        <w:rPr>
          <w:szCs w:val="18"/>
        </w:rPr>
        <w:t>.</w:t>
      </w:r>
    </w:p>
  </w:footnote>
  <w:footnote w:id="3">
    <w:p w14:paraId="7A300FF9" w14:textId="4D152407" w:rsidR="00F57056" w:rsidRPr="00BC6DE9" w:rsidRDefault="00F57056" w:rsidP="00F57056">
      <w:pPr>
        <w:pStyle w:val="Notedebasdepage"/>
        <w:rPr>
          <w:szCs w:val="18"/>
        </w:rPr>
      </w:pPr>
      <w:r>
        <w:rPr>
          <w:rStyle w:val="Appelnotedebasdep"/>
        </w:rPr>
        <w:tab/>
      </w:r>
      <w:r w:rsidRPr="001E6946">
        <w:rPr>
          <w:rStyle w:val="Appelnotedebasdep"/>
          <w:b/>
        </w:rPr>
        <w:t>**</w:t>
      </w:r>
      <w:r>
        <w:rPr>
          <w:rStyle w:val="Appelnotedebasdep"/>
          <w:sz w:val="20"/>
        </w:rPr>
        <w:tab/>
      </w:r>
      <w:r w:rsidR="00D2500A" w:rsidRPr="00BC6DE9">
        <w:rPr>
          <w:szCs w:val="18"/>
        </w:rPr>
        <w:t xml:space="preserve">Diffusé par l'Organisation </w:t>
      </w:r>
      <w:r w:rsidR="00E57737" w:rsidRPr="00BC6DE9">
        <w:rPr>
          <w:szCs w:val="18"/>
        </w:rPr>
        <w:t>inter-gouvernementale</w:t>
      </w:r>
      <w:r w:rsidR="00D2500A" w:rsidRPr="00BC6DE9">
        <w:rPr>
          <w:szCs w:val="18"/>
        </w:rPr>
        <w:t xml:space="preserve"> pour les transports internationaux ferroviaires (OTIF) sous la cote OTIF/RID/RC/2024/2</w:t>
      </w:r>
      <w:r w:rsidR="00032B3E" w:rsidRPr="00BC6DE9">
        <w:rPr>
          <w:szCs w:val="18"/>
        </w:rPr>
        <w:t>4</w:t>
      </w:r>
      <w:r w:rsidRPr="00BC6DE9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DB6F" w14:textId="682A50B8" w:rsidR="003A2907" w:rsidRPr="003A2907" w:rsidRDefault="00AA78EB">
    <w:pPr>
      <w:pStyle w:val="En-tte"/>
    </w:pPr>
    <w:fldSimple w:instr=" TITLE  \* MERGEFORMAT ">
      <w:r w:rsidR="0043662D">
        <w:t>ECE/TRANS/WP.15/AC.1/2024/24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6994" w14:textId="32B36E61" w:rsidR="003A2907" w:rsidRPr="003A2907" w:rsidRDefault="00AA78EB" w:rsidP="003A2907">
    <w:pPr>
      <w:pStyle w:val="En-tte"/>
      <w:jc w:val="right"/>
    </w:pPr>
    <w:fldSimple w:instr=" TITLE  \* MERGEFORMAT ">
      <w:r w:rsidR="0043662D">
        <w:t>ECE/TRANS/WP.15/AC.1/2024/24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59362190">
    <w:abstractNumId w:val="12"/>
  </w:num>
  <w:num w:numId="2" w16cid:durableId="1862353791">
    <w:abstractNumId w:val="11"/>
  </w:num>
  <w:num w:numId="3" w16cid:durableId="1164707640">
    <w:abstractNumId w:val="10"/>
  </w:num>
  <w:num w:numId="4" w16cid:durableId="296879909">
    <w:abstractNumId w:val="8"/>
  </w:num>
  <w:num w:numId="5" w16cid:durableId="1740974991">
    <w:abstractNumId w:val="3"/>
  </w:num>
  <w:num w:numId="6" w16cid:durableId="1331636644">
    <w:abstractNumId w:val="2"/>
  </w:num>
  <w:num w:numId="7" w16cid:durableId="555699222">
    <w:abstractNumId w:val="1"/>
  </w:num>
  <w:num w:numId="8" w16cid:durableId="623729404">
    <w:abstractNumId w:val="0"/>
  </w:num>
  <w:num w:numId="9" w16cid:durableId="591814294">
    <w:abstractNumId w:val="9"/>
  </w:num>
  <w:num w:numId="10" w16cid:durableId="503520532">
    <w:abstractNumId w:val="7"/>
  </w:num>
  <w:num w:numId="11" w16cid:durableId="1234777214">
    <w:abstractNumId w:val="6"/>
  </w:num>
  <w:num w:numId="12" w16cid:durableId="2133984802">
    <w:abstractNumId w:val="5"/>
  </w:num>
  <w:num w:numId="13" w16cid:durableId="246771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3A2907"/>
    <w:rsid w:val="00010868"/>
    <w:rsid w:val="0001207F"/>
    <w:rsid w:val="00017F94"/>
    <w:rsid w:val="00022369"/>
    <w:rsid w:val="00023842"/>
    <w:rsid w:val="000265FD"/>
    <w:rsid w:val="00032B3E"/>
    <w:rsid w:val="000334F9"/>
    <w:rsid w:val="0004639C"/>
    <w:rsid w:val="0007796D"/>
    <w:rsid w:val="000942EE"/>
    <w:rsid w:val="000A52BF"/>
    <w:rsid w:val="000B7790"/>
    <w:rsid w:val="000D3EE9"/>
    <w:rsid w:val="000D5051"/>
    <w:rsid w:val="000D62F3"/>
    <w:rsid w:val="000F2144"/>
    <w:rsid w:val="00111F2F"/>
    <w:rsid w:val="001433FD"/>
    <w:rsid w:val="0014365E"/>
    <w:rsid w:val="001541D3"/>
    <w:rsid w:val="00156B77"/>
    <w:rsid w:val="00176178"/>
    <w:rsid w:val="00177140"/>
    <w:rsid w:val="001B149D"/>
    <w:rsid w:val="001D400F"/>
    <w:rsid w:val="001F525A"/>
    <w:rsid w:val="00223272"/>
    <w:rsid w:val="00240333"/>
    <w:rsid w:val="0024779E"/>
    <w:rsid w:val="002832AC"/>
    <w:rsid w:val="002D7C93"/>
    <w:rsid w:val="0032659E"/>
    <w:rsid w:val="0034375A"/>
    <w:rsid w:val="00357AD7"/>
    <w:rsid w:val="0037241C"/>
    <w:rsid w:val="00373682"/>
    <w:rsid w:val="003819FF"/>
    <w:rsid w:val="003A2907"/>
    <w:rsid w:val="0043662D"/>
    <w:rsid w:val="00441C3B"/>
    <w:rsid w:val="00446B0A"/>
    <w:rsid w:val="00446FE5"/>
    <w:rsid w:val="00452396"/>
    <w:rsid w:val="00471288"/>
    <w:rsid w:val="0049687C"/>
    <w:rsid w:val="004E468C"/>
    <w:rsid w:val="005316B0"/>
    <w:rsid w:val="005505B7"/>
    <w:rsid w:val="00573BE5"/>
    <w:rsid w:val="00586ED3"/>
    <w:rsid w:val="00596AA9"/>
    <w:rsid w:val="005B4D0F"/>
    <w:rsid w:val="005E0874"/>
    <w:rsid w:val="006543A3"/>
    <w:rsid w:val="00677814"/>
    <w:rsid w:val="006B18A0"/>
    <w:rsid w:val="006B4AF8"/>
    <w:rsid w:val="00703D0F"/>
    <w:rsid w:val="00706363"/>
    <w:rsid w:val="007158BB"/>
    <w:rsid w:val="0071601D"/>
    <w:rsid w:val="00731772"/>
    <w:rsid w:val="0075410D"/>
    <w:rsid w:val="007A62E6"/>
    <w:rsid w:val="0080684C"/>
    <w:rsid w:val="008204DA"/>
    <w:rsid w:val="008535AD"/>
    <w:rsid w:val="0086473D"/>
    <w:rsid w:val="00871C75"/>
    <w:rsid w:val="008767E8"/>
    <w:rsid w:val="008776DC"/>
    <w:rsid w:val="00883605"/>
    <w:rsid w:val="00883641"/>
    <w:rsid w:val="008C2E55"/>
    <w:rsid w:val="008E6043"/>
    <w:rsid w:val="008F677C"/>
    <w:rsid w:val="00961E7B"/>
    <w:rsid w:val="009705C8"/>
    <w:rsid w:val="009C1CF4"/>
    <w:rsid w:val="009F02C9"/>
    <w:rsid w:val="00A12679"/>
    <w:rsid w:val="00A30353"/>
    <w:rsid w:val="00A31444"/>
    <w:rsid w:val="00A62D91"/>
    <w:rsid w:val="00A90D54"/>
    <w:rsid w:val="00AA113A"/>
    <w:rsid w:val="00AA78EB"/>
    <w:rsid w:val="00AC3823"/>
    <w:rsid w:val="00AD29AF"/>
    <w:rsid w:val="00AE323C"/>
    <w:rsid w:val="00AF774C"/>
    <w:rsid w:val="00B00181"/>
    <w:rsid w:val="00B00B0D"/>
    <w:rsid w:val="00B247C1"/>
    <w:rsid w:val="00B40927"/>
    <w:rsid w:val="00B50E25"/>
    <w:rsid w:val="00B64918"/>
    <w:rsid w:val="00B765F7"/>
    <w:rsid w:val="00BA0CA9"/>
    <w:rsid w:val="00BC6DE9"/>
    <w:rsid w:val="00C02897"/>
    <w:rsid w:val="00C1626B"/>
    <w:rsid w:val="00C41DCD"/>
    <w:rsid w:val="00C66A47"/>
    <w:rsid w:val="00C7616F"/>
    <w:rsid w:val="00CB16B5"/>
    <w:rsid w:val="00CE0608"/>
    <w:rsid w:val="00D2500A"/>
    <w:rsid w:val="00D3439C"/>
    <w:rsid w:val="00D42FE9"/>
    <w:rsid w:val="00D44CF3"/>
    <w:rsid w:val="00D46C8C"/>
    <w:rsid w:val="00DB1831"/>
    <w:rsid w:val="00DC26DA"/>
    <w:rsid w:val="00DD3BFD"/>
    <w:rsid w:val="00DD7BD9"/>
    <w:rsid w:val="00DE239D"/>
    <w:rsid w:val="00DF431C"/>
    <w:rsid w:val="00DF6678"/>
    <w:rsid w:val="00E368F7"/>
    <w:rsid w:val="00E428C8"/>
    <w:rsid w:val="00E57737"/>
    <w:rsid w:val="00EC031B"/>
    <w:rsid w:val="00EF2E22"/>
    <w:rsid w:val="00F0592C"/>
    <w:rsid w:val="00F06ED4"/>
    <w:rsid w:val="00F33445"/>
    <w:rsid w:val="00F43289"/>
    <w:rsid w:val="00F57056"/>
    <w:rsid w:val="00F660DF"/>
    <w:rsid w:val="00F95C08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20B22"/>
  <w15:docId w15:val="{D9EBAF66-5D70-4707-B792-6947620A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F7"/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,4_GR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,5_GR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5_GR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01207F"/>
  </w:style>
  <w:style w:type="character" w:customStyle="1" w:styleId="HChGChar">
    <w:name w:val="_ H _Ch_G Char"/>
    <w:link w:val="HChG"/>
    <w:qFormat/>
    <w:rsid w:val="0001207F"/>
    <w:rPr>
      <w:b/>
      <w:sz w:val="28"/>
    </w:rPr>
  </w:style>
  <w:style w:type="character" w:customStyle="1" w:styleId="H1GChar">
    <w:name w:val="_ H_1_G Char"/>
    <w:link w:val="H1G"/>
    <w:qFormat/>
    <w:locked/>
    <w:rsid w:val="003A2907"/>
    <w:rPr>
      <w:b/>
      <w:sz w:val="24"/>
    </w:rPr>
  </w:style>
  <w:style w:type="paragraph" w:styleId="Rvision">
    <w:name w:val="Revision"/>
    <w:hidden/>
    <w:uiPriority w:val="99"/>
    <w:semiHidden/>
    <w:rsid w:val="008F677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Sabrina Mansion</DisplayName>
        <AccountId>71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14563-ACB7-44AD-B0EF-E55148CFDD3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BD6DB585-21B8-4181-A825-CFE1861CB3C9}"/>
</file>

<file path=customXml/itemProps3.xml><?xml version="1.0" encoding="utf-8"?>
<ds:datastoreItem xmlns:ds="http://schemas.openxmlformats.org/officeDocument/2006/customXml" ds:itemID="{81307320-C528-4032-AB5A-73B861CDA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1</TotalTime>
  <Pages>2</Pages>
  <Words>647</Words>
  <Characters>3521</Characters>
  <Application>Microsoft Office Word</Application>
  <DocSecurity>0</DocSecurity>
  <Lines>81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ECE/EX/22</vt:lpstr>
      <vt:lpstr>ECE/EX/22</vt:lpstr>
    </vt:vector>
  </TitlesOfParts>
  <Company>DCM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ECE/TRANS/WP.15/AC.1/2024/24</dc:title>
  <dc:subject>FINAL</dc:subject>
  <dc:creator>Secretariat</dc:creator>
  <cp:keywords/>
  <dc:description/>
  <cp:lastModifiedBy>Sandrine Clere</cp:lastModifiedBy>
  <cp:revision>3</cp:revision>
  <cp:lastPrinted>2024-01-02T08:51:00Z</cp:lastPrinted>
  <dcterms:created xsi:type="dcterms:W3CDTF">2024-01-02T08:50:00Z</dcterms:created>
  <dcterms:modified xsi:type="dcterms:W3CDTF">2024-01-02T08:51:00Z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